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jc w:val="left"/>
        <w:outlineLvl w:val="0"/>
        <w:rPr>
          <w:rFonts w:hAnsi="宋体" w:eastAsia="宋体" w:cs="宋体"/>
          <w:bCs/>
          <w:sz w:val="28"/>
          <w:szCs w:val="28"/>
        </w:rPr>
      </w:pPr>
      <w:r>
        <w:rPr>
          <w:rFonts w:hint="eastAsia" w:hAnsi="宋体" w:eastAsia="宋体" w:cs="宋体"/>
          <w:bCs/>
          <w:sz w:val="28"/>
          <w:szCs w:val="28"/>
        </w:rPr>
        <w:t>附件1</w:t>
      </w:r>
    </w:p>
    <w:p>
      <w:pPr>
        <w:pStyle w:val="5"/>
        <w:jc w:val="center"/>
        <w:rPr>
          <w:b/>
          <w:sz w:val="32"/>
        </w:rPr>
      </w:pPr>
      <w:r>
        <w:rPr>
          <w:rFonts w:hint="eastAsia"/>
          <w:b/>
          <w:sz w:val="32"/>
        </w:rPr>
        <w:t>采购需求一览表</w:t>
      </w:r>
    </w:p>
    <w:tbl>
      <w:tblPr>
        <w:tblStyle w:val="8"/>
        <w:tblW w:w="101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993"/>
        <w:gridCol w:w="649"/>
        <w:gridCol w:w="887"/>
        <w:gridCol w:w="70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项号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采购项目名称</w:t>
            </w:r>
          </w:p>
        </w:tc>
        <w:tc>
          <w:tcPr>
            <w:tcW w:w="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数量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预算</w:t>
            </w:r>
          </w:p>
        </w:tc>
        <w:tc>
          <w:tcPr>
            <w:tcW w:w="7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采购内容及要求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ascii="宋体" w:hAnsi="宋体"/>
                <w:szCs w:val="21"/>
                <w:highlight w:val="none"/>
              </w:rPr>
              <w:t>1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>南宁中心血站2024年度</w:t>
            </w:r>
            <w:r>
              <w:rPr>
                <w:rFonts w:hint="eastAsia" w:ascii="宋体" w:hAnsi="宋体"/>
                <w:kern w:val="0"/>
                <w:sz w:val="20"/>
                <w:szCs w:val="21"/>
              </w:rPr>
              <w:t>日志审计系统授权扩容</w:t>
            </w:r>
          </w:p>
        </w:tc>
        <w:tc>
          <w:tcPr>
            <w:tcW w:w="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>16000元</w:t>
            </w:r>
          </w:p>
        </w:tc>
        <w:tc>
          <w:tcPr>
            <w:tcW w:w="7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b/>
                <w:highlight w:val="none"/>
              </w:rPr>
            </w:pPr>
            <w:r>
              <w:rPr>
                <w:rFonts w:hint="eastAsia"/>
                <w:b/>
                <w:highlight w:val="none"/>
              </w:rPr>
              <w:t>一、项目概况：</w:t>
            </w:r>
          </w:p>
          <w:p>
            <w:pPr>
              <w:pStyle w:val="6"/>
              <w:spacing w:line="360" w:lineRule="exact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1、对南宁中心血站</w:t>
            </w:r>
            <w:r>
              <w:rPr>
                <w:rFonts w:hint="eastAsia"/>
                <w:highlight w:val="none"/>
                <w:lang w:val="en-US" w:eastAsia="zh-CN"/>
              </w:rPr>
              <w:t>1套</w:t>
            </w:r>
            <w:r>
              <w:rPr>
                <w:rFonts w:hint="eastAsia" w:ascii="宋体" w:hAnsi="宋体"/>
                <w:kern w:val="0"/>
                <w:sz w:val="20"/>
                <w:szCs w:val="21"/>
              </w:rPr>
              <w:t>日志审计系统授权扩容</w:t>
            </w:r>
            <w:r>
              <w:rPr>
                <w:rFonts w:hint="eastAsia"/>
                <w:highlight w:val="none"/>
              </w:rPr>
              <w:t>。</w:t>
            </w:r>
          </w:p>
          <w:p>
            <w:pPr>
              <w:numPr>
                <w:ilvl w:val="0"/>
                <w:numId w:val="2"/>
              </w:numPr>
              <w:spacing w:line="360" w:lineRule="auto"/>
              <w:rPr>
                <w:rFonts w:hint="eastAsia"/>
                <w:b/>
                <w:highlight w:val="none"/>
              </w:rPr>
            </w:pPr>
            <w:r>
              <w:rPr>
                <w:rFonts w:hint="eastAsia"/>
                <w:b/>
                <w:highlight w:val="none"/>
                <w:lang w:val="en-US" w:eastAsia="zh-CN"/>
              </w:rPr>
              <w:t>项目需求</w:t>
            </w:r>
            <w:r>
              <w:rPr>
                <w:rFonts w:hint="eastAsia"/>
                <w:b/>
                <w:highlight w:val="none"/>
              </w:rPr>
              <w:t>：</w:t>
            </w:r>
          </w:p>
          <w:p>
            <w:pPr>
              <w:pStyle w:val="3"/>
              <w:rPr>
                <w:rFonts w:hint="eastAsia" w:ascii="宋体" w:hAnsi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/>
                <w:kern w:val="0"/>
                <w:sz w:val="20"/>
                <w:szCs w:val="21"/>
                <w:lang w:val="en-US" w:eastAsia="zh-CN"/>
              </w:rPr>
              <w:t>服务器型号：</w:t>
            </w:r>
            <w:r>
              <w:rPr>
                <w:rFonts w:hint="eastAsia" w:ascii="宋体" w:hAnsi="宋体"/>
                <w:kern w:val="0"/>
                <w:sz w:val="20"/>
                <w:szCs w:val="21"/>
              </w:rPr>
              <w:t>深信服LAS-1000-A600</w:t>
            </w:r>
          </w:p>
          <w:p>
            <w:pPr>
              <w:pStyle w:val="43"/>
              <w:spacing w:line="360" w:lineRule="auto"/>
              <w:ind w:firstLine="0" w:firstLineChars="0"/>
              <w:jc w:val="left"/>
              <w:rPr>
                <w:rFonts w:hint="eastAsia" w:ascii="宋体" w:hAnsi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/>
                <w:kern w:val="0"/>
                <w:sz w:val="20"/>
                <w:szCs w:val="21"/>
              </w:rPr>
              <w:t>1</w:t>
            </w:r>
            <w:r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、设备扩容≥50主机许可数，要求与（现网深信服LAS-1000-A600）日志审计无缝对接。</w:t>
            </w:r>
          </w:p>
          <w:p>
            <w:pPr>
              <w:pStyle w:val="3"/>
              <w:rPr>
                <w:rFonts w:hint="eastAsia" w:ascii="宋体" w:hAnsi="宋体"/>
                <w:kern w:val="0"/>
                <w:sz w:val="2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2、</w:t>
            </w:r>
            <w:r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为保证原厂质保，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供货时</w:t>
            </w:r>
            <w:bookmarkStart w:id="0" w:name="_GoBack"/>
            <w:bookmarkEnd w:id="0"/>
            <w:r>
              <w:rPr>
                <w:rFonts w:hint="eastAsia" w:ascii="宋体" w:hAnsi="宋体" w:cs="宋体" w:eastAsiaTheme="minorEastAsia"/>
                <w:color w:val="000000"/>
                <w:kern w:val="0"/>
                <w:sz w:val="20"/>
                <w:szCs w:val="20"/>
                <w:lang w:val="en-US" w:eastAsia="zh-CN" w:bidi="ar"/>
              </w:rPr>
              <w:t>必须提供原厂针对本项目盖章的售后服务承诺函，否则不给予验收。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商务</w:t>
            </w:r>
            <w:r>
              <w:rPr>
                <w:rFonts w:ascii="宋体" w:hAnsi="宋体"/>
                <w:szCs w:val="21"/>
                <w:highlight w:val="none"/>
              </w:rPr>
              <w:t>条款</w:t>
            </w:r>
          </w:p>
        </w:tc>
        <w:tc>
          <w:tcPr>
            <w:tcW w:w="95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3"/>
              </w:numPr>
              <w:spacing w:line="276" w:lineRule="auto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 xml:space="preserve">合同签订期：自成交结果公告结束之日起 </w:t>
            </w:r>
            <w:r>
              <w:rPr>
                <w:rFonts w:hint="eastAsia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eastAsia"/>
                <w:szCs w:val="21"/>
                <w:highlight w:val="none"/>
              </w:rPr>
              <w:t>个工作日内。</w:t>
            </w:r>
          </w:p>
          <w:p>
            <w:pPr>
              <w:numPr>
                <w:ilvl w:val="0"/>
                <w:numId w:val="3"/>
              </w:numPr>
              <w:spacing w:line="276" w:lineRule="auto"/>
              <w:ind w:left="0" w:leftChars="0" w:firstLine="0" w:firstLineChars="0"/>
              <w:rPr>
                <w:rFonts w:hint="eastAsia"/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服务期限</w:t>
            </w:r>
          </w:p>
          <w:p>
            <w:pPr>
              <w:numPr>
                <w:ilvl w:val="0"/>
                <w:numId w:val="4"/>
              </w:numPr>
              <w:spacing w:line="276" w:lineRule="auto"/>
              <w:ind w:leftChars="0"/>
              <w:rPr>
                <w:rFonts w:hint="eastAsia" w:hAnsi="宋体" w:eastAsia="宋体" w:cs="宋体"/>
                <w:szCs w:val="21"/>
                <w:highlight w:val="none"/>
              </w:rPr>
            </w:pPr>
            <w:r>
              <w:rPr>
                <w:rFonts w:hint="eastAsia" w:hAnsi="宋体" w:eastAsia="宋体" w:cs="宋体"/>
                <w:szCs w:val="21"/>
                <w:highlight w:val="none"/>
              </w:rPr>
              <w:t>合同签订之日起</w:t>
            </w:r>
            <w:r>
              <w:rPr>
                <w:rFonts w:hint="eastAsia" w:hAnsi="宋体" w:eastAsia="宋体" w:cs="宋体"/>
                <w:szCs w:val="21"/>
                <w:highlight w:val="none"/>
                <w:lang w:val="en-US" w:eastAsia="zh-CN"/>
              </w:rPr>
              <w:t>至所有扩容服务履行完毕并经采购人确认为止</w:t>
            </w:r>
            <w:r>
              <w:rPr>
                <w:rFonts w:hint="eastAsia" w:hAnsi="宋体" w:eastAsia="宋体" w:cs="宋体"/>
                <w:szCs w:val="21"/>
                <w:highlight w:val="none"/>
              </w:rPr>
              <w:t>。</w:t>
            </w:r>
          </w:p>
          <w:p>
            <w:pPr>
              <w:numPr>
                <w:ilvl w:val="0"/>
                <w:numId w:val="4"/>
              </w:numPr>
              <w:spacing w:line="276" w:lineRule="auto"/>
              <w:ind w:leftChars="0"/>
              <w:rPr>
                <w:rFonts w:hint="eastAsia" w:hAnsi="宋体" w:eastAsia="宋体" w:cs="宋体"/>
                <w:szCs w:val="21"/>
                <w:highlight w:val="none"/>
              </w:rPr>
            </w:pPr>
            <w:r>
              <w:rPr>
                <w:rFonts w:hint="eastAsia" w:hAnsi="宋体" w:eastAsia="宋体" w:cs="宋体"/>
                <w:szCs w:val="21"/>
                <w:highlight w:val="none"/>
              </w:rPr>
              <w:t>合同延续年限、条件和方式: 项目合同履约期到期后，采购人依据项目的服务履约评价情况及实际需求，在年度预算保障的前提下，对于购买内容(采购需求)相对固定、连续(延续)性强、经费来源稳定、价格变化幅度小的服务项目，可以通过一年一续签方式签订合同，期限总长不得超过3年。</w:t>
            </w:r>
          </w:p>
          <w:p>
            <w:pPr>
              <w:spacing w:line="276" w:lineRule="auto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三、服务地点：</w:t>
            </w:r>
            <w:r>
              <w:rPr>
                <w:rFonts w:hint="eastAsia"/>
                <w:szCs w:val="21"/>
                <w:highlight w:val="none"/>
                <w:lang w:val="en-US" w:eastAsia="zh-CN"/>
              </w:rPr>
              <w:t>南宁中心血站</w:t>
            </w:r>
            <w:r>
              <w:rPr>
                <w:rFonts w:hint="eastAsia"/>
                <w:szCs w:val="21"/>
                <w:highlight w:val="none"/>
              </w:rPr>
              <w:t>。</w:t>
            </w:r>
          </w:p>
          <w:p>
            <w:pPr>
              <w:pStyle w:val="7"/>
              <w:spacing w:line="276" w:lineRule="auto"/>
              <w:rPr>
                <w:sz w:val="21"/>
                <w:szCs w:val="21"/>
                <w:highlight w:val="none"/>
              </w:rPr>
            </w:pPr>
            <w:r>
              <w:rPr>
                <w:sz w:val="21"/>
                <w:szCs w:val="21"/>
                <w:highlight w:val="none"/>
              </w:rPr>
              <w:t>四、</w:t>
            </w:r>
            <w:r>
              <w:rPr>
                <w:rFonts w:hint="eastAsia"/>
                <w:sz w:val="21"/>
                <w:szCs w:val="21"/>
                <w:highlight w:val="none"/>
              </w:rPr>
              <w:t>售后服务要求：</w:t>
            </w:r>
          </w:p>
          <w:p>
            <w:pPr>
              <w:spacing w:line="276" w:lineRule="auto"/>
              <w:ind w:firstLine="420" w:firstLineChars="200"/>
              <w:rPr>
                <w:rFonts w:hint="eastAsia" w:asciiTheme="minorEastAsia" w:hAnsiTheme="minorEastAsia" w:eastAsiaTheme="minorEastAsia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highlight w:val="none"/>
              </w:rPr>
              <w:t xml:space="preserve">处理问题响应时间：接到采购人处理问题通知后 </w:t>
            </w:r>
            <w:r>
              <w:rPr>
                <w:rFonts w:hint="eastAsia" w:asciiTheme="minorEastAsia" w:hAnsiTheme="minorEastAsia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Theme="minorEastAsia" w:hAnsiTheme="minorEastAsia"/>
                <w:szCs w:val="21"/>
                <w:highlight w:val="none"/>
              </w:rPr>
              <w:t xml:space="preserve"> 小时内到达采购人指定现场</w:t>
            </w:r>
            <w:r>
              <w:rPr>
                <w:rFonts w:hint="eastAsia" w:asciiTheme="minorEastAsia" w:hAnsiTheme="minorEastAsia"/>
                <w:szCs w:val="21"/>
                <w:highlight w:val="none"/>
                <w:lang w:eastAsia="zh-CN"/>
              </w:rPr>
              <w:t>。</w:t>
            </w:r>
          </w:p>
          <w:p>
            <w:pPr>
              <w:spacing w:line="276" w:lineRule="auto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五、付款方式：</w:t>
            </w:r>
          </w:p>
          <w:p>
            <w:pPr>
              <w:spacing w:line="276" w:lineRule="auto"/>
              <w:ind w:firstLine="420" w:firstLineChars="200"/>
              <w:rPr>
                <w:rFonts w:hint="eastAsia" w:asciiTheme="minorEastAsia" w:hAnsiTheme="minorEastAsia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highlight w:val="none"/>
              </w:rPr>
              <w:t>经采购人验收合格</w:t>
            </w:r>
            <w:r>
              <w:rPr>
                <w:rFonts w:hint="eastAsia" w:asciiTheme="minorEastAsia" w:hAnsiTheme="minorEastAsia"/>
                <w:szCs w:val="21"/>
                <w:highlight w:val="none"/>
                <w:lang w:val="en-US" w:eastAsia="zh-CN"/>
              </w:rPr>
              <w:t>后</w:t>
            </w:r>
            <w:r>
              <w:rPr>
                <w:rFonts w:hint="eastAsia" w:asciiTheme="minorEastAsia" w:hAnsiTheme="minorEastAsia"/>
                <w:szCs w:val="21"/>
                <w:highlight w:val="none"/>
              </w:rPr>
              <w:t>，提供相应发票一次性付清全部款项。</w:t>
            </w:r>
          </w:p>
          <w:p>
            <w:pPr>
              <w:spacing w:line="276" w:lineRule="auto"/>
              <w:rPr>
                <w:szCs w:val="21"/>
                <w:highlight w:val="none"/>
              </w:rPr>
            </w:pPr>
            <w:r>
              <w:rPr>
                <w:rFonts w:hint="eastAsia" w:asciiTheme="minorEastAsia" w:hAnsiTheme="minorEastAsia"/>
                <w:szCs w:val="21"/>
                <w:highlight w:val="none"/>
              </w:rPr>
              <w:t>六</w:t>
            </w:r>
            <w:r>
              <w:rPr>
                <w:rFonts w:hint="eastAsia"/>
                <w:szCs w:val="21"/>
                <w:highlight w:val="none"/>
              </w:rPr>
              <w:t>、其他要求：</w:t>
            </w:r>
          </w:p>
          <w:p>
            <w:pPr>
              <w:pStyle w:val="3"/>
              <w:spacing w:line="276" w:lineRule="auto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1、报价必须含以下部分：</w:t>
            </w:r>
          </w:p>
          <w:p>
            <w:pPr>
              <w:pStyle w:val="3"/>
              <w:spacing w:line="276" w:lineRule="auto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（1）服务价格；</w:t>
            </w:r>
          </w:p>
          <w:p>
            <w:pPr>
              <w:pStyle w:val="3"/>
              <w:spacing w:line="276" w:lineRule="auto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（2）各项费用包括：</w:t>
            </w:r>
          </w:p>
          <w:p>
            <w:pPr>
              <w:pStyle w:val="3"/>
              <w:spacing w:line="276" w:lineRule="auto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sym w:font="Wingdings" w:char="F081"/>
            </w:r>
            <w:r>
              <w:rPr>
                <w:rFonts w:hint="eastAsia"/>
                <w:szCs w:val="21"/>
                <w:highlight w:val="none"/>
              </w:rPr>
              <w:t xml:space="preserve"> 管理、工作人员的工资和按规定提取的福利费、保险费等。</w:t>
            </w:r>
          </w:p>
          <w:p>
            <w:pPr>
              <w:pStyle w:val="3"/>
              <w:spacing w:line="276" w:lineRule="auto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sym w:font="Wingdings" w:char="F082"/>
            </w:r>
            <w:r>
              <w:rPr>
                <w:rFonts w:hint="eastAsia"/>
                <w:szCs w:val="21"/>
                <w:highlight w:val="none"/>
              </w:rPr>
              <w:t xml:space="preserve"> 工作人员修理检测等工具费用。</w:t>
            </w:r>
          </w:p>
          <w:p>
            <w:pPr>
              <w:pStyle w:val="3"/>
              <w:spacing w:line="276" w:lineRule="auto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sym w:font="Wingdings" w:char="F083"/>
            </w:r>
            <w:r>
              <w:rPr>
                <w:rFonts w:hint="eastAsia"/>
                <w:szCs w:val="21"/>
                <w:highlight w:val="none"/>
              </w:rPr>
              <w:t xml:space="preserve"> 培训、技术支持、售后服务等费用。</w:t>
            </w:r>
          </w:p>
          <w:p>
            <w:pPr>
              <w:pStyle w:val="3"/>
              <w:adjustRightInd w:val="0"/>
              <w:spacing w:line="276" w:lineRule="auto"/>
              <w:rPr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④ 各种税费。</w:t>
            </w:r>
          </w:p>
          <w:p>
            <w:pPr>
              <w:pStyle w:val="3"/>
              <w:adjustRightInd w:val="0"/>
              <w:spacing w:line="276" w:lineRule="auto"/>
              <w:rPr>
                <w:highlight w:val="none"/>
              </w:rPr>
            </w:pPr>
            <w:r>
              <w:rPr>
                <w:rFonts w:hint="eastAsia" w:asciiTheme="minorEastAsia" w:hAnsiTheme="minorEastAsia"/>
                <w:szCs w:val="21"/>
                <w:highlight w:val="none"/>
              </w:rPr>
              <w:t>2、</w:t>
            </w:r>
            <w:r>
              <w:rPr>
                <w:rFonts w:hint="eastAsia"/>
                <w:szCs w:val="21"/>
                <w:highlight w:val="none"/>
              </w:rPr>
              <w:t>服务期间，</w:t>
            </w:r>
            <w:r>
              <w:rPr>
                <w:rFonts w:hint="eastAsia"/>
                <w:szCs w:val="21"/>
                <w:highlight w:val="none"/>
                <w:lang w:val="en-US" w:eastAsia="zh-CN"/>
              </w:rPr>
              <w:t>成交供应商</w:t>
            </w:r>
            <w:r>
              <w:rPr>
                <w:rFonts w:hint="eastAsia"/>
                <w:szCs w:val="21"/>
                <w:highlight w:val="none"/>
              </w:rPr>
              <w:t>对己方工作人员的安全承担全部责任。</w:t>
            </w:r>
          </w:p>
        </w:tc>
      </w:tr>
    </w:tbl>
    <w:p>
      <w:pPr>
        <w:rPr>
          <w:rFonts w:hint="default" w:eastAsiaTheme="minorEastAsia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9DA7A0"/>
    <w:multiLevelType w:val="singleLevel"/>
    <w:tmpl w:val="9B9DA7A0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2333837"/>
    <w:multiLevelType w:val="singleLevel"/>
    <w:tmpl w:val="B233383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DD98A525"/>
    <w:multiLevelType w:val="singleLevel"/>
    <w:tmpl w:val="DD98A525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M0YTc4ODkwOTZjYjU5M2VhNWEyYmEzNDBiMzE2ZmEifQ=="/>
  </w:docVars>
  <w:rsids>
    <w:rsidRoot w:val="7FF404C3"/>
    <w:rsid w:val="07CC50EB"/>
    <w:rsid w:val="07E25048"/>
    <w:rsid w:val="0AFA13CC"/>
    <w:rsid w:val="0CF12CA2"/>
    <w:rsid w:val="13C1629D"/>
    <w:rsid w:val="1A051B3B"/>
    <w:rsid w:val="21690F56"/>
    <w:rsid w:val="22DF73CD"/>
    <w:rsid w:val="244B5C80"/>
    <w:rsid w:val="25E74B00"/>
    <w:rsid w:val="26926505"/>
    <w:rsid w:val="27D03788"/>
    <w:rsid w:val="288B76AF"/>
    <w:rsid w:val="2A8023AA"/>
    <w:rsid w:val="2B33475A"/>
    <w:rsid w:val="2BE45A54"/>
    <w:rsid w:val="2F6C686E"/>
    <w:rsid w:val="3179279B"/>
    <w:rsid w:val="353E4427"/>
    <w:rsid w:val="387243E8"/>
    <w:rsid w:val="3BE8622C"/>
    <w:rsid w:val="3C2459F9"/>
    <w:rsid w:val="3CB60D47"/>
    <w:rsid w:val="3F1B7669"/>
    <w:rsid w:val="40726ACA"/>
    <w:rsid w:val="442010C4"/>
    <w:rsid w:val="458D2861"/>
    <w:rsid w:val="473C2248"/>
    <w:rsid w:val="47F41C5A"/>
    <w:rsid w:val="4D756297"/>
    <w:rsid w:val="4F28682B"/>
    <w:rsid w:val="4FE65048"/>
    <w:rsid w:val="5563538C"/>
    <w:rsid w:val="58FF53CC"/>
    <w:rsid w:val="5B726329"/>
    <w:rsid w:val="5B7B28EA"/>
    <w:rsid w:val="5E4D2736"/>
    <w:rsid w:val="5FB52C88"/>
    <w:rsid w:val="6384309D"/>
    <w:rsid w:val="68A01214"/>
    <w:rsid w:val="73D17C39"/>
    <w:rsid w:val="7610431D"/>
    <w:rsid w:val="790E2D96"/>
    <w:rsid w:val="7FF40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autoRedefine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10">
    <w:name w:val="Default Paragraph Font"/>
    <w:autoRedefine/>
    <w:semiHidden/>
    <w:qFormat/>
    <w:uiPriority w:val="0"/>
  </w:style>
  <w:style w:type="table" w:default="1" w:styleId="8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Body Text Indent"/>
    <w:basedOn w:val="1"/>
    <w:autoRedefine/>
    <w:qFormat/>
    <w:uiPriority w:val="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5">
    <w:name w:val="Plain Text"/>
    <w:basedOn w:val="1"/>
    <w:next w:val="2"/>
    <w:autoRedefine/>
    <w:qFormat/>
    <w:uiPriority w:val="0"/>
    <w:rPr>
      <w:rFonts w:ascii="宋体" w:hAnsi="Courier New"/>
      <w:szCs w:val="20"/>
    </w:rPr>
  </w:style>
  <w:style w:type="paragraph" w:styleId="6">
    <w:name w:val="toc 1"/>
    <w:basedOn w:val="1"/>
    <w:next w:val="1"/>
    <w:autoRedefine/>
    <w:unhideWhenUsed/>
    <w:qFormat/>
    <w:uiPriority w:val="39"/>
    <w:rPr>
      <w:rFonts w:ascii="宋体" w:hAnsi="宋体" w:eastAsia="宋体" w:cs="Arial"/>
      <w:szCs w:val="21"/>
    </w:rPr>
  </w:style>
  <w:style w:type="paragraph" w:styleId="7">
    <w:name w:val="Body Text First Indent 2"/>
    <w:basedOn w:val="4"/>
    <w:next w:val="1"/>
    <w:autoRedefine/>
    <w:qFormat/>
    <w:uiPriority w:val="0"/>
    <w:pPr>
      <w:spacing w:line="360" w:lineRule="auto"/>
      <w:ind w:firstLine="0"/>
    </w:pPr>
    <w:rPr>
      <w:sz w:val="24"/>
    </w:rPr>
  </w:style>
  <w:style w:type="table" w:styleId="9">
    <w:name w:val="Table Grid"/>
    <w:basedOn w:val="8"/>
    <w:autoRedefine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autoRedefine/>
    <w:qFormat/>
    <w:uiPriority w:val="0"/>
    <w:rPr>
      <w:b/>
      <w:bCs/>
    </w:rPr>
  </w:style>
  <w:style w:type="character" w:styleId="12">
    <w:name w:val="FollowedHyperlink"/>
    <w:basedOn w:val="10"/>
    <w:autoRedefine/>
    <w:qFormat/>
    <w:uiPriority w:val="0"/>
    <w:rPr>
      <w:color w:val="4D7AD8"/>
      <w:u w:val="none"/>
    </w:rPr>
  </w:style>
  <w:style w:type="character" w:styleId="13">
    <w:name w:val="HTML Definition"/>
    <w:basedOn w:val="10"/>
    <w:autoRedefine/>
    <w:qFormat/>
    <w:uiPriority w:val="0"/>
    <w:rPr>
      <w:i/>
      <w:iCs/>
    </w:rPr>
  </w:style>
  <w:style w:type="character" w:styleId="14">
    <w:name w:val="Hyperlink"/>
    <w:basedOn w:val="10"/>
    <w:autoRedefine/>
    <w:qFormat/>
    <w:uiPriority w:val="0"/>
    <w:rPr>
      <w:color w:val="4D7AD8"/>
      <w:u w:val="none"/>
    </w:rPr>
  </w:style>
  <w:style w:type="character" w:styleId="15">
    <w:name w:val="HTML Code"/>
    <w:basedOn w:val="10"/>
    <w:autoRedefine/>
    <w:qFormat/>
    <w:uiPriority w:val="0"/>
    <w:rPr>
      <w:rFonts w:hint="default" w:ascii="Consolas" w:hAnsi="Consolas" w:eastAsia="Consolas" w:cs="Consolas"/>
      <w:sz w:val="21"/>
      <w:szCs w:val="21"/>
    </w:rPr>
  </w:style>
  <w:style w:type="character" w:styleId="16">
    <w:name w:val="HTML Keyboard"/>
    <w:basedOn w:val="10"/>
    <w:autoRedefine/>
    <w:qFormat/>
    <w:uiPriority w:val="0"/>
    <w:rPr>
      <w:rFonts w:ascii="Consolas" w:hAnsi="Consolas" w:eastAsia="Consolas" w:cs="Consolas"/>
      <w:sz w:val="21"/>
      <w:szCs w:val="21"/>
    </w:rPr>
  </w:style>
  <w:style w:type="character" w:styleId="17">
    <w:name w:val="HTML Sample"/>
    <w:basedOn w:val="10"/>
    <w:autoRedefine/>
    <w:qFormat/>
    <w:uiPriority w:val="0"/>
    <w:rPr>
      <w:rFonts w:hint="default" w:ascii="Consolas" w:hAnsi="Consolas" w:eastAsia="Consolas" w:cs="Consolas"/>
      <w:sz w:val="21"/>
      <w:szCs w:val="21"/>
    </w:rPr>
  </w:style>
  <w:style w:type="character" w:customStyle="1" w:styleId="18">
    <w:name w:val="ant-tree-iconele"/>
    <w:basedOn w:val="10"/>
    <w:autoRedefine/>
    <w:qFormat/>
    <w:uiPriority w:val="0"/>
  </w:style>
  <w:style w:type="character" w:customStyle="1" w:styleId="19">
    <w:name w:val="hover"/>
    <w:basedOn w:val="10"/>
    <w:autoRedefine/>
    <w:qFormat/>
    <w:uiPriority w:val="0"/>
    <w:rPr>
      <w:color w:val="009DFF"/>
    </w:rPr>
  </w:style>
  <w:style w:type="character" w:customStyle="1" w:styleId="20">
    <w:name w:val="hover1"/>
    <w:basedOn w:val="10"/>
    <w:autoRedefine/>
    <w:qFormat/>
    <w:uiPriority w:val="0"/>
    <w:rPr>
      <w:color w:val="009DFF"/>
    </w:rPr>
  </w:style>
  <w:style w:type="character" w:customStyle="1" w:styleId="21">
    <w:name w:val="tmpztreemove_arrow"/>
    <w:basedOn w:val="10"/>
    <w:autoRedefine/>
    <w:qFormat/>
    <w:uiPriority w:val="0"/>
  </w:style>
  <w:style w:type="character" w:customStyle="1" w:styleId="22">
    <w:name w:val="button"/>
    <w:basedOn w:val="10"/>
    <w:autoRedefine/>
    <w:qFormat/>
    <w:uiPriority w:val="0"/>
  </w:style>
  <w:style w:type="character" w:customStyle="1" w:styleId="23">
    <w:name w:val="button1"/>
    <w:basedOn w:val="10"/>
    <w:autoRedefine/>
    <w:qFormat/>
    <w:uiPriority w:val="0"/>
  </w:style>
  <w:style w:type="character" w:customStyle="1" w:styleId="24">
    <w:name w:val="ant-radio+*"/>
    <w:basedOn w:val="10"/>
    <w:autoRedefine/>
    <w:qFormat/>
    <w:uiPriority w:val="0"/>
  </w:style>
  <w:style w:type="character" w:customStyle="1" w:styleId="25">
    <w:name w:val="ant-tree-checkbox6"/>
    <w:basedOn w:val="10"/>
    <w:autoRedefine/>
    <w:qFormat/>
    <w:uiPriority w:val="0"/>
    <w:rPr>
      <w:vanish/>
    </w:rPr>
  </w:style>
  <w:style w:type="character" w:customStyle="1" w:styleId="26">
    <w:name w:val="first-of-type"/>
    <w:basedOn w:val="10"/>
    <w:autoRedefine/>
    <w:qFormat/>
    <w:uiPriority w:val="0"/>
    <w:rPr>
      <w:color w:val="FF0000"/>
    </w:rPr>
  </w:style>
  <w:style w:type="character" w:customStyle="1" w:styleId="27">
    <w:name w:val="first-of-type1"/>
    <w:basedOn w:val="10"/>
    <w:autoRedefine/>
    <w:qFormat/>
    <w:uiPriority w:val="0"/>
    <w:rPr>
      <w:color w:val="FF0000"/>
    </w:rPr>
  </w:style>
  <w:style w:type="character" w:customStyle="1" w:styleId="28">
    <w:name w:val="first-of-type2"/>
    <w:basedOn w:val="10"/>
    <w:autoRedefine/>
    <w:qFormat/>
    <w:uiPriority w:val="0"/>
    <w:rPr>
      <w:color w:val="FF0000"/>
    </w:rPr>
  </w:style>
  <w:style w:type="character" w:customStyle="1" w:styleId="29">
    <w:name w:val="ant-select-tree-checkbox2"/>
    <w:basedOn w:val="10"/>
    <w:autoRedefine/>
    <w:qFormat/>
    <w:uiPriority w:val="0"/>
  </w:style>
  <w:style w:type="character" w:customStyle="1" w:styleId="30">
    <w:name w:val="first-child"/>
    <w:basedOn w:val="10"/>
    <w:autoRedefine/>
    <w:qFormat/>
    <w:uiPriority w:val="0"/>
    <w:rPr>
      <w:color w:val="999999"/>
      <w:sz w:val="33"/>
      <w:szCs w:val="33"/>
    </w:rPr>
  </w:style>
  <w:style w:type="character" w:customStyle="1" w:styleId="31">
    <w:name w:val="first-child1"/>
    <w:basedOn w:val="10"/>
    <w:autoRedefine/>
    <w:qFormat/>
    <w:uiPriority w:val="0"/>
  </w:style>
  <w:style w:type="character" w:customStyle="1" w:styleId="32">
    <w:name w:val="passed-node"/>
    <w:basedOn w:val="10"/>
    <w:autoRedefine/>
    <w:qFormat/>
    <w:uiPriority w:val="0"/>
    <w:rPr>
      <w:bdr w:val="single" w:color="49A8D4" w:sz="6" w:space="0"/>
      <w:shd w:val="clear" w:fill="A9E3FF"/>
    </w:rPr>
  </w:style>
  <w:style w:type="character" w:customStyle="1" w:styleId="33">
    <w:name w:val="auto-pass-node"/>
    <w:basedOn w:val="10"/>
    <w:autoRedefine/>
    <w:qFormat/>
    <w:uiPriority w:val="0"/>
    <w:rPr>
      <w:bdr w:val="single" w:color="DC4446" w:sz="6" w:space="0"/>
      <w:shd w:val="clear" w:fill="A9E2FF"/>
    </w:rPr>
  </w:style>
  <w:style w:type="character" w:customStyle="1" w:styleId="34">
    <w:name w:val="ant-tree-switcher6"/>
    <w:basedOn w:val="10"/>
    <w:autoRedefine/>
    <w:qFormat/>
    <w:uiPriority w:val="0"/>
  </w:style>
  <w:style w:type="character" w:customStyle="1" w:styleId="35">
    <w:name w:val="ant-table-row-expand-icon4"/>
    <w:basedOn w:val="10"/>
    <w:autoRedefine/>
    <w:qFormat/>
    <w:uiPriority w:val="0"/>
    <w:rPr>
      <w:vanish/>
    </w:rPr>
  </w:style>
  <w:style w:type="character" w:customStyle="1" w:styleId="36">
    <w:name w:val="current-node"/>
    <w:basedOn w:val="10"/>
    <w:autoRedefine/>
    <w:qFormat/>
    <w:uiPriority w:val="0"/>
    <w:rPr>
      <w:bdr w:val="single" w:color="F5B87B" w:sz="6" w:space="0"/>
      <w:shd w:val="clear" w:fill="FFE8CC"/>
    </w:rPr>
  </w:style>
  <w:style w:type="character" w:customStyle="1" w:styleId="37">
    <w:name w:val="ant-select-tree-switcher"/>
    <w:basedOn w:val="10"/>
    <w:autoRedefine/>
    <w:qFormat/>
    <w:uiPriority w:val="0"/>
  </w:style>
  <w:style w:type="character" w:customStyle="1" w:styleId="38">
    <w:name w:val="ant-select-tree-iconele"/>
    <w:basedOn w:val="10"/>
    <w:autoRedefine/>
    <w:qFormat/>
    <w:uiPriority w:val="0"/>
  </w:style>
  <w:style w:type="character" w:customStyle="1" w:styleId="39">
    <w:name w:val="wea-thumbnails-doc-content-subtitle"/>
    <w:basedOn w:val="10"/>
    <w:autoRedefine/>
    <w:qFormat/>
    <w:uiPriority w:val="0"/>
    <w:rPr>
      <w:color w:val="9A9A9A"/>
    </w:rPr>
  </w:style>
  <w:style w:type="character" w:customStyle="1" w:styleId="40">
    <w:name w:val="not-pass-node"/>
    <w:basedOn w:val="10"/>
    <w:autoRedefine/>
    <w:qFormat/>
    <w:uiPriority w:val="0"/>
    <w:rPr>
      <w:bdr w:val="single" w:color="5ABD6B" w:sz="6" w:space="0"/>
      <w:shd w:val="clear" w:fill="BFF3C3"/>
    </w:rPr>
  </w:style>
  <w:style w:type="character" w:customStyle="1" w:styleId="41">
    <w:name w:val="last-child1"/>
    <w:basedOn w:val="10"/>
    <w:autoRedefine/>
    <w:qFormat/>
    <w:uiPriority w:val="0"/>
  </w:style>
  <w:style w:type="character" w:customStyle="1" w:styleId="42">
    <w:name w:val="style23"/>
    <w:basedOn w:val="10"/>
    <w:autoRedefine/>
    <w:qFormat/>
    <w:uiPriority w:val="0"/>
    <w:rPr>
      <w:rFonts w:ascii="Times New Roman" w:hAnsi="Times New Roman" w:eastAsia="宋体" w:cs="Times New Roman"/>
    </w:rPr>
  </w:style>
  <w:style w:type="paragraph" w:styleId="43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Office_12.1.0.16704_F1E327BC-269C-435d-A152-05C5408002CA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2024-02-27T09:20:00Z</dcterms:created>
  <dc:creator>WPS</dc:creator>
  <cp:lastModifiedBy>WPS</cp:lastModifiedBy>
  <cp:lastPrinted>2024-03-21T01:06:00Z</cp:lastPrinted>
  <dcterms:modified xsi:type="dcterms:W3CDTF">2024-03-29T01:08:38Z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2052-12.1.0.16704</vt:lpwstr>
  </property>
  <property fmtid="{D5CDD505-2E9C-101B-9397-08002B2CF9AE}" pid="3" name="ICV">
    <vt:lpwstr>54D86A6CCF874C65A88F8FDF1C6D0478_11</vt:lpwstr>
  </property>
</Properties>
</file>