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jc w:val="left"/>
        <w:outlineLvl w:val="0"/>
        <w:rPr>
          <w:rFonts w:hAnsi="宋体" w:eastAsia="宋体" w:cs="宋体"/>
          <w:bCs/>
          <w:sz w:val="28"/>
          <w:szCs w:val="28"/>
        </w:rPr>
      </w:pPr>
      <w:r>
        <w:rPr>
          <w:rFonts w:hint="eastAsia" w:hAnsi="宋体" w:eastAsia="宋体" w:cs="宋体"/>
          <w:bCs/>
          <w:sz w:val="28"/>
          <w:szCs w:val="28"/>
        </w:rPr>
        <w:t>附件1</w:t>
      </w:r>
    </w:p>
    <w:p>
      <w:pPr>
        <w:pStyle w:val="6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tbl>
      <w:tblPr>
        <w:tblStyle w:val="9"/>
        <w:tblW w:w="101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"/>
        <w:gridCol w:w="846"/>
        <w:gridCol w:w="427"/>
        <w:gridCol w:w="741"/>
        <w:gridCol w:w="89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预算</w:t>
            </w:r>
          </w:p>
        </w:tc>
        <w:tc>
          <w:tcPr>
            <w:tcW w:w="7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采购内容及要求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南宁中心血站2024年966614号码认证、企业名片展示服务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20000元</w:t>
            </w:r>
          </w:p>
        </w:tc>
        <w:tc>
          <w:tcPr>
            <w:tcW w:w="7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b/>
                <w:highlight w:val="none"/>
              </w:rPr>
            </w:pPr>
            <w:r>
              <w:rPr>
                <w:rFonts w:hint="eastAsia"/>
                <w:b/>
                <w:highlight w:val="none"/>
              </w:rPr>
              <w:t>一、项目概况：</w:t>
            </w:r>
          </w:p>
          <w:p>
            <w:pPr>
              <w:spacing w:line="360" w:lineRule="auto"/>
              <w:ind w:firstLine="420" w:firstLineChars="200"/>
              <w:jc w:val="lef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1、对南宁中心血站</w:t>
            </w:r>
            <w:r>
              <w:rPr>
                <w:rFonts w:hint="eastAsia"/>
                <w:highlight w:val="none"/>
                <w:lang w:val="en-US" w:eastAsia="zh-CN"/>
              </w:rPr>
              <w:t>966614</w:t>
            </w: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号码认证</w:t>
            </w:r>
            <w:r>
              <w:rPr>
                <w:rFonts w:hint="eastAsia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及</w:t>
            </w: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企业名片</w:t>
            </w:r>
            <w:r>
              <w:rPr>
                <w:rFonts w:hint="eastAsia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进行</w:t>
            </w: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highlight w:val="none"/>
                <w:lang w:val="en-US" w:eastAsia="zh-CN" w:bidi="ar-SA"/>
              </w:rPr>
              <w:t>展示</w:t>
            </w:r>
            <w:r>
              <w:rPr>
                <w:rFonts w:hint="eastAsia"/>
                <w:highlight w:val="none"/>
              </w:rPr>
              <w:t>。</w:t>
            </w:r>
            <w:r>
              <w:rPr>
                <w:rFonts w:hint="eastAsia"/>
                <w:highlight w:val="none"/>
                <w:lang w:val="en-US" w:eastAsia="zh-CN"/>
              </w:rPr>
              <w:t>要求</w:t>
            </w:r>
            <w:r>
              <w:rPr>
                <w:rFonts w:hint="eastAsia"/>
                <w:highlight w:val="none"/>
              </w:rPr>
              <w:t>提供通讯场景服务号码安全服务，正确展示甲方企业名片，取代原先标记的广告营销、骚扰等信息。暨：认证号码能够在华为、小米、OPPO、VIVO等主流国产手机显示我单位字样。展示界面包括手机的来电页面、去电页面、通话详情页面、通话列表页面、第三方软件</w:t>
            </w:r>
            <w:r>
              <w:rPr>
                <w:rFonts w:hint="eastAsia"/>
                <w:highlight w:val="none"/>
                <w:lang w:eastAsia="zh-CN"/>
              </w:rPr>
              <w:t>，</w:t>
            </w:r>
            <w:r>
              <w:rPr>
                <w:rFonts w:hint="eastAsia"/>
                <w:highlight w:val="none"/>
              </w:rPr>
              <w:t>在终端、APP等多渠道上为单位提供身份认证、号码保护、企业信息发布的互联网名片服务。</w:t>
            </w:r>
          </w:p>
          <w:p>
            <w:pPr>
              <w:pStyle w:val="7"/>
              <w:spacing w:line="360" w:lineRule="exact"/>
              <w:rPr>
                <w:rFonts w:hint="eastAsia" w:eastAsia="宋体"/>
                <w:highlight w:val="none"/>
                <w:lang w:val="en-US" w:eastAsia="zh-CN"/>
              </w:rPr>
            </w:pPr>
          </w:p>
          <w:p>
            <w:pPr>
              <w:numPr>
                <w:ilvl w:val="0"/>
                <w:numId w:val="2"/>
              </w:numPr>
              <w:spacing w:line="360" w:lineRule="auto"/>
              <w:rPr>
                <w:rFonts w:hint="eastAsia"/>
                <w:b/>
                <w:highlight w:val="none"/>
              </w:rPr>
            </w:pPr>
            <w:r>
              <w:rPr>
                <w:rFonts w:hint="eastAsia"/>
                <w:b/>
                <w:highlight w:val="none"/>
                <w:lang w:val="en-US" w:eastAsia="zh-CN"/>
              </w:rPr>
              <w:t>项目需求</w:t>
            </w:r>
            <w:r>
              <w:rPr>
                <w:rFonts w:hint="eastAsia"/>
                <w:b/>
                <w:highlight w:val="none"/>
              </w:rPr>
              <w:t>：</w:t>
            </w:r>
          </w:p>
          <w:p>
            <w:pPr>
              <w:spacing w:line="360" w:lineRule="auto"/>
              <w:ind w:firstLine="420" w:firstLineChars="200"/>
              <w:jc w:val="lef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1、单位身份实名</w:t>
            </w:r>
          </w:p>
          <w:p>
            <w:pPr>
              <w:spacing w:line="360" w:lineRule="auto"/>
              <w:ind w:firstLine="420" w:firstLineChars="200"/>
              <w:jc w:val="lef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提供受理信誉实名服务，展示单位真实准确的号码使用者身份；结合大数据分析，深度实名认证，多维度数据碰撞，协助单位及时发现身份受损问题，保证品牌形象。</w:t>
            </w:r>
          </w:p>
          <w:p>
            <w:pPr>
              <w:spacing w:line="360" w:lineRule="auto"/>
              <w:ind w:firstLine="420" w:firstLineChars="200"/>
              <w:jc w:val="lef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  <w:lang w:val="en-US" w:eastAsia="zh-CN"/>
              </w:rPr>
              <w:t>2、</w:t>
            </w:r>
            <w:r>
              <w:rPr>
                <w:rFonts w:hint="eastAsia"/>
                <w:highlight w:val="none"/>
              </w:rPr>
              <w:t>单位号码保护</w:t>
            </w:r>
          </w:p>
          <w:p>
            <w:pPr>
              <w:spacing w:line="360" w:lineRule="auto"/>
              <w:ind w:firstLine="420" w:firstLineChars="200"/>
              <w:jc w:val="lef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更新单位对外身份数据，实时保护单位身份；拒绝误标和信息冲突，恢复品牌单位信誉价值，优化号码展示体验。</w:t>
            </w:r>
          </w:p>
          <w:p>
            <w:pPr>
              <w:spacing w:line="360" w:lineRule="auto"/>
              <w:ind w:firstLine="420" w:firstLineChars="200"/>
              <w:jc w:val="lef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  <w:lang w:val="en-US" w:eastAsia="zh-CN"/>
              </w:rPr>
              <w:t>3、</w:t>
            </w:r>
            <w:r>
              <w:rPr>
                <w:rFonts w:hint="eastAsia"/>
                <w:highlight w:val="none"/>
              </w:rPr>
              <w:t>单位信息发布</w:t>
            </w:r>
          </w:p>
          <w:p>
            <w:pPr>
              <w:spacing w:line="360" w:lineRule="auto"/>
              <w:ind w:firstLine="420" w:firstLineChars="200"/>
              <w:jc w:val="lef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基于APP、合作终端等多平台的统一单位信息展示发布界面，确保展示信息的一致性，统一展示内容，保证单位身份价值。</w:t>
            </w:r>
          </w:p>
          <w:p>
            <w:pPr>
              <w:spacing w:line="360" w:lineRule="auto"/>
              <w:ind w:firstLine="210" w:firstLineChars="100"/>
              <w:jc w:val="center"/>
            </w:pPr>
            <w:r>
              <w:rPr>
                <w:rFonts w:asciiTheme="minorEastAsia" w:hAnsiTheme="minorEastAsia"/>
                <w:szCs w:val="21"/>
              </w:rPr>
              <w:drawing>
                <wp:inline distT="0" distB="0" distL="0" distR="0">
                  <wp:extent cx="1724025" cy="3005455"/>
                  <wp:effectExtent l="0" t="0" r="9525" b="4445"/>
                  <wp:docPr id="1834393609" name="图片 5" descr="0bb1025aff13f178a2c70b53e519d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4393609" name="图片 5" descr="0bb1025aff13f178a2c70b53e519d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6970" cy="3005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0" distR="0">
                  <wp:extent cx="1662430" cy="3012440"/>
                  <wp:effectExtent l="0" t="0" r="13970" b="16510"/>
                  <wp:docPr id="3" name="图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2430" cy="301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0" distR="0">
                  <wp:extent cx="1751330" cy="3019425"/>
                  <wp:effectExtent l="0" t="0" r="1270" b="9525"/>
                  <wp:docPr id="4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1330" cy="3019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/>
              <w:ind w:firstLine="200" w:firstLineChars="100"/>
              <w:jc w:val="center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（实名后单位身份信息展示）</w:t>
            </w:r>
          </w:p>
          <w:p>
            <w:pPr>
              <w:spacing w:line="360" w:lineRule="auto"/>
              <w:ind w:firstLine="210" w:firstLineChars="100"/>
              <w:jc w:val="left"/>
              <w:rPr>
                <w:rFonts w:hint="eastAsia" w:eastAsiaTheme="minorEastAsia"/>
                <w:sz w:val="20"/>
                <w:szCs w:val="22"/>
                <w:lang w:eastAsia="zh-CN"/>
              </w:rPr>
            </w:pPr>
            <w:r>
              <w:rPr>
                <w:rFonts w:hint="eastAsia"/>
              </w:rPr>
              <w:t>机型覆盖清单</w:t>
            </w:r>
            <w:r>
              <w:rPr>
                <w:rFonts w:hint="eastAsia"/>
                <w:lang w:eastAsia="zh-CN"/>
              </w:rPr>
              <w:t>：</w:t>
            </w:r>
          </w:p>
          <w:tbl>
            <w:tblPr>
              <w:tblStyle w:val="9"/>
              <w:tblW w:w="8732" w:type="dxa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75"/>
              <w:gridCol w:w="737"/>
              <w:gridCol w:w="732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0" w:hRule="atLeast"/>
                <w:jc w:val="center"/>
              </w:trPr>
              <w:tc>
                <w:tcPr>
                  <w:tcW w:w="6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b/>
                      <w:color w:val="000000"/>
                      <w:kern w:val="0"/>
                      <w:sz w:val="22"/>
                      <w:szCs w:val="22"/>
                      <w:lang w:bidi="ar"/>
                    </w:rPr>
                    <w:t>序号</w:t>
                  </w:r>
                </w:p>
              </w:tc>
              <w:tc>
                <w:tcPr>
                  <w:tcW w:w="73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b/>
                      <w:color w:val="000000"/>
                      <w:kern w:val="0"/>
                      <w:sz w:val="22"/>
                      <w:szCs w:val="22"/>
                      <w:lang w:bidi="ar"/>
                    </w:rPr>
                    <w:t>厂商</w:t>
                  </w:r>
                </w:p>
              </w:tc>
              <w:tc>
                <w:tcPr>
                  <w:tcW w:w="73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b/>
                      <w:color w:val="000000"/>
                      <w:kern w:val="0"/>
                      <w:sz w:val="22"/>
                      <w:szCs w:val="22"/>
                      <w:lang w:bidi="ar"/>
                    </w:rPr>
                    <w:t>覆盖终端/版本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0" w:hRule="atLeast"/>
                <w:jc w:val="center"/>
              </w:trPr>
              <w:tc>
                <w:tcPr>
                  <w:tcW w:w="677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 w:val="20"/>
                      <w:szCs w:val="20"/>
                      <w:lang w:bidi="ar"/>
                    </w:rPr>
                    <w:t>1</w:t>
                  </w:r>
                </w:p>
              </w:tc>
              <w:tc>
                <w:tcPr>
                  <w:tcW w:w="738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BFBFBF"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 w:val="20"/>
                      <w:szCs w:val="20"/>
                      <w:lang w:bidi="ar"/>
                    </w:rPr>
                    <w:t>OPPO</w:t>
                  </w:r>
                </w:p>
              </w:tc>
              <w:tc>
                <w:tcPr>
                  <w:tcW w:w="7317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tbl>
                  <w:tblPr>
                    <w:tblStyle w:val="9"/>
                    <w:tblW w:w="0" w:type="auto"/>
                    <w:tblInd w:w="0" w:type="dxa"/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266"/>
                    <w:gridCol w:w="1266"/>
                    <w:gridCol w:w="2211"/>
                    <w:gridCol w:w="2264"/>
                  </w:tblGrid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A1</w:t>
                        </w:r>
                      </w:p>
                    </w:tc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A7</w:t>
                        </w:r>
                      </w:p>
                    </w:tc>
                    <w:tc>
                      <w:tcPr>
                        <w:tcW w:w="22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A92</w:t>
                        </w:r>
                      </w:p>
                    </w:tc>
                    <w:tc>
                      <w:tcPr>
                        <w:tcW w:w="22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R11s星幕新年版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A11</w:t>
                        </w:r>
                      </w:p>
                    </w:tc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A73</w:t>
                        </w:r>
                      </w:p>
                    </w:tc>
                    <w:tc>
                      <w:tcPr>
                        <w:tcW w:w="22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A93</w:t>
                        </w:r>
                      </w:p>
                    </w:tc>
                    <w:tc>
                      <w:tcPr>
                        <w:tcW w:w="22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R11t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A3</w:t>
                        </w:r>
                      </w:p>
                    </w:tc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A73t</w:t>
                        </w:r>
                      </w:p>
                    </w:tc>
                    <w:tc>
                      <w:tcPr>
                        <w:tcW w:w="22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Find X</w:t>
                        </w:r>
                      </w:p>
                    </w:tc>
                    <w:tc>
                      <w:tcPr>
                        <w:tcW w:w="22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R15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A32</w:t>
                        </w:r>
                      </w:p>
                    </w:tc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A77</w:t>
                        </w:r>
                      </w:p>
                    </w:tc>
                    <w:tc>
                      <w:tcPr>
                        <w:tcW w:w="22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Find X2</w:t>
                        </w:r>
                      </w:p>
                    </w:tc>
                    <w:tc>
                      <w:tcPr>
                        <w:tcW w:w="22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R15梦境版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A37</w:t>
                        </w:r>
                      </w:p>
                    </w:tc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A77t</w:t>
                        </w:r>
                      </w:p>
                    </w:tc>
                    <w:tc>
                      <w:tcPr>
                        <w:tcW w:w="22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R11</w:t>
                        </w:r>
                      </w:p>
                    </w:tc>
                    <w:tc>
                      <w:tcPr>
                        <w:tcW w:w="22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R15星云特别版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A5</w:t>
                        </w:r>
                      </w:p>
                    </w:tc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A79</w:t>
                        </w:r>
                      </w:p>
                    </w:tc>
                    <w:tc>
                      <w:tcPr>
                        <w:tcW w:w="22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 xml:space="preserve">OPPO R11 Plus </w:t>
                        </w:r>
                      </w:p>
                    </w:tc>
                    <w:tc>
                      <w:tcPr>
                        <w:tcW w:w="22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R17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A52</w:t>
                        </w:r>
                      </w:p>
                    </w:tc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A79k</w:t>
                        </w:r>
                      </w:p>
                    </w:tc>
                    <w:tc>
                      <w:tcPr>
                        <w:tcW w:w="22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R11 Plus kt</w:t>
                        </w:r>
                      </w:p>
                    </w:tc>
                    <w:tc>
                      <w:tcPr>
                        <w:tcW w:w="22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R17Pro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A53</w:t>
                        </w:r>
                      </w:p>
                    </w:tc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A79kt</w:t>
                        </w:r>
                      </w:p>
                    </w:tc>
                    <w:tc>
                      <w:tcPr>
                        <w:tcW w:w="22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R11 Plusk</w:t>
                        </w:r>
                      </w:p>
                    </w:tc>
                    <w:tc>
                      <w:tcPr>
                        <w:tcW w:w="22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R9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A55</w:t>
                        </w:r>
                      </w:p>
                    </w:tc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A79t</w:t>
                        </w:r>
                      </w:p>
                    </w:tc>
                    <w:tc>
                      <w:tcPr>
                        <w:tcW w:w="22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R11 Plust</w:t>
                        </w:r>
                      </w:p>
                    </w:tc>
                    <w:tc>
                      <w:tcPr>
                        <w:tcW w:w="22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R9（最新rom）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A57</w:t>
                        </w:r>
                      </w:p>
                    </w:tc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A8</w:t>
                        </w:r>
                      </w:p>
                    </w:tc>
                    <w:tc>
                      <w:tcPr>
                        <w:tcW w:w="22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R11 巴萨限量版</w:t>
                        </w:r>
                      </w:p>
                    </w:tc>
                    <w:tc>
                      <w:tcPr>
                        <w:tcW w:w="22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R9s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A59</w:t>
                        </w:r>
                      </w:p>
                    </w:tc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A83</w:t>
                        </w:r>
                      </w:p>
                    </w:tc>
                    <w:tc>
                      <w:tcPr>
                        <w:tcW w:w="22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R11s</w:t>
                        </w:r>
                      </w:p>
                    </w:tc>
                    <w:tc>
                      <w:tcPr>
                        <w:tcW w:w="22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R9s Plus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A59s</w:t>
                        </w:r>
                      </w:p>
                    </w:tc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A9</w:t>
                        </w:r>
                      </w:p>
                    </w:tc>
                    <w:tc>
                      <w:tcPr>
                        <w:tcW w:w="22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R11s Plus</w:t>
                        </w:r>
                      </w:p>
                    </w:tc>
                    <w:tc>
                      <w:tcPr>
                        <w:tcW w:w="22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R9skt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A59st</w:t>
                        </w:r>
                      </w:p>
                    </w:tc>
                    <w:tc>
                      <w:tcPr>
                        <w:tcW w:w="12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A91</w:t>
                        </w:r>
                      </w:p>
                    </w:tc>
                    <w:tc>
                      <w:tcPr>
                        <w:tcW w:w="22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R11st</w:t>
                        </w:r>
                      </w:p>
                    </w:tc>
                    <w:tc>
                      <w:tcPr>
                        <w:tcW w:w="22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OPPO Realme</w:t>
                        </w:r>
                      </w:p>
                    </w:tc>
                  </w:tr>
                </w:tbl>
                <w:p>
                  <w:pPr>
                    <w:widowControl/>
                    <w:jc w:val="left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48"/>
                      <w:rFonts w:hint="default" w:ascii="宋体" w:hAnsi="宋体" w:cs="宋体"/>
                      <w:sz w:val="18"/>
                      <w:szCs w:val="18"/>
                      <w:lang w:bidi="ar"/>
                    </w:rPr>
                    <w:t>OPPO Reno系列以及后续所有新发机型（coloros2.1及以上都支持）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0" w:hRule="atLeast"/>
                <w:jc w:val="center"/>
              </w:trPr>
              <w:tc>
                <w:tcPr>
                  <w:tcW w:w="677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ascii="宋体" w:hAnsi="宋体" w:cs="宋体"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38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BFBFBF"/>
                  <w:vAlign w:val="center"/>
                </w:tcPr>
                <w:p>
                  <w:pPr>
                    <w:jc w:val="center"/>
                    <w:rPr>
                      <w:rFonts w:ascii="宋体" w:hAnsi="宋体" w:cs="宋体"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317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left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0" w:hRule="atLeast"/>
                <w:jc w:val="center"/>
              </w:trPr>
              <w:tc>
                <w:tcPr>
                  <w:tcW w:w="677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ascii="宋体" w:hAnsi="宋体" w:cs="宋体"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38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BFBFBF"/>
                  <w:vAlign w:val="center"/>
                </w:tcPr>
                <w:p>
                  <w:pPr>
                    <w:jc w:val="center"/>
                    <w:rPr>
                      <w:rFonts w:ascii="宋体" w:hAnsi="宋体" w:cs="宋体"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317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left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40" w:hRule="atLeast"/>
                <w:jc w:val="center"/>
              </w:trPr>
              <w:tc>
                <w:tcPr>
                  <w:tcW w:w="677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ascii="宋体" w:hAnsi="宋体" w:cs="宋体"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38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BFBFBF"/>
                  <w:vAlign w:val="center"/>
                </w:tcPr>
                <w:p>
                  <w:pPr>
                    <w:jc w:val="center"/>
                    <w:rPr>
                      <w:rFonts w:ascii="宋体" w:hAnsi="宋体" w:cs="宋体"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317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left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0" w:hRule="atLeast"/>
                <w:jc w:val="center"/>
              </w:trPr>
              <w:tc>
                <w:tcPr>
                  <w:tcW w:w="677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 w:val="20"/>
                      <w:szCs w:val="20"/>
                      <w:lang w:bidi="ar"/>
                    </w:rPr>
                    <w:t>2</w:t>
                  </w:r>
                </w:p>
              </w:tc>
              <w:tc>
                <w:tcPr>
                  <w:tcW w:w="738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BFBFBF"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 w:val="20"/>
                      <w:szCs w:val="20"/>
                      <w:lang w:bidi="ar"/>
                    </w:rPr>
                    <w:t>vivo</w:t>
                  </w:r>
                </w:p>
              </w:tc>
              <w:tc>
                <w:tcPr>
                  <w:tcW w:w="7317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tbl>
                  <w:tblPr>
                    <w:tblStyle w:val="9"/>
                    <w:tblW w:w="6078" w:type="dxa"/>
                    <w:tblInd w:w="0" w:type="dxa"/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950"/>
                    <w:gridCol w:w="1610"/>
                    <w:gridCol w:w="1329"/>
                    <w:gridCol w:w="1189"/>
                  </w:tblGrid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9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iQOO系列</w:t>
                        </w:r>
                      </w:p>
                    </w:tc>
                    <w:tc>
                      <w:tcPr>
                        <w:tcW w:w="1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X50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Y51</w:t>
                        </w:r>
                      </w:p>
                    </w:tc>
                    <w:tc>
                      <w:tcPr>
                        <w:tcW w:w="118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Y79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9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NEX</w:t>
                        </w:r>
                      </w:p>
                    </w:tc>
                    <w:tc>
                      <w:tcPr>
                        <w:tcW w:w="1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X6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Y52</w:t>
                        </w:r>
                      </w:p>
                    </w:tc>
                    <w:tc>
                      <w:tcPr>
                        <w:tcW w:w="118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Y81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9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NEX双屏版</w:t>
                        </w:r>
                      </w:p>
                    </w:tc>
                    <w:tc>
                      <w:tcPr>
                        <w:tcW w:w="1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X60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Y53</w:t>
                        </w:r>
                      </w:p>
                    </w:tc>
                    <w:tc>
                      <w:tcPr>
                        <w:tcW w:w="118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Y83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9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U1</w:t>
                        </w:r>
                      </w:p>
                    </w:tc>
                    <w:tc>
                      <w:tcPr>
                        <w:tcW w:w="1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X9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Y55</w:t>
                        </w:r>
                      </w:p>
                    </w:tc>
                    <w:tc>
                      <w:tcPr>
                        <w:tcW w:w="118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Y85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9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U3</w:t>
                        </w:r>
                      </w:p>
                    </w:tc>
                    <w:tc>
                      <w:tcPr>
                        <w:tcW w:w="1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X9 Plus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Y66</w:t>
                        </w:r>
                      </w:p>
                    </w:tc>
                    <w:tc>
                      <w:tcPr>
                        <w:tcW w:w="118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Y89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9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X20</w:t>
                        </w:r>
                      </w:p>
                    </w:tc>
                    <w:tc>
                      <w:tcPr>
                        <w:tcW w:w="1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X9s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Y67</w:t>
                        </w:r>
                      </w:p>
                    </w:tc>
                    <w:tc>
                      <w:tcPr>
                        <w:tcW w:w="118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Y91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9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X20Plus</w:t>
                        </w:r>
                      </w:p>
                    </w:tc>
                    <w:tc>
                      <w:tcPr>
                        <w:tcW w:w="1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X9s Plus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Y69A</w:t>
                        </w:r>
                      </w:p>
                    </w:tc>
                    <w:tc>
                      <w:tcPr>
                        <w:tcW w:w="118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Y93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9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X21</w:t>
                        </w:r>
                      </w:p>
                    </w:tc>
                    <w:tc>
                      <w:tcPr>
                        <w:tcW w:w="1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Xplay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Y7</w:t>
                        </w:r>
                      </w:p>
                    </w:tc>
                    <w:tc>
                      <w:tcPr>
                        <w:tcW w:w="118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Y95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9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X21i</w:t>
                        </w:r>
                      </w:p>
                    </w:tc>
                    <w:tc>
                      <w:tcPr>
                        <w:tcW w:w="1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Y3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Y70</w:t>
                        </w:r>
                      </w:p>
                    </w:tc>
                    <w:tc>
                      <w:tcPr>
                        <w:tcW w:w="118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Y97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9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X23</w:t>
                        </w:r>
                      </w:p>
                    </w:tc>
                    <w:tc>
                      <w:tcPr>
                        <w:tcW w:w="1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Y30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Y71</w:t>
                        </w:r>
                      </w:p>
                    </w:tc>
                    <w:tc>
                      <w:tcPr>
                        <w:tcW w:w="118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Z1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9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X27</w:t>
                        </w:r>
                      </w:p>
                    </w:tc>
                    <w:tc>
                      <w:tcPr>
                        <w:tcW w:w="1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Y31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Y73</w:t>
                        </w:r>
                      </w:p>
                    </w:tc>
                    <w:tc>
                      <w:tcPr>
                        <w:tcW w:w="118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Z3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9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X3</w:t>
                        </w:r>
                      </w:p>
                    </w:tc>
                    <w:tc>
                      <w:tcPr>
                        <w:tcW w:w="1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Y5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Y75</w:t>
                        </w:r>
                      </w:p>
                    </w:tc>
                    <w:tc>
                      <w:tcPr>
                        <w:tcW w:w="118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Z5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19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X30</w:t>
                        </w:r>
                      </w:p>
                    </w:tc>
                    <w:tc>
                      <w:tcPr>
                        <w:tcW w:w="1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Y50</w:t>
                        </w:r>
                      </w:p>
                    </w:tc>
                    <w:tc>
                      <w:tcPr>
                        <w:tcW w:w="132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Y75s</w:t>
                        </w:r>
                      </w:p>
                    </w:tc>
                    <w:tc>
                      <w:tcPr>
                        <w:tcW w:w="118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vivo Z6</w:t>
                        </w:r>
                      </w:p>
                    </w:tc>
                  </w:tr>
                </w:tbl>
                <w:p>
                  <w:pPr>
                    <w:widowControl/>
                    <w:jc w:val="left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48"/>
                      <w:rFonts w:hint="default" w:ascii="宋体" w:hAnsi="宋体" w:cs="宋体"/>
                      <w:sz w:val="18"/>
                      <w:szCs w:val="18"/>
                      <w:lang w:bidi="ar"/>
                    </w:rPr>
                    <w:t>vivo Xplay6（funtouch 3.0及以上都支持）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0" w:hRule="atLeast"/>
                <w:jc w:val="center"/>
              </w:trPr>
              <w:tc>
                <w:tcPr>
                  <w:tcW w:w="677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ascii="宋体" w:hAnsi="宋体" w:cs="宋体"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38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BFBFBF"/>
                  <w:vAlign w:val="center"/>
                </w:tcPr>
                <w:p>
                  <w:pPr>
                    <w:jc w:val="center"/>
                    <w:rPr>
                      <w:rFonts w:ascii="宋体" w:hAnsi="宋体" w:cs="宋体"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317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left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0" w:hRule="atLeast"/>
                <w:jc w:val="center"/>
              </w:trPr>
              <w:tc>
                <w:tcPr>
                  <w:tcW w:w="677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ascii="宋体" w:hAnsi="宋体" w:cs="宋体"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38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BFBFBF"/>
                  <w:vAlign w:val="center"/>
                </w:tcPr>
                <w:p>
                  <w:pPr>
                    <w:jc w:val="center"/>
                    <w:rPr>
                      <w:rFonts w:ascii="宋体" w:hAnsi="宋体" w:cs="宋体"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317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left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72" w:hRule="atLeast"/>
                <w:jc w:val="center"/>
              </w:trPr>
              <w:tc>
                <w:tcPr>
                  <w:tcW w:w="677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ascii="宋体" w:hAnsi="宋体" w:cs="宋体"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38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BFBFBF"/>
                  <w:vAlign w:val="center"/>
                </w:tcPr>
                <w:p>
                  <w:pPr>
                    <w:jc w:val="center"/>
                    <w:rPr>
                      <w:rFonts w:ascii="宋体" w:hAnsi="宋体" w:cs="宋体"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317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left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0" w:hRule="atLeast"/>
                <w:jc w:val="center"/>
              </w:trPr>
              <w:tc>
                <w:tcPr>
                  <w:tcW w:w="6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 w:val="20"/>
                      <w:szCs w:val="20"/>
                      <w:lang w:bidi="ar"/>
                    </w:rPr>
                    <w:t>3</w:t>
                  </w:r>
                </w:p>
              </w:tc>
              <w:tc>
                <w:tcPr>
                  <w:tcW w:w="73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BFBFBF"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sz w:val="20"/>
                      <w:szCs w:val="20"/>
                    </w:rPr>
                    <w:t>小米</w:t>
                  </w:r>
                </w:p>
              </w:tc>
              <w:tc>
                <w:tcPr>
                  <w:tcW w:w="73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tbl>
                  <w:tblPr>
                    <w:tblStyle w:val="9"/>
                    <w:tblW w:w="7104" w:type="dxa"/>
                    <w:tblInd w:w="0" w:type="dxa"/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2214"/>
                    <w:gridCol w:w="2400"/>
                    <w:gridCol w:w="2490"/>
                  </w:tblGrid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22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10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Max 2</w:t>
                        </w:r>
                      </w:p>
                    </w:tc>
                    <w:tc>
                      <w:tcPr>
                        <w:tcW w:w="2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Redmi K20 Pro（尊享版）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22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10 Pro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Max 3</w:t>
                        </w:r>
                      </w:p>
                    </w:tc>
                    <w:tc>
                      <w:tcPr>
                        <w:tcW w:w="2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Redmi K30 Redmi K30 5G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22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11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MIX</w:t>
                        </w:r>
                      </w:p>
                    </w:tc>
                    <w:tc>
                      <w:tcPr>
                        <w:tcW w:w="2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 xml:space="preserve">Redmi Note 7 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22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11 pro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MIX （尊享版）</w:t>
                        </w:r>
                      </w:p>
                    </w:tc>
                    <w:tc>
                      <w:tcPr>
                        <w:tcW w:w="2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Redmi Note 7 Pro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22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12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MIX 2</w:t>
                        </w:r>
                      </w:p>
                    </w:tc>
                    <w:tc>
                      <w:tcPr>
                        <w:tcW w:w="2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Redmi Note 8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22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12 pro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MIX 2（尊享版）</w:t>
                        </w:r>
                      </w:p>
                    </w:tc>
                    <w:tc>
                      <w:tcPr>
                        <w:tcW w:w="2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Redmi Note 8 Pro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22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12 ultra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MIX 2S</w:t>
                        </w:r>
                      </w:p>
                    </w:tc>
                    <w:tc>
                      <w:tcPr>
                        <w:tcW w:w="2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红米 3S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22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4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MIX 2S（翡翠版）</w:t>
                        </w:r>
                      </w:p>
                    </w:tc>
                    <w:tc>
                      <w:tcPr>
                        <w:tcW w:w="2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红米 3X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22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4（电信4G版）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MIX 3</w:t>
                        </w:r>
                      </w:p>
                    </w:tc>
                    <w:tc>
                      <w:tcPr>
                        <w:tcW w:w="2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红米 4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22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4C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MIX Alpha</w:t>
                        </w:r>
                      </w:p>
                    </w:tc>
                    <w:tc>
                      <w:tcPr>
                        <w:tcW w:w="2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红米 4A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22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4S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Note 2</w:t>
                        </w:r>
                      </w:p>
                    </w:tc>
                    <w:tc>
                      <w:tcPr>
                        <w:tcW w:w="2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红米 4X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22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 xml:space="preserve">小米 5 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Note 2（全网通版）</w:t>
                        </w:r>
                      </w:p>
                    </w:tc>
                    <w:tc>
                      <w:tcPr>
                        <w:tcW w:w="2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红米 5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22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5c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Note 3（4G版）</w:t>
                        </w:r>
                      </w:p>
                    </w:tc>
                    <w:tc>
                      <w:tcPr>
                        <w:tcW w:w="2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红米 5 Plus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22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5s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Note3（6G版）</w:t>
                        </w:r>
                      </w:p>
                    </w:tc>
                    <w:tc>
                      <w:tcPr>
                        <w:tcW w:w="2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红米 5A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22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5s Plus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play （6G版）</w:t>
                        </w:r>
                      </w:p>
                    </w:tc>
                    <w:tc>
                      <w:tcPr>
                        <w:tcW w:w="2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红米 6 Pro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22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 xml:space="preserve">小米 5X 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play （全网通）</w:t>
                        </w:r>
                      </w:p>
                    </w:tc>
                    <w:tc>
                      <w:tcPr>
                        <w:tcW w:w="2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 xml:space="preserve">红米 Note3（全网通版） 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22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6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Redmi 6A</w:t>
                        </w:r>
                      </w:p>
                    </w:tc>
                    <w:tc>
                      <w:tcPr>
                        <w:tcW w:w="2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 xml:space="preserve">红米 Note4 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22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6（陶瓷尊享）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Redmi 7</w:t>
                        </w:r>
                      </w:p>
                    </w:tc>
                    <w:tc>
                      <w:tcPr>
                        <w:tcW w:w="2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 xml:space="preserve">红米 Note4X 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22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6X（4G版）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Redmi 7A</w:t>
                        </w:r>
                      </w:p>
                    </w:tc>
                    <w:tc>
                      <w:tcPr>
                        <w:tcW w:w="2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红米 Note5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22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6X（初音未来版）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Redmi 8</w:t>
                        </w:r>
                      </w:p>
                    </w:tc>
                    <w:tc>
                      <w:tcPr>
                        <w:tcW w:w="2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红米 Note5A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22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8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Redmi 8A</w:t>
                        </w:r>
                      </w:p>
                    </w:tc>
                    <w:tc>
                      <w:tcPr>
                        <w:tcW w:w="2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红米 Pro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22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8 （屏幕指纹版）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Redmi K20</w:t>
                        </w:r>
                      </w:p>
                    </w:tc>
                    <w:tc>
                      <w:tcPr>
                        <w:tcW w:w="2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红米 Pro2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22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小米 8 SE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>Redmi K20 Pro</w:t>
                        </w:r>
                      </w:p>
                    </w:tc>
                    <w:tc>
                      <w:tcPr>
                        <w:tcW w:w="24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>
                        <w:pPr>
                          <w:widowControl/>
                          <w:jc w:val="left"/>
                          <w:rPr>
                            <w:rFonts w:ascii="宋体" w:hAnsi="宋体" w:cs="宋体"/>
                            <w:color w:val="000000"/>
                            <w:kern w:val="0"/>
                            <w:szCs w:val="22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Cs w:val="22"/>
                          </w:rPr>
                          <w:t xml:space="preserve">红米 S2 </w:t>
                        </w:r>
                      </w:p>
                    </w:tc>
                  </w:tr>
                </w:tbl>
                <w:p>
                  <w:pPr>
                    <w:widowControl/>
                    <w:jc w:val="left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  <w:lang w:bidi="ar"/>
                    </w:rPr>
                    <w:t>ROM：MIUI 6.0 以上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0" w:hRule="atLeast"/>
                <w:jc w:val="center"/>
              </w:trPr>
              <w:tc>
                <w:tcPr>
                  <w:tcW w:w="6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 w:val="20"/>
                      <w:szCs w:val="20"/>
                      <w:lang w:bidi="ar"/>
                    </w:rPr>
                    <w:t>4</w:t>
                  </w:r>
                </w:p>
              </w:tc>
              <w:tc>
                <w:tcPr>
                  <w:tcW w:w="73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BFBFBF"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bCs/>
                      <w:color w:val="000000"/>
                      <w:kern w:val="0"/>
                      <w:sz w:val="20"/>
                      <w:szCs w:val="20"/>
                      <w:lang w:bidi="ar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 w:val="20"/>
                      <w:szCs w:val="20"/>
                      <w:lang w:bidi="ar"/>
                    </w:rPr>
                    <w:t>华为</w:t>
                  </w:r>
                </w:p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 w:val="20"/>
                      <w:szCs w:val="20"/>
                      <w:lang w:bidi="ar"/>
                    </w:rPr>
                    <w:t>荣耀</w:t>
                  </w:r>
                </w:p>
              </w:tc>
              <w:tc>
                <w:tcPr>
                  <w:tcW w:w="73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ascii="宋体" w:hAnsi="宋体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0"/>
                      <w:szCs w:val="20"/>
                      <w:lang w:bidi="ar"/>
                    </w:rPr>
                    <w:t>华为覆盖机型EMUI5.0以上版本，鸿蒙终端系统</w:t>
                  </w:r>
                </w:p>
              </w:tc>
            </w:tr>
          </w:tbl>
          <w:p>
            <w:pPr>
              <w:spacing w:line="360" w:lineRule="auto"/>
              <w:ind w:firstLine="420" w:firstLineChars="200"/>
              <w:jc w:val="left"/>
              <w:rPr>
                <w:rFonts w:hint="eastAsia"/>
                <w:highlight w:val="none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hint="eastAsia"/>
                <w:highlight w:val="none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/>
                <w:b/>
                <w:highlight w:val="none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商务</w:t>
            </w:r>
            <w:r>
              <w:rPr>
                <w:rFonts w:ascii="宋体" w:hAnsi="宋体"/>
                <w:szCs w:val="21"/>
                <w:highlight w:val="none"/>
              </w:rPr>
              <w:t>条款</w:t>
            </w:r>
          </w:p>
        </w:tc>
        <w:tc>
          <w:tcPr>
            <w:tcW w:w="95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3"/>
              </w:num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 xml:space="preserve">合同签订期：自成交结果公告结束之日起 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/>
                <w:szCs w:val="21"/>
                <w:highlight w:val="none"/>
              </w:rPr>
              <w:t>个工作日内。</w:t>
            </w:r>
          </w:p>
          <w:p>
            <w:pPr>
              <w:numPr>
                <w:ilvl w:val="0"/>
                <w:numId w:val="3"/>
              </w:numPr>
              <w:spacing w:line="276" w:lineRule="auto"/>
              <w:ind w:left="0" w:leftChars="0" w:firstLine="0" w:firstLineChars="0"/>
              <w:rPr>
                <w:rFonts w:hint="eastAsia"/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服务期限</w:t>
            </w:r>
          </w:p>
          <w:p>
            <w:pPr>
              <w:numPr>
                <w:ilvl w:val="0"/>
                <w:numId w:val="4"/>
              </w:numPr>
              <w:spacing w:line="276" w:lineRule="auto"/>
              <w:ind w:leftChars="0"/>
              <w:rPr>
                <w:rFonts w:hint="eastAsia" w:hAnsi="宋体" w:eastAsia="宋体" w:cs="宋体"/>
                <w:szCs w:val="21"/>
                <w:highlight w:val="none"/>
              </w:rPr>
            </w:pPr>
            <w:r>
              <w:rPr>
                <w:rFonts w:hint="eastAsia" w:hAnsi="宋体" w:eastAsia="宋体" w:cs="宋体"/>
                <w:szCs w:val="21"/>
                <w:highlight w:val="none"/>
              </w:rPr>
              <w:t>合同签订之日起</w:t>
            </w:r>
            <w:r>
              <w:rPr>
                <w:rFonts w:hint="eastAsia" w:hAnsi="宋体" w:eastAsia="宋体" w:cs="宋体"/>
                <w:szCs w:val="21"/>
                <w:highlight w:val="none"/>
                <w:lang w:val="en-US" w:eastAsia="zh-CN"/>
              </w:rPr>
              <w:t>1年期</w:t>
            </w:r>
            <w:r>
              <w:rPr>
                <w:rFonts w:hint="eastAsia" w:hAnsi="宋体" w:eastAsia="宋体" w:cs="宋体"/>
                <w:szCs w:val="21"/>
                <w:highlight w:val="none"/>
              </w:rPr>
              <w:t>。</w:t>
            </w:r>
          </w:p>
          <w:p>
            <w:pPr>
              <w:numPr>
                <w:ilvl w:val="0"/>
                <w:numId w:val="4"/>
              </w:numPr>
              <w:spacing w:line="276" w:lineRule="auto"/>
              <w:ind w:leftChars="0"/>
              <w:rPr>
                <w:rFonts w:hint="eastAsia" w:hAnsi="宋体" w:eastAsia="宋体" w:cs="宋体"/>
                <w:szCs w:val="21"/>
                <w:highlight w:val="none"/>
              </w:rPr>
            </w:pPr>
            <w:r>
              <w:rPr>
                <w:rFonts w:hint="eastAsia" w:hAnsi="宋体" w:eastAsia="宋体" w:cs="宋体"/>
                <w:szCs w:val="21"/>
                <w:highlight w:val="none"/>
              </w:rPr>
              <w:t>合同延续年限、条件和方式: 项目合同履约期到期后，采购人依据项目的服务履约评价情况及实际需求，在年度预算保障的前提下，对于购买内容(采购需求)相对固定、连续(延续)性强、经费来源稳定、价格变化幅度小的服务项目，可以通过一年一续签方式签订合同，期限总长不得超过3年。</w:t>
            </w:r>
          </w:p>
          <w:p>
            <w:p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三、服务地点：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>南宁中心血站</w:t>
            </w:r>
            <w:r>
              <w:rPr>
                <w:rFonts w:hint="eastAsia"/>
                <w:szCs w:val="21"/>
                <w:highlight w:val="none"/>
              </w:rPr>
              <w:t>。</w:t>
            </w:r>
          </w:p>
          <w:p>
            <w:pPr>
              <w:pStyle w:val="8"/>
              <w:spacing w:line="276" w:lineRule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四、</w:t>
            </w:r>
            <w:r>
              <w:rPr>
                <w:rFonts w:hint="eastAsia"/>
                <w:sz w:val="21"/>
                <w:szCs w:val="21"/>
                <w:highlight w:val="none"/>
              </w:rPr>
              <w:t>售后服务要求：</w:t>
            </w:r>
          </w:p>
          <w:p>
            <w:pPr>
              <w:spacing w:line="276" w:lineRule="auto"/>
              <w:ind w:firstLine="420" w:firstLineChars="200"/>
              <w:rPr>
                <w:rFonts w:hint="eastAsia" w:asciiTheme="minorEastAsia" w:hAnsiTheme="minorEastAsia" w:eastAsiaTheme="minorEastAsia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</w:rPr>
              <w:t xml:space="preserve">处理问题响应时间：接到采购人处理问题通知后 </w:t>
            </w:r>
            <w:r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Theme="minorEastAsia" w:hAnsiTheme="minorEastAsia"/>
                <w:szCs w:val="21"/>
                <w:highlight w:val="none"/>
              </w:rPr>
              <w:t xml:space="preserve"> 小时内到达采购人指定现场</w:t>
            </w:r>
            <w:r>
              <w:rPr>
                <w:rFonts w:hint="eastAsia" w:asciiTheme="minorEastAsia" w:hAnsiTheme="minorEastAsia"/>
                <w:szCs w:val="21"/>
                <w:highlight w:val="none"/>
                <w:lang w:eastAsia="zh-CN"/>
              </w:rPr>
              <w:t>。</w:t>
            </w:r>
          </w:p>
          <w:p>
            <w:p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五、付款方式：</w:t>
            </w:r>
          </w:p>
          <w:p>
            <w:pPr>
              <w:spacing w:line="276" w:lineRule="auto"/>
              <w:ind w:firstLine="420" w:firstLineChars="200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  <w:t>供应商交付使用后，经</w:t>
            </w:r>
            <w:r>
              <w:rPr>
                <w:rFonts w:hint="eastAsia" w:asciiTheme="minorEastAsia" w:hAnsiTheme="minorEastAsia"/>
                <w:szCs w:val="21"/>
                <w:highlight w:val="none"/>
              </w:rPr>
              <w:t>采购人</w:t>
            </w:r>
            <w:r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  <w:t>使用15日确认满足采购需求并</w:t>
            </w:r>
            <w:r>
              <w:rPr>
                <w:rFonts w:hint="eastAsia" w:asciiTheme="minorEastAsia" w:hAnsiTheme="minorEastAsia"/>
                <w:szCs w:val="21"/>
                <w:highlight w:val="none"/>
              </w:rPr>
              <w:t>验收合格</w:t>
            </w:r>
            <w:r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  <w:t>后</w:t>
            </w:r>
            <w:r>
              <w:rPr>
                <w:rFonts w:hint="eastAsia" w:asciiTheme="minorEastAsia" w:hAnsiTheme="minorEastAsia"/>
                <w:szCs w:val="21"/>
                <w:highlight w:val="none"/>
              </w:rPr>
              <w:t>，提供相应发票一次性付清全部款项。</w:t>
            </w:r>
          </w:p>
          <w:p>
            <w:p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</w:rPr>
              <w:t>六</w:t>
            </w:r>
            <w:r>
              <w:rPr>
                <w:rFonts w:hint="eastAsia"/>
                <w:szCs w:val="21"/>
                <w:highlight w:val="none"/>
              </w:rPr>
              <w:t>、其他要求：</w:t>
            </w:r>
          </w:p>
          <w:p>
            <w:pPr>
              <w:pStyle w:val="4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1、报价必须含以下部分：</w:t>
            </w:r>
          </w:p>
          <w:p>
            <w:pPr>
              <w:pStyle w:val="4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（1）服务价格</w:t>
            </w:r>
          </w:p>
          <w:p>
            <w:pPr>
              <w:pStyle w:val="4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（2）各项费用包括：</w:t>
            </w:r>
          </w:p>
          <w:p>
            <w:pPr>
              <w:pStyle w:val="4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sym w:font="Wingdings" w:char="F081"/>
            </w:r>
            <w:r>
              <w:rPr>
                <w:rFonts w:hint="eastAsia"/>
                <w:szCs w:val="21"/>
                <w:highlight w:val="none"/>
              </w:rPr>
              <w:t xml:space="preserve"> 管理、工作人员的工资和按规定提取的福利费、保险费等。</w:t>
            </w:r>
          </w:p>
          <w:p>
            <w:pPr>
              <w:pStyle w:val="4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sym w:font="Wingdings" w:char="F082"/>
            </w:r>
            <w:r>
              <w:rPr>
                <w:rFonts w:hint="eastAsia"/>
                <w:szCs w:val="21"/>
                <w:highlight w:val="none"/>
              </w:rPr>
              <w:t xml:space="preserve"> 工作人员修理检测等工具费用。</w:t>
            </w:r>
          </w:p>
          <w:p>
            <w:pPr>
              <w:pStyle w:val="4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sym w:font="Wingdings" w:char="F083"/>
            </w:r>
            <w:r>
              <w:rPr>
                <w:rFonts w:hint="eastAsia"/>
                <w:szCs w:val="21"/>
                <w:highlight w:val="none"/>
              </w:rPr>
              <w:t xml:space="preserve"> 培训、技术支持、售后服务等费用。</w:t>
            </w:r>
          </w:p>
          <w:p>
            <w:pPr>
              <w:pStyle w:val="4"/>
              <w:adjustRightInd w:val="0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④ 各种税费。</w:t>
            </w:r>
          </w:p>
          <w:p>
            <w:pPr>
              <w:pStyle w:val="4"/>
              <w:adjustRightInd w:val="0"/>
              <w:spacing w:line="276" w:lineRule="auto"/>
              <w:rPr>
                <w:highlight w:val="none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</w:rPr>
              <w:t>2、</w:t>
            </w:r>
            <w:r>
              <w:rPr>
                <w:rFonts w:hint="eastAsia"/>
                <w:szCs w:val="21"/>
                <w:highlight w:val="none"/>
              </w:rPr>
              <w:t>服务期间，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>成交供应商</w:t>
            </w:r>
            <w:r>
              <w:rPr>
                <w:rFonts w:hint="eastAsia"/>
                <w:szCs w:val="21"/>
                <w:highlight w:val="none"/>
              </w:rPr>
              <w:t>对己方工作人员的安全承担全部责任。</w:t>
            </w:r>
          </w:p>
        </w:tc>
      </w:tr>
    </w:tbl>
    <w:p/>
    <w:p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科室确认：</w:t>
      </w:r>
      <w:r>
        <w:rPr>
          <w:rFonts w:hint="eastAsia"/>
          <w:sz w:val="28"/>
          <w:szCs w:val="28"/>
          <w:lang w:val="en-US" w:eastAsia="zh-CN"/>
        </w:rPr>
        <w:br w:type="textWrapping"/>
      </w:r>
      <w:r>
        <w:rPr>
          <w:rFonts w:hint="eastAsia"/>
          <w:sz w:val="28"/>
          <w:szCs w:val="28"/>
          <w:lang w:val="en-US" w:eastAsia="zh-CN"/>
        </w:rPr>
        <w:t>确认日期：</w:t>
      </w:r>
    </w:p>
    <w:sectPr>
      <w:pgSz w:w="11906" w:h="16838"/>
      <w:pgMar w:top="567" w:right="1800" w:bottom="45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9DA7A0"/>
    <w:multiLevelType w:val="singleLevel"/>
    <w:tmpl w:val="9B9DA7A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2333837"/>
    <w:multiLevelType w:val="singleLevel"/>
    <w:tmpl w:val="B233383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D98A525"/>
    <w:multiLevelType w:val="singleLevel"/>
    <w:tmpl w:val="DD98A52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0YTc4ODkwOTZjYjU5M2VhNWEyYmEzNDBiMzE2ZmEifQ=="/>
  </w:docVars>
  <w:rsids>
    <w:rsidRoot w:val="7FF404C3"/>
    <w:rsid w:val="009444C8"/>
    <w:rsid w:val="00C1612A"/>
    <w:rsid w:val="066C1A43"/>
    <w:rsid w:val="07C03DF5"/>
    <w:rsid w:val="07E25048"/>
    <w:rsid w:val="089F1C5C"/>
    <w:rsid w:val="098470A4"/>
    <w:rsid w:val="0AFA13CC"/>
    <w:rsid w:val="0CF12CA2"/>
    <w:rsid w:val="0CFA1B57"/>
    <w:rsid w:val="0FC4289C"/>
    <w:rsid w:val="110A7E8F"/>
    <w:rsid w:val="13C1629D"/>
    <w:rsid w:val="17EC4792"/>
    <w:rsid w:val="1A051B3B"/>
    <w:rsid w:val="1D37200B"/>
    <w:rsid w:val="1DC71D76"/>
    <w:rsid w:val="22DF73CD"/>
    <w:rsid w:val="25E74B00"/>
    <w:rsid w:val="264834DB"/>
    <w:rsid w:val="26926505"/>
    <w:rsid w:val="27D03788"/>
    <w:rsid w:val="288B76AF"/>
    <w:rsid w:val="2A8023AA"/>
    <w:rsid w:val="2B33475A"/>
    <w:rsid w:val="2BB92785"/>
    <w:rsid w:val="2BE45A54"/>
    <w:rsid w:val="2F6C686E"/>
    <w:rsid w:val="3179279B"/>
    <w:rsid w:val="34C548CE"/>
    <w:rsid w:val="353E4427"/>
    <w:rsid w:val="362D624A"/>
    <w:rsid w:val="387243E8"/>
    <w:rsid w:val="3B226F3B"/>
    <w:rsid w:val="3BE8622C"/>
    <w:rsid w:val="3C2459F9"/>
    <w:rsid w:val="3CB60D47"/>
    <w:rsid w:val="3F1B7669"/>
    <w:rsid w:val="40726ACA"/>
    <w:rsid w:val="41421199"/>
    <w:rsid w:val="45151423"/>
    <w:rsid w:val="458D2861"/>
    <w:rsid w:val="473C2248"/>
    <w:rsid w:val="47F41C5A"/>
    <w:rsid w:val="48AC74A2"/>
    <w:rsid w:val="49170DBF"/>
    <w:rsid w:val="4D756297"/>
    <w:rsid w:val="4DB841F3"/>
    <w:rsid w:val="4E235B10"/>
    <w:rsid w:val="4F28682B"/>
    <w:rsid w:val="4FE65048"/>
    <w:rsid w:val="5563538C"/>
    <w:rsid w:val="58FF53CC"/>
    <w:rsid w:val="5A2C21F1"/>
    <w:rsid w:val="5B726329"/>
    <w:rsid w:val="5B7B28EA"/>
    <w:rsid w:val="5E4D2736"/>
    <w:rsid w:val="5EB32EE1"/>
    <w:rsid w:val="5FB52C88"/>
    <w:rsid w:val="62970423"/>
    <w:rsid w:val="6384309D"/>
    <w:rsid w:val="63B15515"/>
    <w:rsid w:val="68A01214"/>
    <w:rsid w:val="6DF107F6"/>
    <w:rsid w:val="73781BAB"/>
    <w:rsid w:val="73D17C39"/>
    <w:rsid w:val="7610431D"/>
    <w:rsid w:val="790E2D96"/>
    <w:rsid w:val="7FF40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4"/>
    <w:basedOn w:val="1"/>
    <w:next w:val="1"/>
    <w:autoRedefine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Body Text Indent"/>
    <w:basedOn w:val="1"/>
    <w:autoRedefine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6">
    <w:name w:val="Plain Text"/>
    <w:basedOn w:val="1"/>
    <w:next w:val="3"/>
    <w:autoRedefine/>
    <w:qFormat/>
    <w:uiPriority w:val="0"/>
    <w:rPr>
      <w:rFonts w:ascii="宋体" w:hAnsi="Courier New"/>
      <w:szCs w:val="20"/>
    </w:rPr>
  </w:style>
  <w:style w:type="paragraph" w:styleId="7">
    <w:name w:val="toc 1"/>
    <w:basedOn w:val="1"/>
    <w:next w:val="1"/>
    <w:autoRedefine/>
    <w:unhideWhenUsed/>
    <w:qFormat/>
    <w:uiPriority w:val="39"/>
    <w:rPr>
      <w:rFonts w:ascii="宋体" w:hAnsi="宋体" w:eastAsia="宋体" w:cs="Arial"/>
      <w:szCs w:val="21"/>
    </w:rPr>
  </w:style>
  <w:style w:type="paragraph" w:styleId="8">
    <w:name w:val="Body Text First Indent 2"/>
    <w:basedOn w:val="5"/>
    <w:next w:val="1"/>
    <w:autoRedefine/>
    <w:qFormat/>
    <w:uiPriority w:val="0"/>
    <w:pPr>
      <w:spacing w:line="360" w:lineRule="auto"/>
      <w:ind w:firstLine="0"/>
    </w:pPr>
    <w:rPr>
      <w:sz w:val="24"/>
    </w:rPr>
  </w:style>
  <w:style w:type="table" w:styleId="10">
    <w:name w:val="Table Grid"/>
    <w:basedOn w:val="9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autoRedefine/>
    <w:qFormat/>
    <w:uiPriority w:val="0"/>
    <w:rPr>
      <w:b/>
      <w:bCs/>
    </w:rPr>
  </w:style>
  <w:style w:type="character" w:styleId="13">
    <w:name w:val="FollowedHyperlink"/>
    <w:basedOn w:val="11"/>
    <w:autoRedefine/>
    <w:qFormat/>
    <w:uiPriority w:val="0"/>
    <w:rPr>
      <w:color w:val="4D7AD8"/>
      <w:u w:val="none"/>
    </w:rPr>
  </w:style>
  <w:style w:type="character" w:styleId="14">
    <w:name w:val="HTML Definition"/>
    <w:basedOn w:val="11"/>
    <w:autoRedefine/>
    <w:qFormat/>
    <w:uiPriority w:val="0"/>
    <w:rPr>
      <w:i/>
      <w:iCs/>
    </w:rPr>
  </w:style>
  <w:style w:type="character" w:styleId="15">
    <w:name w:val="Hyperlink"/>
    <w:basedOn w:val="11"/>
    <w:autoRedefine/>
    <w:qFormat/>
    <w:uiPriority w:val="0"/>
    <w:rPr>
      <w:color w:val="4D7AD8"/>
      <w:u w:val="none"/>
    </w:rPr>
  </w:style>
  <w:style w:type="character" w:styleId="16">
    <w:name w:val="HTML Code"/>
    <w:basedOn w:val="11"/>
    <w:autoRedefine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styleId="17">
    <w:name w:val="HTML Keyboard"/>
    <w:basedOn w:val="11"/>
    <w:autoRedefine/>
    <w:qFormat/>
    <w:uiPriority w:val="0"/>
    <w:rPr>
      <w:rFonts w:ascii="Consolas" w:hAnsi="Consolas" w:eastAsia="Consolas" w:cs="Consolas"/>
      <w:sz w:val="21"/>
      <w:szCs w:val="21"/>
    </w:rPr>
  </w:style>
  <w:style w:type="character" w:styleId="18">
    <w:name w:val="HTML Sample"/>
    <w:basedOn w:val="11"/>
    <w:autoRedefine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9">
    <w:name w:val="ant-tree-iconele"/>
    <w:basedOn w:val="11"/>
    <w:autoRedefine/>
    <w:qFormat/>
    <w:uiPriority w:val="0"/>
  </w:style>
  <w:style w:type="character" w:customStyle="1" w:styleId="20">
    <w:name w:val="hover"/>
    <w:basedOn w:val="11"/>
    <w:autoRedefine/>
    <w:qFormat/>
    <w:uiPriority w:val="0"/>
    <w:rPr>
      <w:color w:val="009DFF"/>
    </w:rPr>
  </w:style>
  <w:style w:type="character" w:customStyle="1" w:styleId="21">
    <w:name w:val="hover1"/>
    <w:basedOn w:val="11"/>
    <w:autoRedefine/>
    <w:qFormat/>
    <w:uiPriority w:val="0"/>
    <w:rPr>
      <w:color w:val="009DFF"/>
    </w:rPr>
  </w:style>
  <w:style w:type="character" w:customStyle="1" w:styleId="22">
    <w:name w:val="tmpztreemove_arrow"/>
    <w:basedOn w:val="11"/>
    <w:autoRedefine/>
    <w:qFormat/>
    <w:uiPriority w:val="0"/>
  </w:style>
  <w:style w:type="character" w:customStyle="1" w:styleId="23">
    <w:name w:val="button"/>
    <w:basedOn w:val="11"/>
    <w:autoRedefine/>
    <w:qFormat/>
    <w:uiPriority w:val="0"/>
  </w:style>
  <w:style w:type="character" w:customStyle="1" w:styleId="24">
    <w:name w:val="button1"/>
    <w:basedOn w:val="11"/>
    <w:autoRedefine/>
    <w:qFormat/>
    <w:uiPriority w:val="0"/>
  </w:style>
  <w:style w:type="character" w:customStyle="1" w:styleId="25">
    <w:name w:val="ant-radio+*"/>
    <w:basedOn w:val="11"/>
    <w:autoRedefine/>
    <w:qFormat/>
    <w:uiPriority w:val="0"/>
  </w:style>
  <w:style w:type="character" w:customStyle="1" w:styleId="26">
    <w:name w:val="ant-tree-checkbox6"/>
    <w:basedOn w:val="11"/>
    <w:autoRedefine/>
    <w:qFormat/>
    <w:uiPriority w:val="0"/>
    <w:rPr>
      <w:vanish/>
    </w:rPr>
  </w:style>
  <w:style w:type="character" w:customStyle="1" w:styleId="27">
    <w:name w:val="first-of-type"/>
    <w:basedOn w:val="11"/>
    <w:autoRedefine/>
    <w:qFormat/>
    <w:uiPriority w:val="0"/>
    <w:rPr>
      <w:color w:val="FF0000"/>
    </w:rPr>
  </w:style>
  <w:style w:type="character" w:customStyle="1" w:styleId="28">
    <w:name w:val="first-of-type1"/>
    <w:basedOn w:val="11"/>
    <w:autoRedefine/>
    <w:qFormat/>
    <w:uiPriority w:val="0"/>
    <w:rPr>
      <w:color w:val="FF0000"/>
    </w:rPr>
  </w:style>
  <w:style w:type="character" w:customStyle="1" w:styleId="29">
    <w:name w:val="first-of-type2"/>
    <w:basedOn w:val="11"/>
    <w:autoRedefine/>
    <w:qFormat/>
    <w:uiPriority w:val="0"/>
    <w:rPr>
      <w:color w:val="FF0000"/>
    </w:rPr>
  </w:style>
  <w:style w:type="character" w:customStyle="1" w:styleId="30">
    <w:name w:val="ant-select-tree-checkbox2"/>
    <w:basedOn w:val="11"/>
    <w:autoRedefine/>
    <w:qFormat/>
    <w:uiPriority w:val="0"/>
  </w:style>
  <w:style w:type="character" w:customStyle="1" w:styleId="31">
    <w:name w:val="first-child"/>
    <w:basedOn w:val="11"/>
    <w:autoRedefine/>
    <w:qFormat/>
    <w:uiPriority w:val="0"/>
    <w:rPr>
      <w:color w:val="999999"/>
      <w:sz w:val="33"/>
      <w:szCs w:val="33"/>
    </w:rPr>
  </w:style>
  <w:style w:type="character" w:customStyle="1" w:styleId="32">
    <w:name w:val="first-child1"/>
    <w:basedOn w:val="11"/>
    <w:autoRedefine/>
    <w:qFormat/>
    <w:uiPriority w:val="0"/>
  </w:style>
  <w:style w:type="character" w:customStyle="1" w:styleId="33">
    <w:name w:val="passed-node"/>
    <w:basedOn w:val="11"/>
    <w:autoRedefine/>
    <w:qFormat/>
    <w:uiPriority w:val="0"/>
    <w:rPr>
      <w:bdr w:val="single" w:color="49A8D4" w:sz="6" w:space="0"/>
      <w:shd w:val="clear" w:fill="A9E3FF"/>
    </w:rPr>
  </w:style>
  <w:style w:type="character" w:customStyle="1" w:styleId="34">
    <w:name w:val="auto-pass-node"/>
    <w:basedOn w:val="11"/>
    <w:autoRedefine/>
    <w:qFormat/>
    <w:uiPriority w:val="0"/>
    <w:rPr>
      <w:bdr w:val="single" w:color="DC4446" w:sz="6" w:space="0"/>
      <w:shd w:val="clear" w:fill="A9E2FF"/>
    </w:rPr>
  </w:style>
  <w:style w:type="character" w:customStyle="1" w:styleId="35">
    <w:name w:val="ant-tree-switcher6"/>
    <w:basedOn w:val="11"/>
    <w:autoRedefine/>
    <w:qFormat/>
    <w:uiPriority w:val="0"/>
  </w:style>
  <w:style w:type="character" w:customStyle="1" w:styleId="36">
    <w:name w:val="ant-table-row-expand-icon4"/>
    <w:basedOn w:val="11"/>
    <w:autoRedefine/>
    <w:qFormat/>
    <w:uiPriority w:val="0"/>
    <w:rPr>
      <w:vanish/>
    </w:rPr>
  </w:style>
  <w:style w:type="character" w:customStyle="1" w:styleId="37">
    <w:name w:val="current-node"/>
    <w:basedOn w:val="11"/>
    <w:autoRedefine/>
    <w:qFormat/>
    <w:uiPriority w:val="0"/>
    <w:rPr>
      <w:bdr w:val="single" w:color="F5B87B" w:sz="6" w:space="0"/>
      <w:shd w:val="clear" w:fill="FFE8CC"/>
    </w:rPr>
  </w:style>
  <w:style w:type="character" w:customStyle="1" w:styleId="38">
    <w:name w:val="ant-select-tree-switcher"/>
    <w:basedOn w:val="11"/>
    <w:autoRedefine/>
    <w:qFormat/>
    <w:uiPriority w:val="0"/>
  </w:style>
  <w:style w:type="character" w:customStyle="1" w:styleId="39">
    <w:name w:val="ant-select-tree-iconele"/>
    <w:basedOn w:val="11"/>
    <w:autoRedefine/>
    <w:qFormat/>
    <w:uiPriority w:val="0"/>
  </w:style>
  <w:style w:type="character" w:customStyle="1" w:styleId="40">
    <w:name w:val="wea-thumbnails-doc-content-subtitle"/>
    <w:basedOn w:val="11"/>
    <w:autoRedefine/>
    <w:qFormat/>
    <w:uiPriority w:val="0"/>
    <w:rPr>
      <w:color w:val="9A9A9A"/>
    </w:rPr>
  </w:style>
  <w:style w:type="character" w:customStyle="1" w:styleId="41">
    <w:name w:val="not-pass-node"/>
    <w:basedOn w:val="11"/>
    <w:autoRedefine/>
    <w:qFormat/>
    <w:uiPriority w:val="0"/>
    <w:rPr>
      <w:bdr w:val="single" w:color="5ABD6B" w:sz="6" w:space="0"/>
      <w:shd w:val="clear" w:fill="BFF3C3"/>
    </w:rPr>
  </w:style>
  <w:style w:type="character" w:customStyle="1" w:styleId="42">
    <w:name w:val="last-child1"/>
    <w:basedOn w:val="11"/>
    <w:autoRedefine/>
    <w:qFormat/>
    <w:uiPriority w:val="0"/>
  </w:style>
  <w:style w:type="character" w:customStyle="1" w:styleId="43">
    <w:name w:val="style23"/>
    <w:basedOn w:val="11"/>
    <w:autoRedefine/>
    <w:qFormat/>
    <w:uiPriority w:val="0"/>
    <w:rPr>
      <w:rFonts w:ascii="Times New Roman" w:hAnsi="Times New Roman" w:eastAsia="宋体" w:cs="Times New Roman"/>
    </w:rPr>
  </w:style>
  <w:style w:type="paragraph" w:styleId="4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45">
    <w:name w:val="ant-tree-checkbox"/>
    <w:basedOn w:val="11"/>
    <w:autoRedefine/>
    <w:qFormat/>
    <w:uiPriority w:val="0"/>
  </w:style>
  <w:style w:type="character" w:customStyle="1" w:styleId="46">
    <w:name w:val="hover32"/>
    <w:basedOn w:val="11"/>
    <w:autoRedefine/>
    <w:qFormat/>
    <w:uiPriority w:val="0"/>
    <w:rPr>
      <w:color w:val="009DFF"/>
    </w:rPr>
  </w:style>
  <w:style w:type="character" w:customStyle="1" w:styleId="47">
    <w:name w:val="hover33"/>
    <w:basedOn w:val="11"/>
    <w:autoRedefine/>
    <w:qFormat/>
    <w:uiPriority w:val="0"/>
    <w:rPr>
      <w:color w:val="009DFF"/>
    </w:rPr>
  </w:style>
  <w:style w:type="character" w:customStyle="1" w:styleId="48">
    <w:name w:val="font31"/>
    <w:autoRedefine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Office_12.1.0.16704_F1E327BC-269C-435d-A152-05C5408002CA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2024-02-27T09:20:00Z</dcterms:created>
  <dc:creator>WPS</dc:creator>
  <cp:lastModifiedBy>WPS</cp:lastModifiedBy>
  <cp:lastPrinted>2024-03-21T01:06:00Z</cp:lastPrinted>
  <dcterms:modified xsi:type="dcterms:W3CDTF">2024-03-28T07:43:23Z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2052-12.1.0.16704</vt:lpwstr>
  </property>
  <property fmtid="{D5CDD505-2E9C-101B-9397-08002B2CF9AE}" pid="3" name="ICV">
    <vt:lpwstr>54D86A6CCF874C65A88F8FDF1C6D0478_11</vt:lpwstr>
  </property>
</Properties>
</file>