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 w:val="28"/>
          <w:szCs w:val="28"/>
          <w:u w:val="single"/>
          <w:lang w:val="en-US" w:eastAsia="zh-CN"/>
        </w:rPr>
        <w:t>南宁中心血站2024年服务器内存扩容</w:t>
      </w:r>
      <w:r>
        <w:rPr>
          <w:rFonts w:hint="eastAsia"/>
          <w:b/>
          <w:szCs w:val="21"/>
        </w:rPr>
        <w:t>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南宁中心血站2024年服务器内存扩容</w:t>
            </w:r>
            <w:bookmarkStart w:id="0" w:name="_GoBack"/>
            <w:bookmarkEnd w:id="0"/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16</w:t>
            </w:r>
            <w:r>
              <w:rPr>
                <w:rFonts w:hint="eastAsia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条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说明：单项合价金额不能超过最高限价22400元。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54166BC"/>
    <w:rsid w:val="07C7329A"/>
    <w:rsid w:val="07CF4038"/>
    <w:rsid w:val="1D8A4831"/>
    <w:rsid w:val="29924B7B"/>
    <w:rsid w:val="533B678B"/>
    <w:rsid w:val="5B246993"/>
    <w:rsid w:val="63293771"/>
    <w:rsid w:val="66EC2D84"/>
    <w:rsid w:val="684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2024-03-27T00:55:43Z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B2663E307E7545D4AC765C7D1E16F932_11</vt:lpwstr>
  </property>
</Properties>
</file>