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center"/>
        <w:rPr>
          <w:b/>
          <w:sz w:val="32"/>
        </w:rPr>
      </w:pPr>
      <w:r>
        <w:rPr>
          <w:rFonts w:hint="eastAsia"/>
          <w:b/>
          <w:sz w:val="32"/>
        </w:rPr>
        <w:t>采购需求一览表</w:t>
      </w:r>
    </w:p>
    <w:p>
      <w:pPr>
        <w:adjustRightInd w:val="0"/>
        <w:spacing w:line="340" w:lineRule="exact"/>
        <w:ind w:left="6" w:firstLine="431"/>
        <w:rPr>
          <w:rFonts w:ascii="宋体" w:hAnsi="宋体" w:cs="宋体"/>
          <w:b/>
          <w:kern w:val="1"/>
          <w:szCs w:val="21"/>
        </w:rPr>
      </w:pPr>
      <w:r>
        <w:rPr>
          <w:rFonts w:hint="eastAsia" w:asciiTheme="minorEastAsia" w:hAnsiTheme="minorEastAsia" w:cstheme="minorEastAsia"/>
          <w:b/>
          <w:szCs w:val="21"/>
        </w:rPr>
        <w:t>说明：</w:t>
      </w:r>
      <w:r>
        <w:rPr>
          <w:rFonts w:hint="eastAsia" w:ascii="宋体" w:hAnsi="宋体"/>
          <w:b/>
        </w:rPr>
        <w:t>本采购需求一览表中标注</w:t>
      </w:r>
      <w:r>
        <w:rPr>
          <w:rFonts w:hint="eastAsia" w:ascii="宋体" w:hAnsi="宋体"/>
          <w:szCs w:val="21"/>
        </w:rPr>
        <w:t>★</w:t>
      </w:r>
      <w:r>
        <w:rPr>
          <w:rFonts w:hint="eastAsia" w:ascii="宋体" w:hAnsi="宋体"/>
          <w:b/>
        </w:rPr>
        <w:t>号的内容为实质性要求和条件</w:t>
      </w:r>
      <w:r>
        <w:rPr>
          <w:rFonts w:hint="eastAsia" w:hAnsi="宋体"/>
          <w:b/>
        </w:rPr>
        <w:t>，响应</w:t>
      </w:r>
      <w:r>
        <w:rPr>
          <w:rFonts w:hint="eastAsia" w:ascii="宋体" w:hAnsi="宋体" w:cs="宋体"/>
          <w:b/>
          <w:kern w:val="1"/>
          <w:szCs w:val="21"/>
        </w:rPr>
        <w:t>人必须满足或优于，不满足或负偏离视为无效响应。</w:t>
      </w:r>
    </w:p>
    <w:tbl>
      <w:tblPr>
        <w:tblStyle w:val="7"/>
        <w:tblW w:w="101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649"/>
        <w:gridCol w:w="887"/>
        <w:gridCol w:w="70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w:t>
            </w:r>
          </w:p>
        </w:tc>
        <w:tc>
          <w:tcPr>
            <w:tcW w:w="705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采购内容及要求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南宁中心血站2024年网络安全等级保护测评及运维服务项目</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8万元</w:t>
            </w:r>
          </w:p>
        </w:tc>
        <w:tc>
          <w:tcPr>
            <w:tcW w:w="7059" w:type="dxa"/>
            <w:tcBorders>
              <w:top w:val="single" w:color="auto" w:sz="4" w:space="0"/>
              <w:left w:val="single" w:color="auto" w:sz="4" w:space="0"/>
              <w:bottom w:val="single" w:color="auto" w:sz="4" w:space="0"/>
              <w:right w:val="single" w:color="auto" w:sz="4" w:space="0"/>
            </w:tcBorders>
            <w:vAlign w:val="center"/>
          </w:tcPr>
          <w:p>
            <w:pPr>
              <w:pStyle w:val="5"/>
            </w:pPr>
            <w:r>
              <w:rPr>
                <w:rFonts w:hint="eastAsia"/>
              </w:rPr>
              <w:t>★一、</w:t>
            </w:r>
            <w:r>
              <w:t>总的要求</w:t>
            </w:r>
            <w:r>
              <w:rPr>
                <w:rFonts w:hint="eastAsia"/>
              </w:rPr>
              <w:t>：</w:t>
            </w:r>
          </w:p>
          <w:p>
            <w:pPr>
              <w:pStyle w:val="5"/>
              <w:ind w:firstLine="420" w:firstLineChars="200"/>
            </w:pPr>
            <w:r>
              <w:t>依据《</w:t>
            </w:r>
            <w:r>
              <w:rPr>
                <w:rFonts w:hint="eastAsia"/>
              </w:rPr>
              <w:t>网络安全等级保护基本要求</w:t>
            </w:r>
            <w:r>
              <w:t>》（GB/T 22239-2019）对</w:t>
            </w:r>
            <w:r>
              <w:rPr>
                <w:rFonts w:hint="eastAsia"/>
              </w:rPr>
              <w:t>南宁中心血站</w:t>
            </w:r>
            <w:r>
              <w:t>采供血信息管理系统（三级）开展</w:t>
            </w:r>
            <w:r>
              <w:rPr>
                <w:rFonts w:hint="eastAsia"/>
              </w:rPr>
              <w:t>网络</w:t>
            </w:r>
            <w:r>
              <w:t>安全等级保护测评工作，并出具网络安全等级保护测评报告。</w:t>
            </w:r>
          </w:p>
          <w:p>
            <w:pPr>
              <w:pStyle w:val="5"/>
            </w:pPr>
            <w:r>
              <w:rPr>
                <w:rFonts w:hint="eastAsia"/>
              </w:rPr>
              <w:t>二、</w:t>
            </w:r>
            <w:r>
              <w:t>标准依据</w:t>
            </w:r>
            <w:r>
              <w:rPr>
                <w:rFonts w:hint="eastAsia"/>
              </w:rPr>
              <w:t>：</w:t>
            </w:r>
          </w:p>
          <w:p>
            <w:pPr>
              <w:pStyle w:val="5"/>
            </w:pPr>
            <w:r>
              <w:rPr>
                <w:rFonts w:hint="eastAsia"/>
              </w:rPr>
              <w:t>1、</w:t>
            </w:r>
            <w:r>
              <w:t>《计算机信息系统安全保护等级划分准则》（GB 17859-1999)</w:t>
            </w:r>
          </w:p>
          <w:p>
            <w:pPr>
              <w:pStyle w:val="5"/>
            </w:pPr>
            <w:r>
              <w:rPr>
                <w:rFonts w:hint="eastAsia"/>
              </w:rPr>
              <w:t>2、</w:t>
            </w:r>
            <w:r>
              <w:t>《网络安全等级保护基本要求》（GB/T 22239-2019）</w:t>
            </w:r>
          </w:p>
          <w:p>
            <w:pPr>
              <w:pStyle w:val="5"/>
            </w:pPr>
            <w:r>
              <w:rPr>
                <w:rFonts w:hint="eastAsia"/>
              </w:rPr>
              <w:t>3、</w:t>
            </w:r>
            <w:r>
              <w:t>《网络安全等级保护测评要求》（GB/T 28448-2019）</w:t>
            </w:r>
          </w:p>
          <w:p>
            <w:pPr>
              <w:pStyle w:val="5"/>
            </w:pPr>
            <w:r>
              <w:rPr>
                <w:rFonts w:hint="eastAsia"/>
              </w:rPr>
              <w:t>4、</w:t>
            </w:r>
            <w:r>
              <w:t>《网络安全等级保护测评过程指南》（GB/T 28449-2018)</w:t>
            </w:r>
          </w:p>
          <w:p>
            <w:pPr>
              <w:pStyle w:val="5"/>
            </w:pPr>
            <w:r>
              <w:rPr>
                <w:rFonts w:hint="eastAsia"/>
              </w:rPr>
              <w:t>5、</w:t>
            </w:r>
            <w:r>
              <w:t>《网络安全等级保护设计技术要求》（GB/T 25070-2019）</w:t>
            </w:r>
          </w:p>
          <w:p>
            <w:pPr>
              <w:pStyle w:val="5"/>
            </w:pPr>
            <w:r>
              <w:rPr>
                <w:rFonts w:hint="eastAsia"/>
              </w:rPr>
              <w:t>6、</w:t>
            </w:r>
            <w:r>
              <w:t>《网络安全等级保护测试评估技术指南》（GB/T 36627-2018）</w:t>
            </w:r>
          </w:p>
          <w:p>
            <w:pPr>
              <w:pStyle w:val="5"/>
            </w:pPr>
            <w:r>
              <w:rPr>
                <w:rFonts w:hint="eastAsia"/>
              </w:rPr>
              <w:t>★三、</w:t>
            </w:r>
            <w:r>
              <w:t>测评内容</w:t>
            </w:r>
            <w:r>
              <w:rPr>
                <w:rFonts w:hint="eastAsia"/>
              </w:rPr>
              <w:t>：</w:t>
            </w:r>
          </w:p>
          <w:p>
            <w:pPr>
              <w:pStyle w:val="5"/>
            </w:pPr>
            <w:r>
              <w:rPr>
                <w:rFonts w:hint="eastAsia"/>
              </w:rPr>
              <w:t>1、</w:t>
            </w:r>
            <w:r>
              <w:t>安全通用要求</w:t>
            </w:r>
            <w:r>
              <w:rPr>
                <w:rFonts w:hint="eastAsia"/>
              </w:rPr>
              <w:t>：</w:t>
            </w:r>
          </w:p>
          <w:p>
            <w:pPr>
              <w:pStyle w:val="5"/>
              <w:ind w:firstLine="420" w:firstLineChars="200"/>
            </w:pPr>
            <w:r>
              <w:rPr>
                <w:rFonts w:hint="eastAsia"/>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r>
              <w:t>。</w:t>
            </w:r>
          </w:p>
          <w:p>
            <w:pPr>
              <w:pStyle w:val="5"/>
            </w:pPr>
            <w:r>
              <w:rPr>
                <w:rFonts w:hint="eastAsia"/>
              </w:rPr>
              <w:t>2、</w:t>
            </w:r>
            <w:r>
              <w:t>安全扩展要求</w:t>
            </w:r>
            <w:r>
              <w:rPr>
                <w:rFonts w:hint="eastAsia"/>
              </w:rPr>
              <w:t>：</w:t>
            </w:r>
          </w:p>
          <w:p>
            <w:pPr>
              <w:pStyle w:val="5"/>
              <w:ind w:firstLine="420" w:firstLineChars="200"/>
            </w:pPr>
            <w:r>
              <w:rPr>
                <w:rFonts w:hint="eastAsia"/>
              </w:rPr>
              <w:t>应用了不同新技术的安全保护对象处于不同的应用场景中，面临不同的安全威胁，因此会有不同的安全需求，该保护对象涉及的安全扩展要求包括：</w:t>
            </w:r>
          </w:p>
          <w:p>
            <w:pPr>
              <w:pStyle w:val="5"/>
            </w:pPr>
            <w:r>
              <w:rPr>
                <w:rFonts w:hint="eastAsia"/>
              </w:rPr>
              <w:t>（1）移动互联</w:t>
            </w:r>
          </w:p>
          <w:p>
            <w:pPr>
              <w:pStyle w:val="5"/>
              <w:ind w:firstLine="420" w:firstLineChars="200"/>
            </w:pPr>
            <w:r>
              <w:rPr>
                <w:rFonts w:hint="eastAsia"/>
              </w:rPr>
              <w:t>移动互联安全测评内容包括对安全物理环境、安全区域边界、安全计算环境、安全建设管理、安全运维管理等的测评。</w:t>
            </w:r>
          </w:p>
          <w:p>
            <w:pPr>
              <w:pStyle w:val="5"/>
            </w:pPr>
            <w:r>
              <w:rPr>
                <w:rFonts w:hint="eastAsia"/>
              </w:rPr>
              <w:t>四、</w:t>
            </w:r>
            <w:r>
              <w:t>测评方法</w:t>
            </w:r>
            <w:r>
              <w:rPr>
                <w:rFonts w:hint="eastAsia"/>
              </w:rPr>
              <w:t>：</w:t>
            </w:r>
          </w:p>
          <w:p>
            <w:pPr>
              <w:pStyle w:val="5"/>
              <w:ind w:firstLine="420" w:firstLineChars="200"/>
            </w:pPr>
            <w:r>
              <w:rPr>
                <w:rFonts w:hint="eastAsia"/>
              </w:rPr>
              <w:t>在测评实施过程中，应采用访谈、检查和测试、渗透测试等测评方法进行，并与国家相关规范及标准的要求相符。</w:t>
            </w:r>
          </w:p>
          <w:p>
            <w:pPr>
              <w:pStyle w:val="5"/>
              <w:ind w:firstLine="420" w:firstLineChars="200"/>
            </w:pPr>
            <w:r>
              <w:rPr>
                <w:rFonts w:hint="eastAsia"/>
              </w:rPr>
              <w:t>访谈是指测评人员通过引导信息系统相关人员进行有目的的（有针对性的）交流以帮助测评人员理解、分析或取得证据的过程；</w:t>
            </w:r>
          </w:p>
          <w:p>
            <w:pPr>
              <w:pStyle w:val="5"/>
              <w:ind w:firstLine="420" w:firstLineChars="200"/>
            </w:pPr>
            <w:r>
              <w:rPr>
                <w:rFonts w:hint="eastAsia"/>
              </w:rPr>
              <w:t>检查是指测评人员通过对测评对象（如管理制度、操作记录、安全配置等）进行观察、查验、分析以帮助测评人员理解、分析或取得证据的过程；</w:t>
            </w:r>
          </w:p>
          <w:p>
            <w:pPr>
              <w:pStyle w:val="5"/>
              <w:ind w:firstLine="420" w:firstLineChars="200"/>
            </w:pPr>
            <w:r>
              <w:rPr>
                <w:rFonts w:hint="eastAsia"/>
              </w:rPr>
              <w:t>测试是测评人员使用预定的方法/工具使测评对象产生特定的行为，通过查看和分析结果以帮助测评人员获取证据的过程；</w:t>
            </w:r>
          </w:p>
          <w:p>
            <w:pPr>
              <w:pStyle w:val="5"/>
              <w:ind w:firstLine="420" w:firstLineChars="200"/>
            </w:pPr>
            <w:r>
              <w:rPr>
                <w:rFonts w:hint="eastAsia"/>
              </w:rPr>
              <w:t>渗透测试是模拟黑客的攻击方法，对受保护对象的应用系统、主机、网络进行攻击，从而验证测评对象的弱点、技术缺陷或漏洞的一种评估方法。</w:t>
            </w:r>
          </w:p>
          <w:p>
            <w:pPr>
              <w:pStyle w:val="5"/>
            </w:pPr>
            <w:r>
              <w:rPr>
                <w:rFonts w:hint="eastAsia"/>
              </w:rPr>
              <w:t>★五、</w:t>
            </w:r>
            <w:r>
              <w:t>服务成果</w:t>
            </w:r>
            <w:r>
              <w:rPr>
                <w:rFonts w:hint="eastAsia"/>
              </w:rPr>
              <w:t>：</w:t>
            </w:r>
          </w:p>
          <w:p>
            <w:pPr>
              <w:pStyle w:val="5"/>
              <w:ind w:firstLine="420" w:firstLineChars="200"/>
            </w:pPr>
            <w:r>
              <w:rPr>
                <w:rFonts w:hint="eastAsia"/>
              </w:rPr>
              <w:t>测评完成后，出具符合</w:t>
            </w:r>
            <w:r>
              <w:rPr>
                <w:rFonts w:ascii="Arial" w:hAnsi="Arial" w:cs="Arial"/>
                <w:color w:val="333333"/>
                <w:szCs w:val="21"/>
                <w:shd w:val="clear" w:color="auto" w:fill="FFFFFF"/>
              </w:rPr>
              <w:t>网络安全等级保护2.0</w:t>
            </w:r>
            <w:r>
              <w:rPr>
                <w:rFonts w:hint="eastAsia"/>
              </w:rPr>
              <w:t>相关技术标准要求、国家网络安全等级保护管理部门规范要求且公安机关认可的的网络安全等级保护测评报告。</w:t>
            </w:r>
          </w:p>
          <w:p>
            <w:pPr>
              <w:pStyle w:val="5"/>
              <w:numPr>
                <w:ilvl w:val="0"/>
                <w:numId w:val="1"/>
              </w:numPr>
            </w:pPr>
            <w:r>
              <w:rPr>
                <w:rFonts w:hint="eastAsia"/>
              </w:rPr>
              <w:t>其他要求：</w:t>
            </w:r>
            <w:r>
              <w:rPr>
                <w:rFonts w:hint="eastAsia"/>
              </w:rPr>
              <w:br w:type="textWrapping"/>
            </w:r>
            <w:r>
              <w:rPr>
                <w:rFonts w:hint="eastAsia"/>
              </w:rPr>
              <w:t>★1、投标公司</w:t>
            </w:r>
            <w:r>
              <w:rPr>
                <w:rFonts w:hint="eastAsia"/>
                <w:lang w:val="en-US" w:eastAsia="zh-CN"/>
              </w:rPr>
              <w:t>需</w:t>
            </w:r>
            <w:r>
              <w:rPr>
                <w:rFonts w:hint="eastAsia"/>
              </w:rPr>
              <w:t>提供本项目的测评人员必须具有公安部信息安全等级保护评估中心（或中关村信息安全测评联盟）颁发的《信息/网络安全等级测评师证书》，项目组成至少包括5名测评师，分别为1名高级测评师、1名中级测评师和两名初级测评师，1名质量监督人员；现场测评人员不少于3名测评师，至少包括1名高级测评师，1名中级测评师，1名初级测评师。响应文件中提供相关名单及证明材料。</w:t>
            </w:r>
          </w:p>
          <w:p>
            <w:pPr>
              <w:pStyle w:val="5"/>
              <w:numPr>
                <w:ilvl w:val="0"/>
                <w:numId w:val="2"/>
              </w:numPr>
            </w:pPr>
            <w:r>
              <w:rPr>
                <w:rFonts w:hint="eastAsia"/>
              </w:rPr>
              <w:t>投标公司</w:t>
            </w:r>
            <w:r>
              <w:t>提供网络安全等级保护测评服务案例</w:t>
            </w:r>
            <w:r>
              <w:rPr>
                <w:rFonts w:hint="eastAsia"/>
                <w:lang w:eastAsia="zh-CN"/>
              </w:rPr>
              <w:t>。</w:t>
            </w:r>
            <w:r>
              <w:t>如有请提供相关证明材料</w:t>
            </w:r>
            <w:r>
              <w:rPr>
                <w:rFonts w:hint="eastAsia"/>
              </w:rPr>
              <w:t>。</w:t>
            </w:r>
          </w:p>
          <w:p>
            <w:pPr>
              <w:pStyle w:val="5"/>
              <w:numPr>
                <w:ilvl w:val="0"/>
                <w:numId w:val="2"/>
              </w:numPr>
            </w:pPr>
            <w:r>
              <w:rPr>
                <w:rFonts w:hint="eastAsia"/>
              </w:rPr>
              <w:t>为保证后续服务的及时性，投标公司</w:t>
            </w:r>
            <w:r>
              <w:rPr>
                <w:rFonts w:hint="eastAsia" w:ascii="宋体" w:hAnsi="宋体" w:eastAsia="宋体" w:cs="宋体"/>
              </w:rPr>
              <w:t>在南宁市设有常驻的机构提供本地化服务，请提供相关证明文件。</w:t>
            </w:r>
          </w:p>
          <w:p>
            <w:pPr>
              <w:pStyle w:val="5"/>
              <w:numPr>
                <w:ilvl w:val="0"/>
                <w:numId w:val="2"/>
              </w:numPr>
            </w:pPr>
            <w:r>
              <w:rPr>
                <w:rFonts w:hint="eastAsia"/>
              </w:rPr>
              <w:t>★为便于响应本项目后续运维服务</w:t>
            </w:r>
            <w:r>
              <w:rPr>
                <w:rFonts w:hint="eastAsia"/>
                <w:lang w:eastAsia="zh-CN"/>
              </w:rPr>
              <w:t>，</w:t>
            </w:r>
            <w:r>
              <w:rPr>
                <w:rFonts w:hint="eastAsia"/>
              </w:rPr>
              <w:t>投标公司应成立技术服务保障小组，小组成员包括提供1名上门运维工程师，3名提供技术支持工程师，3名技术支持工程师有大专以上信息技术相关学历，具备包括多种操作系统、虚拟化技术、终端主机、网络完全、机房设备维护的工作经历、技能以及相关专业资质(3名技术支持工程师需具有HCIP中级（数通或安全或存储方向）或以上认证的工程师，技术支持小组工程师需是</w:t>
            </w:r>
            <w:r>
              <w:rPr>
                <w:rFonts w:hint="eastAsia"/>
                <w:lang w:val="en-US" w:eastAsia="zh-CN"/>
              </w:rPr>
              <w:t>在</w:t>
            </w:r>
            <w:r>
              <w:rPr>
                <w:rFonts w:hint="eastAsia"/>
              </w:rPr>
              <w:t>职正式员工，在公司买有最少3个月社保时间或双方盖章签字的一年劳动合同证明，投标时必须提供3名技术支持工程师证明材料，否则竞标无效)，上门维护工程师熟悉Windows、Linux等操作系统、虚拟化技术及电脑外设、打印机等软硬件日常安装、维护故障处理，熟悉网络设备安装调试。当现场工程师及其他支持方式无法解决问题或技术力量不足时，服务方应及时提供技术保障成员支持和补充。服务期间必须遵守采购人制定的各项关于机房设备及业务系统运维的管理制度，并需要签订保密协议。</w:t>
            </w:r>
          </w:p>
          <w:p>
            <w:pPr>
              <w:pStyle w:val="5"/>
              <w:numPr>
                <w:ilvl w:val="0"/>
                <w:numId w:val="2"/>
              </w:numPr>
            </w:pPr>
            <w:r>
              <w:rPr>
                <w:rFonts w:hint="eastAsia"/>
              </w:rPr>
              <w:t>★按照工作计划要求，中标公司要定时(签订合同后，测评期间每月上门一次巡检，</w:t>
            </w:r>
            <w:r>
              <w:rPr>
                <w:rFonts w:hint="eastAsia" w:hAnsi="宋体" w:eastAsia="宋体" w:cs="宋体"/>
                <w:szCs w:val="21"/>
              </w:rPr>
              <w:t>完成现场测评并出具网络安全等级保护测评报告后，上门服务也结束。</w:t>
            </w:r>
            <w:r>
              <w:rPr>
                <w:rFonts w:hint="eastAsia"/>
              </w:rPr>
              <w:t>）对我单位机房设备进行预防性维护，包括检查设备运行状态、系统网络安全防护状态，设备清洁度、数据备份的有效性等做巡检，如发现问题第一时间向采购人做汇报，并每次提供一份巡检报告。</w:t>
            </w:r>
          </w:p>
          <w:p>
            <w:pPr>
              <w:pStyle w:val="5"/>
              <w:numPr>
                <w:ilvl w:val="0"/>
                <w:numId w:val="2"/>
              </w:numPr>
            </w:pPr>
            <w:r>
              <w:rPr>
                <w:rFonts w:hint="eastAsia"/>
              </w:rPr>
              <w:t>本项目要求提供1次网络安全培训，邀请的培训专家必须是测评机构的主管部门的专家（如网安支队信息化专家），培训对象为采购人全体员工，培训内容主要针对日常口令安全、邮件使用安全、存储介质及数据安全、无线上网安全、木马病毒防范、系统补丁更新、网络防护等安全防范知识进行培训，提高用户的安全意识水平。</w:t>
            </w:r>
          </w:p>
          <w:p>
            <w:pPr>
              <w:pStyle w:val="5"/>
              <w:numPr>
                <w:ilvl w:val="0"/>
                <w:numId w:val="2"/>
              </w:numPr>
            </w:pPr>
            <w:r>
              <w:rPr>
                <w:rFonts w:hint="eastAsia"/>
              </w:rPr>
              <w:t>投标时要求提供针对本项目提供运维售后服务方案。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9588" w:type="dxa"/>
            <w:gridSpan w:val="4"/>
            <w:tcBorders>
              <w:top w:val="single" w:color="auto" w:sz="4" w:space="0"/>
              <w:left w:val="single" w:color="auto" w:sz="4" w:space="0"/>
              <w:bottom w:val="single" w:color="auto" w:sz="4" w:space="0"/>
              <w:right w:val="single" w:color="auto" w:sz="4" w:space="0"/>
            </w:tcBorders>
            <w:vAlign w:val="center"/>
          </w:tcPr>
          <w:p>
            <w:pPr>
              <w:numPr>
                <w:ilvl w:val="0"/>
                <w:numId w:val="3"/>
              </w:numPr>
              <w:spacing w:line="420" w:lineRule="exact"/>
            </w:pPr>
            <w:r>
              <w:rPr>
                <w:rFonts w:hint="eastAsia"/>
              </w:rPr>
              <w:t>合同签订期：自成交结果公告结束之日起 7 个工作日内。</w:t>
            </w:r>
          </w:p>
          <w:p>
            <w:pPr>
              <w:spacing w:line="420" w:lineRule="exact"/>
            </w:pPr>
            <w:r>
              <w:rPr>
                <w:rFonts w:hint="eastAsia"/>
              </w:rPr>
              <w:t>二、★服务期限：</w:t>
            </w:r>
          </w:p>
          <w:p>
            <w:pPr>
              <w:pStyle w:val="2"/>
              <w:ind w:firstLine="404" w:firstLineChars="200"/>
              <w:rPr>
                <w:rFonts w:eastAsia="宋体"/>
              </w:rPr>
            </w:pPr>
            <w:r>
              <w:rPr>
                <w:rFonts w:hint="eastAsia" w:hAnsi="宋体" w:eastAsia="宋体" w:cs="宋体"/>
                <w:sz w:val="21"/>
                <w:szCs w:val="21"/>
              </w:rPr>
              <w:t>合同签订之日起60个工作日内完成现场测评并出具网络安全等级保护测评报告。本项目不涉及测评后的整改服务内容。</w:t>
            </w:r>
          </w:p>
          <w:p>
            <w:r>
              <w:rPr>
                <w:rFonts w:hint="eastAsia"/>
              </w:rPr>
              <w:t>三、服务地点：南宁中心血站指定地点。</w:t>
            </w:r>
          </w:p>
          <w:p>
            <w:pPr>
              <w:spacing w:line="420" w:lineRule="exact"/>
            </w:pPr>
            <w:r>
              <w:rPr>
                <w:rFonts w:hint="eastAsia"/>
              </w:rPr>
              <w:t>四、付款方式：</w:t>
            </w:r>
          </w:p>
          <w:p>
            <w:pPr>
              <w:pStyle w:val="2"/>
              <w:ind w:firstLine="404" w:firstLineChars="200"/>
              <w:rPr>
                <w:rFonts w:hAnsi="宋体" w:eastAsia="宋体" w:cs="宋体"/>
                <w:sz w:val="21"/>
                <w:szCs w:val="21"/>
              </w:rPr>
            </w:pPr>
            <w:r>
              <w:rPr>
                <w:rFonts w:hint="eastAsia" w:hAnsi="宋体" w:eastAsia="宋体" w:cs="宋体"/>
                <w:sz w:val="21"/>
                <w:szCs w:val="21"/>
              </w:rPr>
              <w:t>本项目合同签订后支付40%合同款作为预付款，完成现场测评并出具网络安全等级保护测评报告后支付剩余60%合同款（付款前中标人需开具等额合规的增值税普通发票）。</w:t>
            </w:r>
          </w:p>
          <w:p>
            <w:pPr>
              <w:spacing w:line="420" w:lineRule="exact"/>
            </w:pPr>
            <w:r>
              <w:rPr>
                <w:rFonts w:hint="eastAsia"/>
              </w:rPr>
              <w:t>五、其他要求：</w:t>
            </w:r>
          </w:p>
          <w:p>
            <w:pPr>
              <w:spacing w:line="420" w:lineRule="exact"/>
            </w:pPr>
            <w:r>
              <w:rPr>
                <w:rFonts w:hint="eastAsia"/>
              </w:rPr>
              <w:t>1、中标人必须签署相关保密协议，严格遵守协议要求。</w:t>
            </w:r>
          </w:p>
          <w:p>
            <w:pPr>
              <w:spacing w:line="420" w:lineRule="exact"/>
            </w:pPr>
            <w:r>
              <w:rPr>
                <w:rFonts w:hint="eastAsia"/>
              </w:rPr>
              <w:t>2、投标公司近五年未受到省、区级及以上网络安全等级保护工作协调小组处以警告、违规、整改等通报或处罚；若参与投标的投标人，经查实在相关处罚之列的，将列入企业失信名单，不得参与采购人任何项目采购。</w:t>
            </w:r>
          </w:p>
          <w:p>
            <w:pPr>
              <w:pStyle w:val="2"/>
            </w:pPr>
          </w:p>
        </w:tc>
      </w:tr>
    </w:tbl>
    <w:p/>
    <w:p>
      <w:pPr>
        <w:rPr>
          <w:rFonts w:hint="default"/>
          <w:sz w:val="36"/>
          <w:szCs w:val="36"/>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333837"/>
    <w:multiLevelType w:val="singleLevel"/>
    <w:tmpl w:val="B2333837"/>
    <w:lvl w:ilvl="0" w:tentative="0">
      <w:start w:val="1"/>
      <w:numFmt w:val="chineseCounting"/>
      <w:suff w:val="nothing"/>
      <w:lvlText w:val="%1、"/>
      <w:lvlJc w:val="left"/>
      <w:rPr>
        <w:rFonts w:hint="eastAsia"/>
      </w:rPr>
    </w:lvl>
  </w:abstractNum>
  <w:abstractNum w:abstractNumId="1">
    <w:nsid w:val="CCB2E6FC"/>
    <w:multiLevelType w:val="singleLevel"/>
    <w:tmpl w:val="CCB2E6FC"/>
    <w:lvl w:ilvl="0" w:tentative="0">
      <w:start w:val="6"/>
      <w:numFmt w:val="chineseCounting"/>
      <w:suff w:val="nothing"/>
      <w:lvlText w:val="%1、"/>
      <w:lvlJc w:val="left"/>
      <w:rPr>
        <w:rFonts w:hint="eastAsia"/>
      </w:rPr>
    </w:lvl>
  </w:abstractNum>
  <w:abstractNum w:abstractNumId="2">
    <w:nsid w:val="7F4C09B2"/>
    <w:multiLevelType w:val="singleLevel"/>
    <w:tmpl w:val="7F4C09B2"/>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12883"/>
    <w:rsid w:val="00312883"/>
    <w:rsid w:val="00546E82"/>
    <w:rsid w:val="00740261"/>
    <w:rsid w:val="007F6E0E"/>
    <w:rsid w:val="00807DB8"/>
    <w:rsid w:val="00CF7A99"/>
    <w:rsid w:val="00EB16DE"/>
    <w:rsid w:val="00F635BB"/>
    <w:rsid w:val="00FB62F5"/>
    <w:rsid w:val="01924994"/>
    <w:rsid w:val="02A97FD3"/>
    <w:rsid w:val="02AD6D84"/>
    <w:rsid w:val="052B7A72"/>
    <w:rsid w:val="08AC4379"/>
    <w:rsid w:val="0A6174AC"/>
    <w:rsid w:val="0C607954"/>
    <w:rsid w:val="0CF663AE"/>
    <w:rsid w:val="0E86580C"/>
    <w:rsid w:val="0FDC3796"/>
    <w:rsid w:val="10280686"/>
    <w:rsid w:val="10772AAF"/>
    <w:rsid w:val="114C66F9"/>
    <w:rsid w:val="15826B8D"/>
    <w:rsid w:val="19E576EB"/>
    <w:rsid w:val="1B784D06"/>
    <w:rsid w:val="1D790876"/>
    <w:rsid w:val="1DBE272D"/>
    <w:rsid w:val="1DF75C3F"/>
    <w:rsid w:val="1EC05C79"/>
    <w:rsid w:val="250A44A9"/>
    <w:rsid w:val="25C40AFC"/>
    <w:rsid w:val="260139A3"/>
    <w:rsid w:val="26A83F7A"/>
    <w:rsid w:val="27223D2C"/>
    <w:rsid w:val="272C408E"/>
    <w:rsid w:val="27CC5A46"/>
    <w:rsid w:val="286A598B"/>
    <w:rsid w:val="28EE3B16"/>
    <w:rsid w:val="2A306760"/>
    <w:rsid w:val="2B634913"/>
    <w:rsid w:val="2BD45CDB"/>
    <w:rsid w:val="2D263EDA"/>
    <w:rsid w:val="2DB63420"/>
    <w:rsid w:val="32921722"/>
    <w:rsid w:val="34B748BD"/>
    <w:rsid w:val="34E23C38"/>
    <w:rsid w:val="38983E4E"/>
    <w:rsid w:val="39551D3F"/>
    <w:rsid w:val="3ECD34FD"/>
    <w:rsid w:val="42386BE7"/>
    <w:rsid w:val="42976390"/>
    <w:rsid w:val="43566DE0"/>
    <w:rsid w:val="437F5BC6"/>
    <w:rsid w:val="45BB2DAE"/>
    <w:rsid w:val="477517FF"/>
    <w:rsid w:val="47AC1237"/>
    <w:rsid w:val="4A567ABF"/>
    <w:rsid w:val="4F9D237F"/>
    <w:rsid w:val="4FF52BAA"/>
    <w:rsid w:val="50EA7200"/>
    <w:rsid w:val="52805134"/>
    <w:rsid w:val="557355CF"/>
    <w:rsid w:val="55DD6EED"/>
    <w:rsid w:val="56C65BD3"/>
    <w:rsid w:val="572D7D14"/>
    <w:rsid w:val="58443253"/>
    <w:rsid w:val="59E22D24"/>
    <w:rsid w:val="5C8345EE"/>
    <w:rsid w:val="5D064F02"/>
    <w:rsid w:val="5F396A92"/>
    <w:rsid w:val="61021EFD"/>
    <w:rsid w:val="63EB7AAD"/>
    <w:rsid w:val="648D270F"/>
    <w:rsid w:val="6618187B"/>
    <w:rsid w:val="66541127"/>
    <w:rsid w:val="66FB5425"/>
    <w:rsid w:val="67C82891"/>
    <w:rsid w:val="68264723"/>
    <w:rsid w:val="6827542E"/>
    <w:rsid w:val="68B770EE"/>
    <w:rsid w:val="694F55AC"/>
    <w:rsid w:val="6B5E6668"/>
    <w:rsid w:val="6B7752B6"/>
    <w:rsid w:val="6BD12BF8"/>
    <w:rsid w:val="6F287855"/>
    <w:rsid w:val="6FCE1E96"/>
    <w:rsid w:val="706012D6"/>
    <w:rsid w:val="71F47640"/>
    <w:rsid w:val="72127391"/>
    <w:rsid w:val="734C08CA"/>
    <w:rsid w:val="747C40BA"/>
    <w:rsid w:val="75AC62D8"/>
    <w:rsid w:val="75FD7697"/>
    <w:rsid w:val="76402E54"/>
    <w:rsid w:val="78014865"/>
    <w:rsid w:val="7812637D"/>
    <w:rsid w:val="78370287"/>
    <w:rsid w:val="79052133"/>
    <w:rsid w:val="79823784"/>
    <w:rsid w:val="7A2D430B"/>
    <w:rsid w:val="7B821570"/>
    <w:rsid w:val="7C2E028A"/>
    <w:rsid w:val="7D16490F"/>
    <w:rsid w:val="7D2B65CD"/>
    <w:rsid w:val="7F536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link w:val="13"/>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0"/>
    <w:autoRedefine/>
    <w:qFormat/>
    <w:uiPriority w:val="0"/>
    <w:pPr>
      <w:spacing w:after="0" w:line="360" w:lineRule="auto"/>
      <w:ind w:left="0" w:leftChars="0"/>
    </w:pPr>
    <w:rPr>
      <w:rFonts w:ascii="宋体" w:hAnsi="Courier New"/>
      <w:spacing w:val="-4"/>
      <w:sz w:val="24"/>
      <w:szCs w:val="20"/>
    </w:rPr>
  </w:style>
  <w:style w:type="paragraph" w:styleId="3">
    <w:name w:val="Body Text Indent"/>
    <w:basedOn w:val="1"/>
    <w:link w:val="9"/>
    <w:autoRedefine/>
    <w:semiHidden/>
    <w:unhideWhenUsed/>
    <w:qFormat/>
    <w:uiPriority w:val="99"/>
    <w:pPr>
      <w:spacing w:after="120"/>
      <w:ind w:left="420" w:leftChars="200"/>
    </w:pPr>
  </w:style>
  <w:style w:type="paragraph" w:styleId="5">
    <w:name w:val="Body Text"/>
    <w:basedOn w:val="1"/>
    <w:link w:val="11"/>
    <w:autoRedefine/>
    <w:unhideWhenUsed/>
    <w:qFormat/>
    <w:uiPriority w:val="0"/>
    <w:pPr>
      <w:spacing w:after="120"/>
    </w:pPr>
    <w:rPr>
      <w:rFonts w:ascii="Times New Roman" w:hAnsi="Times New Roman"/>
    </w:rPr>
  </w:style>
  <w:style w:type="paragraph" w:styleId="6">
    <w:name w:val="Plain Text"/>
    <w:basedOn w:val="1"/>
    <w:next w:val="4"/>
    <w:link w:val="12"/>
    <w:autoRedefine/>
    <w:qFormat/>
    <w:uiPriority w:val="0"/>
    <w:rPr>
      <w:rFonts w:ascii="宋体" w:hAnsi="Courier New"/>
      <w:szCs w:val="20"/>
    </w:rPr>
  </w:style>
  <w:style w:type="character" w:customStyle="1" w:styleId="9">
    <w:name w:val="正文文本缩进 字符"/>
    <w:basedOn w:val="8"/>
    <w:link w:val="3"/>
    <w:autoRedefine/>
    <w:semiHidden/>
    <w:qFormat/>
    <w:uiPriority w:val="99"/>
    <w:rPr>
      <w:szCs w:val="24"/>
    </w:rPr>
  </w:style>
  <w:style w:type="character" w:customStyle="1" w:styleId="10">
    <w:name w:val="正文文本首行缩进 2 字符"/>
    <w:basedOn w:val="9"/>
    <w:link w:val="2"/>
    <w:autoRedefine/>
    <w:qFormat/>
    <w:uiPriority w:val="0"/>
    <w:rPr>
      <w:rFonts w:ascii="宋体" w:hAnsi="Courier New"/>
      <w:spacing w:val="-4"/>
      <w:sz w:val="24"/>
      <w:szCs w:val="20"/>
    </w:rPr>
  </w:style>
  <w:style w:type="character" w:customStyle="1" w:styleId="11">
    <w:name w:val="正文文本 字符"/>
    <w:basedOn w:val="8"/>
    <w:link w:val="5"/>
    <w:autoRedefine/>
    <w:qFormat/>
    <w:uiPriority w:val="0"/>
    <w:rPr>
      <w:rFonts w:ascii="Times New Roman" w:hAnsi="Times New Roman"/>
      <w:szCs w:val="24"/>
    </w:rPr>
  </w:style>
  <w:style w:type="character" w:customStyle="1" w:styleId="12">
    <w:name w:val="纯文本 字符"/>
    <w:basedOn w:val="8"/>
    <w:link w:val="6"/>
    <w:autoRedefine/>
    <w:qFormat/>
    <w:uiPriority w:val="0"/>
    <w:rPr>
      <w:rFonts w:ascii="宋体" w:hAnsi="Courier New"/>
      <w:szCs w:val="20"/>
    </w:rPr>
  </w:style>
  <w:style w:type="character" w:customStyle="1" w:styleId="13">
    <w:name w:val="标题 4 字符"/>
    <w:basedOn w:val="8"/>
    <w:link w:val="4"/>
    <w:autoRedefine/>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3</Pages>
  <Words>391</Words>
  <Characters>2231</Characters>
  <Lines>18</Lines>
  <Paragraphs>5</Paragraphs>
  <TotalTime>1047</TotalTime>
  <ScaleCrop>false</ScaleCrop>
  <LinksUpToDate>false</LinksUpToDate>
  <CharactersWithSpaces>2617</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2023-03-30T09:29:00Z</dcterms:created>
  <dc:creator>dell</dc:creator>
  <cp:lastModifiedBy>WPS</cp:lastModifiedBy>
  <cp:lastPrinted>2024-03-18T01:24:00Z</cp:lastPrinted>
  <dcterms:modified xsi:type="dcterms:W3CDTF">2024-04-02T07:33:29Z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A2A7CF752BC14492AB9B9542CE9A1F3D_13</vt:lpwstr>
  </property>
</Properties>
</file>