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rFonts w:hAnsi="宋体" w:eastAsia="宋体" w:cs="宋体"/>
          <w:bCs/>
          <w:sz w:val="28"/>
          <w:szCs w:val="28"/>
        </w:rPr>
      </w:pPr>
      <w:bookmarkStart w:id="0" w:name="_GoBack"/>
      <w:bookmarkEnd w:id="0"/>
      <w:r>
        <w:rPr>
          <w:rFonts w:hint="eastAsia" w:hAnsi="宋体" w:eastAsia="宋体" w:cs="宋体"/>
          <w:bCs/>
          <w:sz w:val="28"/>
          <w:szCs w:val="28"/>
        </w:rPr>
        <w:t>附件1</w:t>
      </w:r>
    </w:p>
    <w:p>
      <w:pPr>
        <w:pStyle w:val="6"/>
        <w:jc w:val="center"/>
        <w:rPr>
          <w:b/>
          <w:sz w:val="32"/>
        </w:rPr>
      </w:pPr>
      <w:r>
        <w:rPr>
          <w:rFonts w:hint="eastAsia"/>
          <w:b/>
          <w:sz w:val="32"/>
        </w:rPr>
        <w:t>采购需求一览表</w:t>
      </w:r>
    </w:p>
    <w:tbl>
      <w:tblPr>
        <w:tblStyle w:val="10"/>
        <w:tblW w:w="1004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45"/>
        <w:gridCol w:w="354"/>
        <w:gridCol w:w="1582"/>
        <w:gridCol w:w="707"/>
        <w:gridCol w:w="3780"/>
        <w:gridCol w:w="2272"/>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1345"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eastAsiaTheme="minorEastAsia"/>
                <w:b/>
                <w:szCs w:val="21"/>
                <w:lang w:val="en-US" w:eastAsia="zh-CN"/>
              </w:rPr>
            </w:pPr>
            <w:r>
              <w:rPr>
                <w:rFonts w:hint="eastAsia" w:ascii="宋体" w:hAnsi="宋体"/>
                <w:b/>
                <w:szCs w:val="21"/>
                <w:lang w:val="en-US" w:eastAsia="zh-CN"/>
              </w:rPr>
              <w:t>项目名称</w:t>
            </w:r>
          </w:p>
        </w:tc>
        <w:tc>
          <w:tcPr>
            <w:tcW w:w="35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ascii="宋体" w:hAnsi="宋体"/>
                <w:b/>
                <w:szCs w:val="21"/>
              </w:rPr>
            </w:pPr>
            <w:r>
              <w:rPr>
                <w:rFonts w:hint="eastAsia" w:ascii="宋体" w:hAnsi="宋体"/>
                <w:b/>
                <w:szCs w:val="21"/>
              </w:rPr>
              <w:t>项号</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b/>
                <w:szCs w:val="21"/>
                <w:lang w:eastAsia="zh-CN"/>
              </w:rPr>
            </w:pPr>
            <w:r>
              <w:rPr>
                <w:rFonts w:hint="eastAsia" w:ascii="宋体" w:hAnsi="宋体"/>
                <w:b/>
                <w:szCs w:val="21"/>
                <w:lang w:eastAsia="zh-CN"/>
              </w:rPr>
              <w:t>刊号</w:t>
            </w:r>
          </w:p>
        </w:tc>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b/>
                <w:szCs w:val="21"/>
                <w:lang w:eastAsia="zh-CN"/>
              </w:rPr>
            </w:pPr>
            <w:r>
              <w:rPr>
                <w:rFonts w:hint="eastAsia" w:ascii="宋体" w:hAnsi="宋体"/>
                <w:b/>
                <w:szCs w:val="21"/>
                <w:lang w:eastAsia="zh-CN"/>
              </w:rPr>
              <w:t>期次</w:t>
            </w:r>
          </w:p>
        </w:tc>
        <w:tc>
          <w:tcPr>
            <w:tcW w:w="378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cs="Times New Roman"/>
                <w:b/>
                <w:kern w:val="2"/>
                <w:sz w:val="21"/>
                <w:szCs w:val="21"/>
                <w:lang w:val="en-US" w:eastAsia="zh-CN" w:bidi="ar-SA"/>
              </w:rPr>
            </w:pPr>
            <w:r>
              <w:rPr>
                <w:rFonts w:hint="eastAsia" w:ascii="宋体" w:hAnsi="宋体" w:cs="Times New Roman"/>
                <w:b/>
                <w:kern w:val="2"/>
                <w:sz w:val="21"/>
                <w:szCs w:val="21"/>
                <w:lang w:val="en-US" w:eastAsia="zh-CN" w:bidi="ar-SA"/>
              </w:rPr>
              <w:t>刊名</w:t>
            </w:r>
          </w:p>
        </w:tc>
        <w:tc>
          <w:tcPr>
            <w:tcW w:w="227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cs="Times New Roman"/>
                <w:b/>
                <w:kern w:val="2"/>
                <w:sz w:val="21"/>
                <w:szCs w:val="21"/>
                <w:lang w:val="en-US" w:eastAsia="zh-CN" w:bidi="ar-SA"/>
              </w:rPr>
            </w:pPr>
            <w:r>
              <w:rPr>
                <w:rFonts w:hint="eastAsia" w:ascii="宋体" w:hAnsi="宋体" w:cs="Times New Roman"/>
                <w:b/>
                <w:kern w:val="2"/>
                <w:sz w:val="21"/>
                <w:szCs w:val="21"/>
                <w:lang w:val="en-US" w:eastAsia="zh-CN" w:bidi="ar-SA"/>
              </w:rPr>
              <w:t>订数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1345" w:type="dxa"/>
            <w:vMerge w:val="restart"/>
            <w:tcBorders>
              <w:top w:val="single" w:color="auto" w:sz="4" w:space="0"/>
              <w:left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szCs w:val="21"/>
                <w:lang w:val="en-US" w:eastAsia="zh-CN"/>
              </w:rPr>
            </w:pPr>
            <w:r>
              <w:rPr>
                <w:rFonts w:hint="eastAsia" w:ascii="宋体" w:hAnsi="宋体" w:eastAsia="宋体" w:cs="宋体"/>
                <w:kern w:val="2"/>
                <w:sz w:val="24"/>
                <w:szCs w:val="24"/>
                <w:lang w:val="en-US" w:eastAsia="zh-CN" w:bidi="ar-SA"/>
              </w:rPr>
              <w:t>南宁中心血站2024年外文期刊订购</w:t>
            </w:r>
          </w:p>
        </w:tc>
        <w:tc>
          <w:tcPr>
            <w:tcW w:w="35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szCs w:val="21"/>
                <w:lang w:val="en-US" w:eastAsia="zh-CN"/>
              </w:rPr>
            </w:pPr>
            <w:r>
              <w:rPr>
                <w:rFonts w:hint="eastAsia" w:ascii="宋体" w:hAnsi="宋体"/>
                <w:szCs w:val="21"/>
                <w:lang w:val="en-US" w:eastAsia="zh-CN"/>
              </w:rPr>
              <w:t>1</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hint="eastAsia" w:ascii="宋体" w:hAnsi="宋体" w:eastAsia="宋体"/>
                <w:szCs w:val="21"/>
                <w:lang w:eastAsia="zh-CN"/>
              </w:rPr>
            </w:pPr>
            <w:r>
              <w:rPr>
                <w:rFonts w:ascii="宋体" w:hAnsi="宋体" w:eastAsia="宋体" w:cs="宋体"/>
                <w:sz w:val="24"/>
                <w:szCs w:val="24"/>
              </w:rPr>
              <w:t>631C0020</w:t>
            </w:r>
          </w:p>
        </w:tc>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ind w:firstLine="210" w:firstLineChars="100"/>
              <w:jc w:val="center"/>
              <w:textAlignment w:val="auto"/>
              <w:rPr>
                <w:rFonts w:hint="default" w:ascii="宋体" w:hAnsi="宋体" w:eastAsia="宋体"/>
                <w:szCs w:val="21"/>
                <w:lang w:val="en-US" w:eastAsia="zh-CN"/>
              </w:rPr>
            </w:pPr>
            <w:r>
              <w:rPr>
                <w:rFonts w:hint="eastAsia" w:ascii="宋体" w:hAnsi="宋体"/>
                <w:szCs w:val="21"/>
                <w:lang w:val="en-US" w:eastAsia="zh-CN"/>
              </w:rPr>
              <w:t>8</w:t>
            </w:r>
          </w:p>
        </w:tc>
        <w:tc>
          <w:tcPr>
            <w:tcW w:w="3780" w:type="dxa"/>
            <w:tcBorders>
              <w:top w:val="single" w:color="auto" w:sz="4" w:space="0"/>
              <w:left w:val="single" w:color="auto" w:sz="4" w:space="0"/>
              <w:bottom w:val="single" w:color="auto" w:sz="4" w:space="0"/>
              <w:right w:val="single" w:color="auto" w:sz="4" w:space="0"/>
            </w:tcBorders>
            <w:noWrap w:val="0"/>
            <w:vAlign w:val="center"/>
          </w:tcPr>
          <w:p>
            <w:pPr>
              <w:pStyle w:val="7"/>
              <w:numPr>
                <w:ilvl w:val="0"/>
                <w:numId w:val="0"/>
              </w:numPr>
              <w:jc w:val="center"/>
              <w:rPr>
                <w:rFonts w:hint="default" w:cs="Times New Roman"/>
                <w:kern w:val="2"/>
                <w:sz w:val="21"/>
                <w:szCs w:val="24"/>
                <w:lang w:val="en-US" w:eastAsia="zh-CN" w:bidi="ar-SA"/>
              </w:rPr>
            </w:pPr>
            <w:r>
              <w:rPr>
                <w:rFonts w:ascii="宋体" w:hAnsi="宋体" w:eastAsia="宋体" w:cs="宋体"/>
                <w:sz w:val="24"/>
                <w:szCs w:val="24"/>
              </w:rPr>
              <w:t>Vox</w:t>
            </w:r>
            <w:r>
              <w:rPr>
                <w:rFonts w:hint="eastAsia" w:ascii="宋体" w:hAnsi="宋体" w:eastAsia="宋体" w:cs="宋体"/>
                <w:sz w:val="24"/>
                <w:szCs w:val="24"/>
                <w:lang w:val="en-US" w:eastAsia="zh-CN"/>
              </w:rPr>
              <w:t xml:space="preserve"> </w:t>
            </w:r>
            <w:r>
              <w:rPr>
                <w:rFonts w:ascii="宋体" w:hAnsi="宋体" w:eastAsia="宋体" w:cs="宋体"/>
                <w:sz w:val="24"/>
                <w:szCs w:val="24"/>
              </w:rPr>
              <w:t>Sanguinis</w:t>
            </w:r>
            <w:r>
              <w:rPr>
                <w:rFonts w:hint="eastAsia" w:ascii="宋体" w:hAnsi="宋体" w:eastAsia="宋体" w:cs="宋体"/>
                <w:sz w:val="24"/>
                <w:szCs w:val="24"/>
                <w:lang w:val="en-US" w:eastAsia="zh-CN"/>
              </w:rPr>
              <w:t>.</w:t>
            </w:r>
          </w:p>
        </w:tc>
        <w:tc>
          <w:tcPr>
            <w:tcW w:w="2272" w:type="dxa"/>
            <w:tcBorders>
              <w:top w:val="single" w:color="auto" w:sz="4" w:space="0"/>
              <w:left w:val="single" w:color="auto" w:sz="4" w:space="0"/>
              <w:bottom w:val="single" w:color="auto" w:sz="4" w:space="0"/>
              <w:right w:val="single" w:color="auto" w:sz="4" w:space="0"/>
            </w:tcBorders>
            <w:noWrap w:val="0"/>
            <w:vAlign w:val="center"/>
          </w:tcPr>
          <w:p>
            <w:pPr>
              <w:pStyle w:val="7"/>
              <w:numPr>
                <w:ilvl w:val="0"/>
                <w:numId w:val="0"/>
              </w:numPr>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7" w:hRule="atLeast"/>
          <w:jc w:val="center"/>
        </w:trPr>
        <w:tc>
          <w:tcPr>
            <w:tcW w:w="1345" w:type="dxa"/>
            <w:vMerge w:val="continue"/>
            <w:tcBorders>
              <w:left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szCs w:val="21"/>
                <w:lang w:val="en-US" w:eastAsia="zh-CN"/>
              </w:rPr>
            </w:pPr>
          </w:p>
        </w:tc>
        <w:tc>
          <w:tcPr>
            <w:tcW w:w="354"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szCs w:val="21"/>
                <w:lang w:val="en-US" w:eastAsia="zh-CN"/>
              </w:rPr>
            </w:pPr>
            <w:r>
              <w:rPr>
                <w:rFonts w:hint="eastAsia" w:ascii="宋体" w:hAnsi="宋体"/>
                <w:szCs w:val="21"/>
                <w:lang w:val="en-US" w:eastAsia="zh-CN"/>
              </w:rPr>
              <w:t>2</w:t>
            </w:r>
          </w:p>
        </w:tc>
        <w:tc>
          <w:tcPr>
            <w:tcW w:w="158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default" w:ascii="宋体" w:hAnsi="宋体" w:eastAsia="宋体"/>
                <w:szCs w:val="21"/>
                <w:lang w:val="en-US" w:eastAsia="zh-CN"/>
              </w:rPr>
            </w:pPr>
            <w:r>
              <w:rPr>
                <w:rFonts w:hint="eastAsia" w:ascii="宋体" w:hAnsi="宋体" w:cs="宋体"/>
                <w:sz w:val="24"/>
                <w:szCs w:val="24"/>
                <w:lang w:val="en-US" w:eastAsia="zh-CN"/>
              </w:rPr>
              <w:t>631B0052/IP</w:t>
            </w:r>
          </w:p>
        </w:tc>
        <w:tc>
          <w:tcPr>
            <w:tcW w:w="70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ind w:firstLine="210" w:firstLineChars="100"/>
              <w:jc w:val="center"/>
              <w:textAlignment w:val="auto"/>
              <w:rPr>
                <w:rFonts w:hint="default" w:ascii="宋体" w:hAnsi="宋体"/>
                <w:szCs w:val="21"/>
                <w:lang w:val="en-US" w:eastAsia="zh-CN"/>
              </w:rPr>
            </w:pPr>
            <w:r>
              <w:rPr>
                <w:rFonts w:hint="eastAsia" w:ascii="宋体" w:hAnsi="宋体"/>
                <w:szCs w:val="21"/>
                <w:lang w:val="en-US" w:eastAsia="zh-CN"/>
              </w:rPr>
              <w:t>12</w:t>
            </w:r>
          </w:p>
        </w:tc>
        <w:tc>
          <w:tcPr>
            <w:tcW w:w="3780" w:type="dxa"/>
            <w:tcBorders>
              <w:top w:val="single" w:color="auto" w:sz="4" w:space="0"/>
              <w:left w:val="single" w:color="auto" w:sz="4" w:space="0"/>
              <w:bottom w:val="single" w:color="auto" w:sz="4" w:space="0"/>
              <w:right w:val="single" w:color="auto" w:sz="4" w:space="0"/>
            </w:tcBorders>
            <w:noWrap w:val="0"/>
            <w:vAlign w:val="center"/>
          </w:tcPr>
          <w:p>
            <w:pPr>
              <w:pStyle w:val="7"/>
              <w:jc w:val="center"/>
              <w:rPr>
                <w:rFonts w:hint="eastAsia" w:ascii="宋体" w:hAnsi="宋体" w:eastAsia="宋体" w:cs="宋体"/>
                <w:sz w:val="24"/>
                <w:szCs w:val="24"/>
                <w:lang w:val="en-US" w:eastAsia="zh-CN"/>
              </w:rPr>
            </w:pPr>
            <w:r>
              <w:rPr>
                <w:rFonts w:ascii="宋体" w:hAnsi="宋体" w:eastAsia="宋体" w:cs="宋体"/>
                <w:sz w:val="24"/>
                <w:szCs w:val="24"/>
              </w:rPr>
              <w:t>Transfusion</w:t>
            </w:r>
            <w:r>
              <w:rPr>
                <w:rFonts w:hint="eastAsia" w:ascii="宋体" w:hAnsi="宋体" w:eastAsia="宋体" w:cs="宋体"/>
                <w:sz w:val="24"/>
                <w:szCs w:val="24"/>
                <w:lang w:val="en-US" w:eastAsia="zh-CN"/>
              </w:rPr>
              <w:t xml:space="preserve">. </w:t>
            </w:r>
            <w:r>
              <w:rPr>
                <w:rFonts w:ascii="宋体" w:hAnsi="宋体" w:eastAsia="宋体" w:cs="宋体"/>
                <w:sz w:val="24"/>
                <w:szCs w:val="24"/>
              </w:rPr>
              <w:t>(print</w:t>
            </w:r>
            <w:r>
              <w:rPr>
                <w:rFonts w:hint="eastAsia" w:ascii="宋体" w:hAnsi="宋体" w:eastAsia="宋体" w:cs="宋体"/>
                <w:sz w:val="24"/>
                <w:szCs w:val="24"/>
                <w:lang w:val="en-US" w:eastAsia="zh-CN"/>
              </w:rPr>
              <w:t xml:space="preserve"> </w:t>
            </w:r>
            <w:r>
              <w:rPr>
                <w:rFonts w:ascii="宋体" w:hAnsi="宋体" w:eastAsia="宋体" w:cs="宋体"/>
                <w:sz w:val="24"/>
                <w:szCs w:val="24"/>
              </w:rPr>
              <w:t>and</w:t>
            </w:r>
            <w:r>
              <w:rPr>
                <w:rFonts w:hint="eastAsia" w:ascii="宋体" w:hAnsi="宋体" w:eastAsia="宋体" w:cs="宋体"/>
                <w:sz w:val="24"/>
                <w:szCs w:val="24"/>
                <w:lang w:val="en-US" w:eastAsia="zh-CN"/>
              </w:rPr>
              <w:t xml:space="preserve"> </w:t>
            </w:r>
            <w:r>
              <w:rPr>
                <w:rFonts w:ascii="宋体" w:hAnsi="宋体" w:eastAsia="宋体" w:cs="宋体"/>
                <w:sz w:val="24"/>
                <w:szCs w:val="24"/>
              </w:rPr>
              <w:t>online)</w:t>
            </w:r>
          </w:p>
        </w:tc>
        <w:tc>
          <w:tcPr>
            <w:tcW w:w="2272" w:type="dxa"/>
            <w:tcBorders>
              <w:top w:val="single" w:color="auto" w:sz="4" w:space="0"/>
              <w:left w:val="single" w:color="auto" w:sz="4" w:space="0"/>
              <w:bottom w:val="single" w:color="auto" w:sz="4" w:space="0"/>
              <w:right w:val="single" w:color="auto" w:sz="4" w:space="0"/>
            </w:tcBorders>
            <w:noWrap w:val="0"/>
            <w:vAlign w:val="center"/>
          </w:tcPr>
          <w:p>
            <w:pPr>
              <w:pStyle w:val="7"/>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5" w:hRule="atLeast"/>
          <w:jc w:val="center"/>
        </w:trPr>
        <w:tc>
          <w:tcPr>
            <w:tcW w:w="1345" w:type="dxa"/>
            <w:vMerge w:val="continue"/>
            <w:tcBorders>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eastAsia="宋体" w:cs="宋体"/>
                <w:color w:val="auto"/>
                <w:sz w:val="21"/>
                <w:szCs w:val="21"/>
                <w:lang w:val="en-US" w:eastAsia="zh-CN"/>
              </w:rPr>
            </w:pPr>
          </w:p>
        </w:tc>
        <w:tc>
          <w:tcPr>
            <w:tcW w:w="2643" w:type="dxa"/>
            <w:gridSpan w:val="3"/>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spacing w:line="360" w:lineRule="exact"/>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分项最高限价</w:t>
            </w:r>
          </w:p>
          <w:p>
            <w:pPr>
              <w:keepNext w:val="0"/>
              <w:keepLines w:val="0"/>
              <w:pageBreakBefore w:val="0"/>
              <w:kinsoku/>
              <w:wordWrap/>
              <w:overflowPunct/>
              <w:topLinePunct w:val="0"/>
              <w:bidi w:val="0"/>
              <w:spacing w:line="560" w:lineRule="exact"/>
              <w:jc w:val="center"/>
              <w:textAlignment w:val="auto"/>
              <w:rPr>
                <w:rFonts w:hint="eastAsia" w:ascii="宋体" w:hAnsi="宋体"/>
                <w:szCs w:val="21"/>
                <w:lang w:val="en-US" w:eastAsia="zh-CN"/>
              </w:rPr>
            </w:pPr>
            <w:r>
              <w:rPr>
                <w:rFonts w:hint="eastAsia" w:ascii="宋体" w:hAnsi="宋体" w:eastAsia="宋体" w:cs="宋体"/>
                <w:color w:val="auto"/>
                <w:sz w:val="21"/>
                <w:szCs w:val="21"/>
                <w:lang w:val="en-US" w:eastAsia="zh-CN"/>
              </w:rPr>
              <w:t>合计（元）</w:t>
            </w:r>
          </w:p>
        </w:tc>
        <w:tc>
          <w:tcPr>
            <w:tcW w:w="605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szCs w:val="21"/>
              </w:rPr>
            </w:pPr>
            <w:r>
              <w:rPr>
                <w:rFonts w:hint="eastAsia" w:hAnsi="宋体"/>
                <w:bCs/>
                <w:color w:val="auto"/>
                <w:lang w:eastAsia="zh-CN"/>
              </w:rPr>
              <w:t>人民币</w:t>
            </w:r>
            <w:r>
              <w:rPr>
                <w:rFonts w:hint="eastAsia" w:hAnsi="宋体"/>
                <w:bCs/>
                <w:color w:val="auto"/>
                <w:lang w:val="en-US" w:eastAsia="zh-CN"/>
              </w:rPr>
              <w:t>肆</w:t>
            </w:r>
            <w:r>
              <w:rPr>
                <w:rFonts w:hint="eastAsia" w:hAnsi="宋体"/>
                <w:bCs/>
                <w:color w:val="auto"/>
                <w:lang w:eastAsia="zh-CN"/>
              </w:rPr>
              <w:t>万</w:t>
            </w:r>
            <w:r>
              <w:rPr>
                <w:rFonts w:hint="eastAsia" w:hAnsi="宋体"/>
                <w:bCs/>
                <w:color w:val="auto"/>
                <w:lang w:val="en-US" w:eastAsia="zh-CN"/>
              </w:rPr>
              <w:t>捌仟元</w:t>
            </w:r>
            <w:r>
              <w:rPr>
                <w:rFonts w:hint="eastAsia" w:hAnsi="宋体"/>
                <w:bCs/>
                <w:color w:val="auto"/>
                <w:lang w:eastAsia="zh-CN"/>
              </w:rPr>
              <w:t>整（</w:t>
            </w:r>
            <w:r>
              <w:rPr>
                <w:rFonts w:hint="eastAsia" w:hAnsi="宋体"/>
                <w:bCs/>
                <w:color w:val="auto"/>
                <w:lang w:val="en-US" w:eastAsia="zh-CN"/>
              </w:rPr>
              <w:t>¥48000.00</w:t>
            </w:r>
            <w:r>
              <w:rPr>
                <w:rFonts w:hint="eastAsia" w:hAnsi="宋体"/>
                <w:bCs/>
                <w:color w:val="auto"/>
                <w:lang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90" w:hRule="atLeast"/>
          <w:jc w:val="center"/>
        </w:trPr>
        <w:tc>
          <w:tcPr>
            <w:tcW w:w="1699" w:type="dxa"/>
            <w:gridSpan w:val="2"/>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pPr>
              <w:keepNext w:val="0"/>
              <w:keepLines w:val="0"/>
              <w:pageBreakBefore w:val="0"/>
              <w:kinsoku/>
              <w:wordWrap/>
              <w:overflowPunct/>
              <w:topLinePunct w:val="0"/>
              <w:bidi w:val="0"/>
              <w:spacing w:line="560" w:lineRule="exact"/>
              <w:jc w:val="center"/>
              <w:textAlignment w:val="auto"/>
              <w:rPr>
                <w:rFonts w:hint="eastAsia" w:ascii="宋体" w:hAnsi="宋体" w:cs="宋体"/>
                <w:kern w:val="0"/>
              </w:rPr>
            </w:pPr>
            <w:r>
              <w:rPr>
                <w:rFonts w:hint="eastAsia" w:ascii="宋体" w:hAnsi="宋体" w:cs="宋体"/>
                <w:kern w:val="0"/>
              </w:rPr>
              <w:t>商务</w:t>
            </w:r>
          </w:p>
          <w:p>
            <w:pPr>
              <w:keepNext w:val="0"/>
              <w:keepLines w:val="0"/>
              <w:pageBreakBefore w:val="0"/>
              <w:kinsoku/>
              <w:wordWrap/>
              <w:overflowPunct/>
              <w:topLinePunct w:val="0"/>
              <w:bidi w:val="0"/>
              <w:spacing w:line="560" w:lineRule="exact"/>
              <w:jc w:val="center"/>
              <w:textAlignment w:val="auto"/>
              <w:rPr>
                <w:rFonts w:hint="eastAsia" w:ascii="宋体" w:hAnsi="宋体"/>
                <w:szCs w:val="21"/>
              </w:rPr>
            </w:pPr>
            <w:r>
              <w:rPr>
                <w:rFonts w:hint="eastAsia" w:ascii="宋体" w:hAnsi="宋体" w:cs="宋体"/>
                <w:kern w:val="0"/>
              </w:rPr>
              <w:t>条款</w:t>
            </w:r>
          </w:p>
        </w:tc>
        <w:tc>
          <w:tcPr>
            <w:tcW w:w="8341" w:type="dxa"/>
            <w:gridSpan w:val="4"/>
            <w:tcBorders>
              <w:top w:val="single" w:color="auto" w:sz="4" w:space="0"/>
              <w:left w:val="single" w:color="auto" w:sz="4" w:space="0"/>
              <w:bottom w:val="single" w:color="auto" w:sz="4" w:space="0"/>
              <w:right w:val="single" w:color="auto" w:sz="4" w:space="0"/>
            </w:tcBorders>
            <w:noWrap w:val="0"/>
            <w:vAlign w:val="center"/>
          </w:tcPr>
          <w:p>
            <w:pPr>
              <w:numPr>
                <w:ilvl w:val="0"/>
                <w:numId w:val="2"/>
              </w:numPr>
              <w:spacing w:line="360" w:lineRule="auto"/>
              <w:rPr>
                <w:rFonts w:hint="eastAsia" w:ascii="宋体" w:hAnsi="宋体" w:eastAsia="宋体" w:cs="宋体"/>
                <w:b w:val="0"/>
                <w:bCs w:val="0"/>
                <w:sz w:val="21"/>
                <w:szCs w:val="21"/>
              </w:rPr>
            </w:pPr>
            <w:r>
              <w:rPr>
                <w:rFonts w:hint="eastAsia" w:ascii="宋体" w:hAnsi="宋体" w:eastAsia="宋体" w:cs="宋体"/>
                <w:b w:val="0"/>
                <w:bCs w:val="0"/>
                <w:sz w:val="21"/>
                <w:szCs w:val="21"/>
              </w:rPr>
              <w:t>合同签订期：自</w:t>
            </w:r>
            <w:r>
              <w:rPr>
                <w:rFonts w:hint="eastAsia" w:ascii="宋体" w:hAnsi="宋体" w:eastAsia="宋体" w:cs="宋体"/>
                <w:b w:val="0"/>
                <w:bCs w:val="0"/>
                <w:sz w:val="21"/>
                <w:szCs w:val="21"/>
                <w:lang w:eastAsia="zh-CN"/>
              </w:rPr>
              <w:t>中标公告</w:t>
            </w:r>
            <w:r>
              <w:rPr>
                <w:rFonts w:hint="eastAsia" w:ascii="宋体" w:hAnsi="宋体" w:eastAsia="宋体" w:cs="宋体"/>
                <w:b w:val="0"/>
                <w:bCs w:val="0"/>
                <w:sz w:val="21"/>
                <w:szCs w:val="21"/>
              </w:rPr>
              <w:t>发出之日起</w:t>
            </w:r>
            <w:r>
              <w:rPr>
                <w:rFonts w:hint="eastAsia" w:ascii="宋体" w:hAnsi="宋体" w:eastAsia="宋体" w:cs="宋体"/>
                <w:b w:val="0"/>
                <w:bCs w:val="0"/>
                <w:sz w:val="21"/>
                <w:szCs w:val="21"/>
                <w:u w:val="single"/>
                <w:lang w:val="en-US" w:eastAsia="zh-CN"/>
              </w:rPr>
              <w:t xml:space="preserve">  15  </w:t>
            </w:r>
            <w:r>
              <w:rPr>
                <w:rFonts w:hint="eastAsia" w:ascii="宋体" w:hAnsi="宋体" w:eastAsia="宋体" w:cs="宋体"/>
                <w:b w:val="0"/>
                <w:bCs w:val="0"/>
                <w:sz w:val="21"/>
                <w:szCs w:val="21"/>
              </w:rPr>
              <w:t>个工作日内。</w:t>
            </w:r>
          </w:p>
          <w:p>
            <w:pPr>
              <w:spacing w:line="360" w:lineRule="auto"/>
              <w:rPr>
                <w:rFonts w:hint="eastAsia" w:ascii="宋体" w:hAnsi="宋体" w:eastAsia="宋体" w:cs="宋体"/>
                <w:b w:val="0"/>
                <w:bCs w:val="0"/>
                <w:color w:val="auto"/>
                <w:sz w:val="21"/>
                <w:szCs w:val="21"/>
                <w:u w:val="none"/>
                <w:lang w:val="en-US" w:eastAsia="zh-CN"/>
              </w:rPr>
            </w:pPr>
            <w:r>
              <w:rPr>
                <w:rFonts w:hint="eastAsia" w:ascii="宋体" w:hAnsi="宋体" w:eastAsia="宋体" w:cs="宋体"/>
                <w:b w:val="0"/>
                <w:bCs w:val="0"/>
                <w:sz w:val="21"/>
                <w:szCs w:val="21"/>
              </w:rPr>
              <w:t>交货期：</w:t>
            </w:r>
            <w:r>
              <w:rPr>
                <w:rFonts w:hint="eastAsia" w:ascii="宋体" w:hAnsi="宋体" w:eastAsia="宋体" w:cs="宋体"/>
                <w:b w:val="0"/>
                <w:bCs w:val="0"/>
                <w:color w:val="auto"/>
                <w:sz w:val="21"/>
                <w:szCs w:val="21"/>
                <w:u w:val="none"/>
                <w:lang w:val="en-US" w:eastAsia="zh-CN"/>
              </w:rPr>
              <w:t>按照外文原版期刊出版的先后顺序进行交货，期刊出版到国内1个月内送到采购人指定地点。</w:t>
            </w:r>
          </w:p>
          <w:p>
            <w:pPr>
              <w:spacing w:line="360" w:lineRule="auto"/>
              <w:rPr>
                <w:rFonts w:hint="eastAsia" w:ascii="宋体" w:hAnsi="宋体" w:eastAsia="宋体" w:cs="宋体"/>
                <w:b w:val="0"/>
                <w:bCs w:val="0"/>
                <w:color w:val="auto"/>
                <w:sz w:val="21"/>
                <w:szCs w:val="21"/>
              </w:rPr>
            </w:pPr>
            <w:r>
              <w:rPr>
                <w:rFonts w:hint="eastAsia" w:ascii="宋体" w:hAnsi="宋体" w:eastAsia="宋体" w:cs="宋体"/>
                <w:b w:val="0"/>
                <w:bCs w:val="0"/>
                <w:color w:val="auto"/>
                <w:sz w:val="21"/>
                <w:szCs w:val="21"/>
              </w:rPr>
              <w:t>三、交货地点：</w:t>
            </w:r>
            <w:r>
              <w:rPr>
                <w:rFonts w:hint="eastAsia" w:ascii="宋体" w:hAnsi="宋体" w:eastAsia="宋体" w:cs="宋体"/>
                <w:b w:val="0"/>
                <w:bCs w:val="0"/>
                <w:color w:val="auto"/>
                <w:sz w:val="21"/>
                <w:szCs w:val="21"/>
                <w:lang w:eastAsia="zh-CN"/>
              </w:rPr>
              <w:t>南宁中心血站</w:t>
            </w:r>
            <w:r>
              <w:rPr>
                <w:rFonts w:hint="eastAsia" w:ascii="宋体" w:hAnsi="宋体" w:cs="宋体"/>
                <w:b w:val="0"/>
                <w:bCs w:val="0"/>
                <w:color w:val="auto"/>
                <w:sz w:val="21"/>
                <w:szCs w:val="21"/>
                <w:lang w:val="en-US" w:eastAsia="zh-CN"/>
              </w:rPr>
              <w:t>指</w:t>
            </w:r>
            <w:r>
              <w:rPr>
                <w:rFonts w:hint="eastAsia" w:ascii="宋体" w:hAnsi="宋体" w:eastAsia="宋体" w:cs="宋体"/>
                <w:b w:val="0"/>
                <w:bCs w:val="0"/>
                <w:color w:val="auto"/>
                <w:sz w:val="21"/>
                <w:szCs w:val="21"/>
                <w:lang w:eastAsia="zh-CN"/>
              </w:rPr>
              <w:t>定地点。</w:t>
            </w:r>
            <w:r>
              <w:rPr>
                <w:rFonts w:hint="eastAsia" w:ascii="宋体" w:hAnsi="宋体" w:eastAsia="宋体" w:cs="宋体"/>
                <w:b w:val="0"/>
                <w:bCs w:val="0"/>
                <w:color w:val="auto"/>
                <w:sz w:val="21"/>
                <w:szCs w:val="21"/>
              </w:rPr>
              <w:t xml:space="preserve"> </w:t>
            </w:r>
          </w:p>
          <w:p>
            <w:pPr>
              <w:spacing w:line="360" w:lineRule="auto"/>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rPr>
              <w:t xml:space="preserve">四、交货方式： </w:t>
            </w:r>
            <w:r>
              <w:rPr>
                <w:rFonts w:hint="eastAsia" w:ascii="宋体" w:hAnsi="宋体" w:eastAsia="宋体" w:cs="宋体"/>
                <w:b w:val="0"/>
                <w:bCs w:val="0"/>
                <w:sz w:val="21"/>
                <w:szCs w:val="21"/>
                <w:lang w:eastAsia="zh-CN"/>
              </w:rPr>
              <w:t>现场交货</w:t>
            </w:r>
          </w:p>
          <w:p>
            <w:pPr>
              <w:spacing w:line="360" w:lineRule="auto"/>
              <w:rPr>
                <w:rFonts w:hint="default"/>
                <w:b w:val="0"/>
                <w:bCs w:val="0"/>
                <w:lang w:val="en-US" w:eastAsia="zh-CN"/>
              </w:rPr>
            </w:pPr>
            <w:r>
              <w:rPr>
                <w:rFonts w:hint="eastAsia" w:ascii="宋体" w:hAnsi="宋体" w:eastAsia="宋体" w:cs="宋体"/>
                <w:b w:val="0"/>
                <w:bCs w:val="0"/>
                <w:sz w:val="21"/>
                <w:szCs w:val="21"/>
                <w:lang w:val="en-US" w:eastAsia="zh-CN"/>
              </w:rPr>
              <w:t>五、</w:t>
            </w:r>
            <w:r>
              <w:rPr>
                <w:rFonts w:hint="eastAsia" w:ascii="宋体" w:hAnsi="宋体" w:eastAsia="宋体" w:cs="宋体"/>
                <w:b w:val="0"/>
                <w:bCs w:val="0"/>
                <w:sz w:val="21"/>
                <w:szCs w:val="21"/>
                <w:lang w:eastAsia="zh-CN"/>
              </w:rPr>
              <w:t>付款方式：</w:t>
            </w:r>
            <w:r>
              <w:rPr>
                <w:rFonts w:hint="eastAsia" w:asciiTheme="minorEastAsia" w:hAnsiTheme="minorEastAsia" w:cstheme="minorEastAsia"/>
                <w:b w:val="0"/>
                <w:bCs w:val="0"/>
                <w:szCs w:val="21"/>
              </w:rPr>
              <w:t>合同签订后一次性支付合同款（付款前中标人需提供等额合规的增值税普通发票）。</w:t>
            </w:r>
          </w:p>
          <w:p>
            <w:pPr>
              <w:bidi w:val="0"/>
              <w:spacing w:line="360" w:lineRule="auto"/>
              <w:rPr>
                <w:rFonts w:hint="eastAsia" w:ascii="宋体" w:hAnsi="宋体" w:eastAsia="宋体" w:cs="宋体"/>
                <w:b w:val="0"/>
                <w:bCs w:val="0"/>
                <w:sz w:val="21"/>
                <w:szCs w:val="21"/>
              </w:rPr>
            </w:pPr>
            <w:r>
              <w:rPr>
                <w:rFonts w:hint="eastAsia" w:ascii="宋体" w:hAnsi="宋体" w:eastAsia="宋体" w:cs="宋体"/>
                <w:b w:val="0"/>
                <w:bCs w:val="0"/>
                <w:sz w:val="21"/>
                <w:szCs w:val="21"/>
                <w:lang w:eastAsia="zh-CN"/>
              </w:rPr>
              <w:t>六</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质量保证及</w:t>
            </w:r>
            <w:r>
              <w:rPr>
                <w:rFonts w:hint="eastAsia" w:ascii="宋体" w:hAnsi="宋体" w:eastAsia="宋体" w:cs="宋体"/>
                <w:b w:val="0"/>
                <w:bCs w:val="0"/>
                <w:sz w:val="21"/>
                <w:szCs w:val="21"/>
              </w:rPr>
              <w:t xml:space="preserve">售后服务要求： </w:t>
            </w:r>
          </w:p>
          <w:p>
            <w:pPr>
              <w:pStyle w:val="7"/>
              <w:spacing w:line="360" w:lineRule="auto"/>
              <w:rPr>
                <w:rFonts w:hint="default"/>
                <w:sz w:val="21"/>
                <w:szCs w:val="21"/>
              </w:rPr>
            </w:pPr>
            <w:r>
              <w:rPr>
                <w:rFonts w:hint="default"/>
                <w:b w:val="0"/>
                <w:bCs w:val="0"/>
                <w:sz w:val="21"/>
                <w:szCs w:val="21"/>
              </w:rPr>
              <w:t>1、版权要求：保证所有期刊均为全新</w:t>
            </w:r>
            <w:r>
              <w:rPr>
                <w:rFonts w:hint="default"/>
                <w:sz w:val="21"/>
                <w:szCs w:val="21"/>
              </w:rPr>
              <w:t>正版</w:t>
            </w:r>
          </w:p>
          <w:p>
            <w:pPr>
              <w:pStyle w:val="7"/>
              <w:spacing w:line="360" w:lineRule="auto"/>
              <w:rPr>
                <w:rFonts w:hint="default"/>
                <w:sz w:val="21"/>
                <w:szCs w:val="21"/>
                <w:lang w:val="en-US" w:eastAsia="zh-CN"/>
              </w:rPr>
            </w:pPr>
            <w:r>
              <w:rPr>
                <w:rFonts w:hint="eastAsia"/>
                <w:sz w:val="21"/>
                <w:szCs w:val="21"/>
                <w:lang w:val="en-US" w:eastAsia="zh-CN"/>
              </w:rPr>
              <w:t>（</w:t>
            </w:r>
            <w:r>
              <w:rPr>
                <w:rFonts w:hint="default"/>
                <w:sz w:val="21"/>
                <w:szCs w:val="21"/>
                <w:lang w:val="en-US" w:eastAsia="zh-CN"/>
              </w:rPr>
              <w:t>1</w:t>
            </w:r>
            <w:r>
              <w:rPr>
                <w:rFonts w:hint="eastAsia"/>
                <w:sz w:val="21"/>
                <w:szCs w:val="21"/>
                <w:lang w:val="en-US" w:eastAsia="zh-CN"/>
              </w:rPr>
              <w:t>）</w:t>
            </w:r>
            <w:r>
              <w:rPr>
                <w:rFonts w:hint="default"/>
                <w:sz w:val="21"/>
                <w:szCs w:val="21"/>
                <w:lang w:val="en-US" w:eastAsia="zh-CN"/>
              </w:rPr>
              <w:t>中标人必须保证所提供期刊符合国家相关法律法规之规定，必须是出版的正版期刊，不得夹杂非法、盗版、盗印期刊。</w:t>
            </w:r>
          </w:p>
          <w:p>
            <w:pPr>
              <w:pStyle w:val="7"/>
              <w:spacing w:line="360" w:lineRule="auto"/>
              <w:rPr>
                <w:rFonts w:hint="default"/>
                <w:sz w:val="21"/>
                <w:szCs w:val="21"/>
                <w:lang w:val="en-US" w:eastAsia="zh-CN"/>
              </w:rPr>
            </w:pPr>
            <w:r>
              <w:rPr>
                <w:rFonts w:hint="eastAsia"/>
                <w:sz w:val="21"/>
                <w:szCs w:val="21"/>
                <w:lang w:val="en-US" w:eastAsia="zh-CN"/>
              </w:rPr>
              <w:t>（2）</w:t>
            </w:r>
            <w:r>
              <w:rPr>
                <w:rFonts w:hint="default"/>
                <w:sz w:val="21"/>
                <w:szCs w:val="21"/>
                <w:lang w:val="en-US" w:eastAsia="zh-CN"/>
              </w:rPr>
              <w:t>不得将特价期刊视作正价期刊混合供应。</w:t>
            </w:r>
          </w:p>
          <w:p>
            <w:pPr>
              <w:pStyle w:val="7"/>
              <w:spacing w:line="360" w:lineRule="auto"/>
              <w:rPr>
                <w:rFonts w:hint="eastAsia"/>
                <w:sz w:val="21"/>
                <w:szCs w:val="21"/>
                <w:lang w:val="en-US" w:eastAsia="zh-CN"/>
              </w:rPr>
            </w:pPr>
            <w:r>
              <w:rPr>
                <w:rFonts w:hint="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pPr>
              <w:pStyle w:val="7"/>
              <w:spacing w:line="360" w:lineRule="auto"/>
              <w:rPr>
                <w:rFonts w:hint="eastAsia" w:ascii="宋体" w:hAnsi="宋体"/>
                <w:szCs w:val="21"/>
              </w:rPr>
            </w:pPr>
            <w:r>
              <w:rPr>
                <w:rFonts w:hint="eastAsia"/>
                <w:sz w:val="21"/>
                <w:szCs w:val="21"/>
                <w:lang w:val="en-US" w:eastAsia="zh-CN"/>
              </w:rPr>
              <w:t>2、提供完善的退换货服务，污损、图文不清、缺页、倒页、缺少附件等质量不合格的期刊，一律予以退换，不能以种种原因为理由拒绝。</w:t>
            </w:r>
          </w:p>
        </w:tc>
      </w:tr>
    </w:tbl>
    <w:p/>
    <w:p>
      <w:pPr>
        <w:rPr>
          <w:sz w:val="28"/>
          <w:szCs w:val="28"/>
        </w:rPr>
      </w:pPr>
      <w:r>
        <w:rPr>
          <w:rFonts w:hint="eastAsia"/>
          <w:sz w:val="28"/>
          <w:szCs w:val="28"/>
        </w:rPr>
        <w:t>科室确认：</w:t>
      </w:r>
      <w:r>
        <w:rPr>
          <w:rFonts w:hint="eastAsia"/>
          <w:sz w:val="28"/>
          <w:szCs w:val="28"/>
        </w:rPr>
        <w:br w:type="textWrapping"/>
      </w:r>
      <w:r>
        <w:rPr>
          <w:rFonts w:hint="eastAsia"/>
          <w:sz w:val="28"/>
          <w:szCs w:val="28"/>
        </w:rPr>
        <w:t>确认日期：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6C026F"/>
    <w:multiLevelType w:val="singleLevel"/>
    <w:tmpl w:val="C86C026F"/>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7FF404C3"/>
    <w:rsid w:val="001A7A4D"/>
    <w:rsid w:val="00B7347F"/>
    <w:rsid w:val="049F6866"/>
    <w:rsid w:val="066C1A43"/>
    <w:rsid w:val="07E25048"/>
    <w:rsid w:val="0970184A"/>
    <w:rsid w:val="0AFA13CC"/>
    <w:rsid w:val="0CF12CA2"/>
    <w:rsid w:val="13C1629D"/>
    <w:rsid w:val="1A051B3B"/>
    <w:rsid w:val="1A1D0695"/>
    <w:rsid w:val="1B3E2360"/>
    <w:rsid w:val="1DC71D76"/>
    <w:rsid w:val="22DF73CD"/>
    <w:rsid w:val="25E74B00"/>
    <w:rsid w:val="26926505"/>
    <w:rsid w:val="27D03788"/>
    <w:rsid w:val="288B76AF"/>
    <w:rsid w:val="2A8023AA"/>
    <w:rsid w:val="2B33475A"/>
    <w:rsid w:val="2BE45A54"/>
    <w:rsid w:val="2D1F486A"/>
    <w:rsid w:val="2EBD433B"/>
    <w:rsid w:val="2F6C686E"/>
    <w:rsid w:val="3179279B"/>
    <w:rsid w:val="31BB2DB3"/>
    <w:rsid w:val="353E4427"/>
    <w:rsid w:val="3669329F"/>
    <w:rsid w:val="387243E8"/>
    <w:rsid w:val="3BE8622C"/>
    <w:rsid w:val="3C2459F9"/>
    <w:rsid w:val="3CB60D47"/>
    <w:rsid w:val="3E4C73F5"/>
    <w:rsid w:val="3F1B7669"/>
    <w:rsid w:val="40726ACA"/>
    <w:rsid w:val="41421199"/>
    <w:rsid w:val="45151423"/>
    <w:rsid w:val="458D2861"/>
    <w:rsid w:val="46E878B4"/>
    <w:rsid w:val="473C2248"/>
    <w:rsid w:val="47F41C5A"/>
    <w:rsid w:val="4D756297"/>
    <w:rsid w:val="4F28682B"/>
    <w:rsid w:val="4FE65048"/>
    <w:rsid w:val="51F779E0"/>
    <w:rsid w:val="5563538C"/>
    <w:rsid w:val="58FF53CC"/>
    <w:rsid w:val="5B726329"/>
    <w:rsid w:val="5B7B28EA"/>
    <w:rsid w:val="5E3D2C1E"/>
    <w:rsid w:val="5E4D2736"/>
    <w:rsid w:val="5FB52C88"/>
    <w:rsid w:val="62AC348B"/>
    <w:rsid w:val="6384309D"/>
    <w:rsid w:val="68A01214"/>
    <w:rsid w:val="73D17C39"/>
    <w:rsid w:val="7610431D"/>
    <w:rsid w:val="790E2D96"/>
    <w:rsid w:val="7F8813C8"/>
    <w:rsid w:val="7FF404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unhideWhenUsed/>
    <w:qFormat/>
    <w:uiPriority w:val="0"/>
    <w:pPr>
      <w:spacing w:after="120"/>
    </w:pPr>
    <w:rPr>
      <w:rFonts w:ascii="Times New Roman" w:hAnsi="Times New Roman"/>
    </w:rPr>
  </w:style>
  <w:style w:type="paragraph" w:styleId="5">
    <w:name w:val="Body Text Indent"/>
    <w:basedOn w:val="1"/>
    <w:autoRedefine/>
    <w:qFormat/>
    <w:uiPriority w:val="0"/>
    <w:pPr>
      <w:spacing w:line="200" w:lineRule="exact"/>
      <w:ind w:firstLine="301"/>
    </w:pPr>
    <w:rPr>
      <w:rFonts w:ascii="宋体" w:hAnsi="Courier New"/>
      <w:spacing w:val="-4"/>
      <w:sz w:val="18"/>
      <w:szCs w:val="20"/>
    </w:rPr>
  </w:style>
  <w:style w:type="paragraph" w:styleId="6">
    <w:name w:val="Plain Text"/>
    <w:basedOn w:val="1"/>
    <w:next w:val="4"/>
    <w:autoRedefine/>
    <w:qFormat/>
    <w:uiPriority w:val="0"/>
    <w:rPr>
      <w:rFonts w:ascii="宋体" w:hAnsi="Courier New"/>
      <w:szCs w:val="20"/>
    </w:rPr>
  </w:style>
  <w:style w:type="paragraph" w:styleId="7">
    <w:name w:val="footer"/>
    <w:basedOn w:val="1"/>
    <w:autoRedefine/>
    <w:unhideWhenUsed/>
    <w:qFormat/>
    <w:uiPriority w:val="0"/>
    <w:pPr>
      <w:tabs>
        <w:tab w:val="center" w:pos="4153"/>
        <w:tab w:val="right" w:pos="8306"/>
      </w:tabs>
      <w:snapToGrid w:val="0"/>
      <w:jc w:val="left"/>
    </w:pPr>
    <w:rPr>
      <w:sz w:val="18"/>
      <w:szCs w:val="18"/>
    </w:rPr>
  </w:style>
  <w:style w:type="paragraph" w:styleId="8">
    <w:name w:val="toc 1"/>
    <w:basedOn w:val="1"/>
    <w:next w:val="1"/>
    <w:autoRedefine/>
    <w:unhideWhenUsed/>
    <w:qFormat/>
    <w:uiPriority w:val="39"/>
    <w:rPr>
      <w:rFonts w:ascii="宋体" w:hAnsi="宋体" w:eastAsia="宋体" w:cs="Arial"/>
      <w:szCs w:val="21"/>
    </w:rPr>
  </w:style>
  <w:style w:type="paragraph" w:styleId="9">
    <w:name w:val="Body Text First Indent 2"/>
    <w:basedOn w:val="5"/>
    <w:next w:val="1"/>
    <w:autoRedefine/>
    <w:qFormat/>
    <w:uiPriority w:val="0"/>
    <w:pPr>
      <w:spacing w:line="360" w:lineRule="auto"/>
      <w:ind w:firstLine="0"/>
    </w:pPr>
    <w:rPr>
      <w:sz w:val="24"/>
    </w:rPr>
  </w:style>
  <w:style w:type="table" w:styleId="11">
    <w:name w:val="Table Grid"/>
    <w:basedOn w:val="10"/>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bCs/>
    </w:rPr>
  </w:style>
  <w:style w:type="character" w:styleId="14">
    <w:name w:val="FollowedHyperlink"/>
    <w:basedOn w:val="12"/>
    <w:autoRedefine/>
    <w:qFormat/>
    <w:uiPriority w:val="0"/>
    <w:rPr>
      <w:color w:val="4D7AD8"/>
      <w:u w:val="none"/>
    </w:rPr>
  </w:style>
  <w:style w:type="character" w:styleId="15">
    <w:name w:val="HTML Definition"/>
    <w:basedOn w:val="12"/>
    <w:autoRedefine/>
    <w:qFormat/>
    <w:uiPriority w:val="0"/>
    <w:rPr>
      <w:i/>
      <w:iCs/>
    </w:rPr>
  </w:style>
  <w:style w:type="character" w:styleId="16">
    <w:name w:val="Hyperlink"/>
    <w:basedOn w:val="12"/>
    <w:autoRedefine/>
    <w:qFormat/>
    <w:uiPriority w:val="0"/>
    <w:rPr>
      <w:color w:val="4D7AD8"/>
      <w:u w:val="none"/>
    </w:rPr>
  </w:style>
  <w:style w:type="character" w:styleId="17">
    <w:name w:val="HTML Code"/>
    <w:basedOn w:val="12"/>
    <w:autoRedefine/>
    <w:qFormat/>
    <w:uiPriority w:val="0"/>
    <w:rPr>
      <w:rFonts w:hint="default" w:ascii="Consolas" w:hAnsi="Consolas" w:eastAsia="Consolas" w:cs="Consolas"/>
      <w:sz w:val="21"/>
      <w:szCs w:val="21"/>
    </w:rPr>
  </w:style>
  <w:style w:type="character" w:styleId="18">
    <w:name w:val="HTML Keyboard"/>
    <w:basedOn w:val="12"/>
    <w:autoRedefine/>
    <w:qFormat/>
    <w:uiPriority w:val="0"/>
    <w:rPr>
      <w:rFonts w:ascii="Consolas" w:hAnsi="Consolas" w:eastAsia="Consolas" w:cs="Consolas"/>
      <w:sz w:val="21"/>
      <w:szCs w:val="21"/>
    </w:rPr>
  </w:style>
  <w:style w:type="character" w:styleId="19">
    <w:name w:val="HTML Sample"/>
    <w:basedOn w:val="12"/>
    <w:autoRedefine/>
    <w:qFormat/>
    <w:uiPriority w:val="0"/>
    <w:rPr>
      <w:rFonts w:hint="default" w:ascii="Consolas" w:hAnsi="Consolas" w:eastAsia="Consolas" w:cs="Consolas"/>
      <w:sz w:val="21"/>
      <w:szCs w:val="21"/>
    </w:rPr>
  </w:style>
  <w:style w:type="character" w:customStyle="1" w:styleId="20">
    <w:name w:val="ant-tree-iconele"/>
    <w:basedOn w:val="12"/>
    <w:autoRedefine/>
    <w:qFormat/>
    <w:uiPriority w:val="0"/>
  </w:style>
  <w:style w:type="character" w:customStyle="1" w:styleId="21">
    <w:name w:val="hover"/>
    <w:basedOn w:val="12"/>
    <w:autoRedefine/>
    <w:qFormat/>
    <w:uiPriority w:val="0"/>
    <w:rPr>
      <w:color w:val="009DFF"/>
    </w:rPr>
  </w:style>
  <w:style w:type="character" w:customStyle="1" w:styleId="22">
    <w:name w:val="hover1"/>
    <w:basedOn w:val="12"/>
    <w:autoRedefine/>
    <w:qFormat/>
    <w:uiPriority w:val="0"/>
    <w:rPr>
      <w:color w:val="009DFF"/>
    </w:rPr>
  </w:style>
  <w:style w:type="character" w:customStyle="1" w:styleId="23">
    <w:name w:val="tmpztreemove_arrow"/>
    <w:basedOn w:val="12"/>
    <w:autoRedefine/>
    <w:qFormat/>
    <w:uiPriority w:val="0"/>
  </w:style>
  <w:style w:type="character" w:customStyle="1" w:styleId="24">
    <w:name w:val="button"/>
    <w:basedOn w:val="12"/>
    <w:autoRedefine/>
    <w:qFormat/>
    <w:uiPriority w:val="0"/>
  </w:style>
  <w:style w:type="character" w:customStyle="1" w:styleId="25">
    <w:name w:val="button1"/>
    <w:basedOn w:val="12"/>
    <w:autoRedefine/>
    <w:qFormat/>
    <w:uiPriority w:val="0"/>
  </w:style>
  <w:style w:type="character" w:customStyle="1" w:styleId="26">
    <w:name w:val="ant-radio+*"/>
    <w:basedOn w:val="12"/>
    <w:autoRedefine/>
    <w:qFormat/>
    <w:uiPriority w:val="0"/>
  </w:style>
  <w:style w:type="character" w:customStyle="1" w:styleId="27">
    <w:name w:val="ant-tree-checkbox6"/>
    <w:basedOn w:val="12"/>
    <w:autoRedefine/>
    <w:qFormat/>
    <w:uiPriority w:val="0"/>
    <w:rPr>
      <w:vanish/>
    </w:rPr>
  </w:style>
  <w:style w:type="character" w:customStyle="1" w:styleId="28">
    <w:name w:val="first-of-type"/>
    <w:basedOn w:val="12"/>
    <w:autoRedefine/>
    <w:qFormat/>
    <w:uiPriority w:val="0"/>
    <w:rPr>
      <w:color w:val="FF0000"/>
    </w:rPr>
  </w:style>
  <w:style w:type="character" w:customStyle="1" w:styleId="29">
    <w:name w:val="first-of-type1"/>
    <w:basedOn w:val="12"/>
    <w:autoRedefine/>
    <w:qFormat/>
    <w:uiPriority w:val="0"/>
    <w:rPr>
      <w:color w:val="FF0000"/>
    </w:rPr>
  </w:style>
  <w:style w:type="character" w:customStyle="1" w:styleId="30">
    <w:name w:val="first-of-type2"/>
    <w:basedOn w:val="12"/>
    <w:autoRedefine/>
    <w:qFormat/>
    <w:uiPriority w:val="0"/>
    <w:rPr>
      <w:color w:val="FF0000"/>
    </w:rPr>
  </w:style>
  <w:style w:type="character" w:customStyle="1" w:styleId="31">
    <w:name w:val="ant-select-tree-checkbox2"/>
    <w:basedOn w:val="12"/>
    <w:autoRedefine/>
    <w:qFormat/>
    <w:uiPriority w:val="0"/>
  </w:style>
  <w:style w:type="character" w:customStyle="1" w:styleId="32">
    <w:name w:val="first-child"/>
    <w:basedOn w:val="12"/>
    <w:autoRedefine/>
    <w:qFormat/>
    <w:uiPriority w:val="0"/>
    <w:rPr>
      <w:color w:val="999999"/>
      <w:sz w:val="33"/>
      <w:szCs w:val="33"/>
    </w:rPr>
  </w:style>
  <w:style w:type="character" w:customStyle="1" w:styleId="33">
    <w:name w:val="first-child1"/>
    <w:basedOn w:val="12"/>
    <w:autoRedefine/>
    <w:qFormat/>
    <w:uiPriority w:val="0"/>
  </w:style>
  <w:style w:type="character" w:customStyle="1" w:styleId="34">
    <w:name w:val="passed-node"/>
    <w:basedOn w:val="12"/>
    <w:autoRedefine/>
    <w:qFormat/>
    <w:uiPriority w:val="0"/>
    <w:rPr>
      <w:bdr w:val="single" w:color="49A8D4" w:sz="6" w:space="0"/>
      <w:shd w:val="clear" w:color="auto" w:fill="A9E3FF"/>
    </w:rPr>
  </w:style>
  <w:style w:type="character" w:customStyle="1" w:styleId="35">
    <w:name w:val="auto-pass-node"/>
    <w:basedOn w:val="12"/>
    <w:autoRedefine/>
    <w:qFormat/>
    <w:uiPriority w:val="0"/>
    <w:rPr>
      <w:bdr w:val="single" w:color="DC4446" w:sz="6" w:space="0"/>
      <w:shd w:val="clear" w:color="auto" w:fill="A9E2FF"/>
    </w:rPr>
  </w:style>
  <w:style w:type="character" w:customStyle="1" w:styleId="36">
    <w:name w:val="ant-tree-switcher6"/>
    <w:basedOn w:val="12"/>
    <w:autoRedefine/>
    <w:qFormat/>
    <w:uiPriority w:val="0"/>
  </w:style>
  <w:style w:type="character" w:customStyle="1" w:styleId="37">
    <w:name w:val="ant-table-row-expand-icon4"/>
    <w:basedOn w:val="12"/>
    <w:autoRedefine/>
    <w:qFormat/>
    <w:uiPriority w:val="0"/>
    <w:rPr>
      <w:vanish/>
    </w:rPr>
  </w:style>
  <w:style w:type="character" w:customStyle="1" w:styleId="38">
    <w:name w:val="current-node"/>
    <w:basedOn w:val="12"/>
    <w:autoRedefine/>
    <w:qFormat/>
    <w:uiPriority w:val="0"/>
    <w:rPr>
      <w:bdr w:val="single" w:color="F5B87B" w:sz="6" w:space="0"/>
      <w:shd w:val="clear" w:color="auto" w:fill="FFE8CC"/>
    </w:rPr>
  </w:style>
  <w:style w:type="character" w:customStyle="1" w:styleId="39">
    <w:name w:val="ant-select-tree-switcher"/>
    <w:basedOn w:val="12"/>
    <w:autoRedefine/>
    <w:qFormat/>
    <w:uiPriority w:val="0"/>
  </w:style>
  <w:style w:type="character" w:customStyle="1" w:styleId="40">
    <w:name w:val="ant-select-tree-iconele"/>
    <w:basedOn w:val="12"/>
    <w:autoRedefine/>
    <w:qFormat/>
    <w:uiPriority w:val="0"/>
  </w:style>
  <w:style w:type="character" w:customStyle="1" w:styleId="41">
    <w:name w:val="wea-thumbnails-doc-content-subtitle"/>
    <w:basedOn w:val="12"/>
    <w:autoRedefine/>
    <w:qFormat/>
    <w:uiPriority w:val="0"/>
    <w:rPr>
      <w:color w:val="9A9A9A"/>
    </w:rPr>
  </w:style>
  <w:style w:type="character" w:customStyle="1" w:styleId="42">
    <w:name w:val="not-pass-node"/>
    <w:basedOn w:val="12"/>
    <w:autoRedefine/>
    <w:qFormat/>
    <w:uiPriority w:val="0"/>
    <w:rPr>
      <w:bdr w:val="single" w:color="5ABD6B" w:sz="6" w:space="0"/>
      <w:shd w:val="clear" w:color="auto" w:fill="BFF3C3"/>
    </w:rPr>
  </w:style>
  <w:style w:type="character" w:customStyle="1" w:styleId="43">
    <w:name w:val="last-child1"/>
    <w:basedOn w:val="12"/>
    <w:autoRedefine/>
    <w:qFormat/>
    <w:uiPriority w:val="0"/>
  </w:style>
  <w:style w:type="character" w:customStyle="1" w:styleId="44">
    <w:name w:val="style23"/>
    <w:basedOn w:val="12"/>
    <w:autoRedefine/>
    <w:qFormat/>
    <w:uiPriority w:val="0"/>
    <w:rPr>
      <w:rFonts w:ascii="Times New Roman" w:hAnsi="Times New Roman" w:eastAsia="宋体" w:cs="Times New Roman"/>
    </w:rPr>
  </w:style>
  <w:style w:type="paragraph" w:styleId="45">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96</Words>
  <Characters>548</Characters>
  <Lines>4</Lines>
  <Paragraphs>1</Paragraphs>
  <TotalTime>11</TotalTime>
  <ScaleCrop>false</ScaleCrop>
  <LinksUpToDate>false</LinksUpToDate>
  <CharactersWithSpaces>643</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2024-02-27T09:20:00Z</dcterms:created>
  <dc:creator>WPS</dc:creator>
  <cp:lastModifiedBy>WPS</cp:lastModifiedBy>
  <cp:lastPrinted>2024-05-07T06:52:28Z</cp:lastPrinted>
  <dcterms:modified xsi:type="dcterms:W3CDTF">2024-05-07T07:03:47Z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AD3BC9CECA9A4347B26839016D773C72_13</vt:lpwstr>
  </property>
</Properties>
</file>