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jc w:val="left"/>
        <w:rPr>
          <w:rFonts w:hint="eastAsia" w:eastAsiaTheme="minorEastAsia"/>
          <w:b/>
          <w:sz w:val="32"/>
          <w:lang w:val="en-US" w:eastAsia="zh-CN"/>
        </w:rPr>
      </w:pPr>
      <w:r>
        <w:rPr>
          <w:rFonts w:hint="eastAsia"/>
          <w:b/>
          <w:sz w:val="32"/>
        </w:rPr>
        <w:t>附件</w:t>
      </w:r>
      <w:r>
        <w:rPr>
          <w:rFonts w:hint="eastAsia"/>
          <w:b/>
          <w:sz w:val="32"/>
          <w:lang w:val="en-US" w:eastAsia="zh-CN"/>
        </w:rPr>
        <w:t>2</w:t>
      </w:r>
    </w:p>
    <w:p>
      <w:pPr>
        <w:jc w:val="center"/>
        <w:rPr>
          <w:rFonts w:hint="eastAsia" w:eastAsia="仿宋"/>
          <w:b/>
          <w:sz w:val="32"/>
          <w:lang w:val="en-US" w:eastAsia="zh-CN"/>
        </w:rPr>
      </w:pPr>
      <w:r>
        <w:rPr>
          <w:rFonts w:hint="eastAsia" w:eastAsia="仿宋"/>
          <w:b/>
          <w:sz w:val="32"/>
          <w:lang w:val="en-US" w:eastAsia="zh-CN"/>
        </w:rPr>
        <w:t>报价表</w:t>
      </w:r>
    </w:p>
    <w:p>
      <w:pPr>
        <w:jc w:val="center"/>
        <w:rPr>
          <w:rFonts w:hint="eastAsia" w:eastAsia="仿宋"/>
          <w:b/>
          <w:sz w:val="32"/>
          <w:lang w:val="en-US" w:eastAsia="zh-CN"/>
        </w:rPr>
      </w:pPr>
    </w:p>
    <w:p>
      <w:pPr>
        <w:pStyle w:val="4"/>
        <w:ind w:firstLine="480" w:firstLineChars="200"/>
        <w:rPr>
          <w:rFonts w:hint="eastAsia" w:asciiTheme="minorEastAsia" w:hAnsiTheme="minorEastAsia" w:cstheme="minorEastAsia"/>
          <w:sz w:val="24"/>
          <w:szCs w:val="24"/>
          <w:lang w:val="en-US" w:eastAsia="zh-CN"/>
        </w:rPr>
      </w:pPr>
      <w:r>
        <w:rPr>
          <w:rFonts w:hint="eastAsia" w:asciiTheme="minorEastAsia" w:hAnsiTheme="minorEastAsia" w:cstheme="minorEastAsia"/>
          <w:sz w:val="24"/>
          <w:szCs w:val="24"/>
          <w:lang w:val="en-US" w:eastAsia="zh-CN"/>
        </w:rPr>
        <w:t>我公司已认真阅读了南宁中心血站需氧菌及厌氧菌培养瓶耗材询价采购</w:t>
      </w:r>
      <w:bookmarkStart w:id="0" w:name="_GoBack"/>
      <w:bookmarkEnd w:id="0"/>
      <w:r>
        <w:rPr>
          <w:rFonts w:hint="eastAsia" w:asciiTheme="minorEastAsia" w:hAnsiTheme="minorEastAsia" w:cstheme="minorEastAsia"/>
          <w:sz w:val="24"/>
          <w:szCs w:val="24"/>
          <w:lang w:val="en-US" w:eastAsia="zh-CN"/>
        </w:rPr>
        <w:t>公告，我方完全理解并接受贵方本次采购内容和要求，在满足采购人商务条款的需求下，参与该项目报价。</w:t>
      </w:r>
    </w:p>
    <w:tbl>
      <w:tblPr>
        <w:tblStyle w:val="7"/>
        <w:tblW w:w="1030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4"/>
        <w:gridCol w:w="1530"/>
        <w:gridCol w:w="752"/>
        <w:gridCol w:w="5760"/>
        <w:gridCol w:w="15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jc w:val="center"/>
        </w:trPr>
        <w:tc>
          <w:tcPr>
            <w:tcW w:w="674" w:type="dxa"/>
            <w:noWrap w:val="0"/>
            <w:vAlign w:val="center"/>
          </w:tcPr>
          <w:p>
            <w:pPr>
              <w:jc w:val="center"/>
              <w:rPr>
                <w:rFonts w:hint="eastAsia"/>
                <w:b/>
                <w:bCs/>
                <w:szCs w:val="21"/>
              </w:rPr>
            </w:pPr>
            <w:r>
              <w:rPr>
                <w:rFonts w:hint="eastAsia"/>
                <w:b/>
                <w:bCs/>
                <w:szCs w:val="21"/>
              </w:rPr>
              <w:t>序号</w:t>
            </w:r>
          </w:p>
        </w:tc>
        <w:tc>
          <w:tcPr>
            <w:tcW w:w="1530" w:type="dxa"/>
            <w:noWrap w:val="0"/>
            <w:vAlign w:val="center"/>
          </w:tcPr>
          <w:p>
            <w:pPr>
              <w:jc w:val="center"/>
              <w:rPr>
                <w:rFonts w:hint="default" w:eastAsia="宋体"/>
                <w:b/>
                <w:bCs/>
                <w:szCs w:val="21"/>
                <w:lang w:val="en-US" w:eastAsia="zh-CN"/>
              </w:rPr>
            </w:pPr>
            <w:r>
              <w:rPr>
                <w:rFonts w:hint="eastAsia"/>
                <w:b/>
                <w:bCs/>
                <w:szCs w:val="21"/>
                <w:lang w:val="en-US" w:eastAsia="zh-CN"/>
              </w:rPr>
              <w:t>产品名称</w:t>
            </w:r>
          </w:p>
        </w:tc>
        <w:tc>
          <w:tcPr>
            <w:tcW w:w="752" w:type="dxa"/>
            <w:noWrap w:val="0"/>
            <w:vAlign w:val="center"/>
          </w:tcPr>
          <w:p>
            <w:pPr>
              <w:jc w:val="center"/>
              <w:rPr>
                <w:rFonts w:hint="eastAsia" w:eastAsia="宋体"/>
                <w:b/>
                <w:bCs/>
                <w:szCs w:val="21"/>
                <w:lang w:val="en-US" w:eastAsia="zh-CN"/>
              </w:rPr>
            </w:pPr>
            <w:r>
              <w:rPr>
                <w:rFonts w:hint="eastAsia" w:eastAsia="宋体"/>
                <w:b/>
                <w:bCs/>
                <w:szCs w:val="21"/>
                <w:lang w:val="en-US" w:eastAsia="zh-CN"/>
              </w:rPr>
              <w:t>计量单位</w:t>
            </w:r>
          </w:p>
        </w:tc>
        <w:tc>
          <w:tcPr>
            <w:tcW w:w="5760" w:type="dxa"/>
            <w:noWrap w:val="0"/>
            <w:vAlign w:val="center"/>
          </w:tcPr>
          <w:p>
            <w:pPr>
              <w:jc w:val="center"/>
              <w:rPr>
                <w:rFonts w:hint="default" w:eastAsia="宋体"/>
                <w:b/>
                <w:bCs/>
                <w:szCs w:val="21"/>
                <w:lang w:val="en-US" w:eastAsia="zh-CN"/>
              </w:rPr>
            </w:pPr>
            <w:r>
              <w:rPr>
                <w:rFonts w:hint="eastAsia"/>
                <w:b/>
                <w:bCs/>
                <w:szCs w:val="21"/>
                <w:lang w:val="en-US" w:eastAsia="zh-CN"/>
              </w:rPr>
              <w:t>技术参数</w:t>
            </w:r>
          </w:p>
        </w:tc>
        <w:tc>
          <w:tcPr>
            <w:tcW w:w="1586" w:type="dxa"/>
            <w:noWrap w:val="0"/>
            <w:vAlign w:val="center"/>
          </w:tcPr>
          <w:p>
            <w:pPr>
              <w:jc w:val="center"/>
              <w:rPr>
                <w:rFonts w:hint="eastAsia" w:eastAsia="宋体"/>
                <w:b/>
                <w:bCs/>
                <w:szCs w:val="21"/>
                <w:lang w:val="en-US" w:eastAsia="zh-CN"/>
              </w:rPr>
            </w:pPr>
            <w:r>
              <w:rPr>
                <w:rFonts w:hint="eastAsia"/>
                <w:b/>
                <w:bCs/>
                <w:szCs w:val="21"/>
                <w:lang w:val="en-US" w:eastAsia="zh-CN"/>
              </w:rPr>
              <w:t>（报价以“个”最小单位报价）/元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674" w:type="dxa"/>
            <w:noWrap w:val="0"/>
            <w:vAlign w:val="center"/>
          </w:tcPr>
          <w:p>
            <w:pPr>
              <w:jc w:val="center"/>
              <w:rPr>
                <w:rFonts w:hint="eastAsia" w:eastAsiaTheme="minorEastAsia"/>
                <w:szCs w:val="21"/>
                <w:lang w:val="en-US" w:eastAsia="zh-CN"/>
              </w:rPr>
            </w:pPr>
            <w:r>
              <w:rPr>
                <w:rFonts w:hint="eastAsia"/>
                <w:szCs w:val="21"/>
                <w:lang w:val="en-US" w:eastAsia="zh-CN"/>
              </w:rPr>
              <w:t>1</w:t>
            </w:r>
          </w:p>
        </w:tc>
        <w:tc>
          <w:tcPr>
            <w:tcW w:w="1530" w:type="dxa"/>
            <w:noWrap w:val="0"/>
            <w:vAlign w:val="center"/>
          </w:tcPr>
          <w:p>
            <w:pPr>
              <w:rPr>
                <w:rFonts w:hint="eastAsia"/>
                <w:sz w:val="21"/>
                <w:szCs w:val="21"/>
                <w:lang w:val="en-US" w:eastAsia="zh-CN"/>
              </w:rPr>
            </w:pPr>
            <w:r>
              <w:rPr>
                <w:rFonts w:hint="eastAsia"/>
                <w:sz w:val="21"/>
                <w:szCs w:val="21"/>
                <w:lang w:val="en-US" w:eastAsia="zh-CN"/>
              </w:rPr>
              <w:t>需氧菌培养瓶</w:t>
            </w:r>
          </w:p>
          <w:p>
            <w:pPr>
              <w:jc w:val="left"/>
              <w:rPr>
                <w:rFonts w:hint="eastAsia" w:ascii="Arial" w:hAnsi="Arial" w:cs="Arial" w:eastAsiaTheme="minorEastAsia"/>
                <w:color w:val="000000"/>
                <w:szCs w:val="21"/>
                <w:lang w:eastAsia="zh-CN"/>
              </w:rPr>
            </w:pPr>
          </w:p>
        </w:tc>
        <w:tc>
          <w:tcPr>
            <w:tcW w:w="752" w:type="dxa"/>
            <w:noWrap w:val="0"/>
            <w:vAlign w:val="center"/>
          </w:tcPr>
          <w:p>
            <w:pPr>
              <w:jc w:val="center"/>
              <w:rPr>
                <w:rFonts w:hint="eastAsia"/>
                <w:szCs w:val="21"/>
                <w:lang w:val="en-US" w:eastAsia="zh-CN"/>
              </w:rPr>
            </w:pPr>
            <w:r>
              <w:rPr>
                <w:rFonts w:hint="eastAsia"/>
                <w:szCs w:val="21"/>
                <w:lang w:val="en-US" w:eastAsia="zh-CN"/>
              </w:rPr>
              <w:t>个</w:t>
            </w:r>
          </w:p>
        </w:tc>
        <w:tc>
          <w:tcPr>
            <w:tcW w:w="5760" w:type="dxa"/>
            <w:noWrap w:val="0"/>
            <w:vAlign w:val="center"/>
          </w:tcPr>
          <w:p>
            <w:pPr>
              <w:numPr>
                <w:ilvl w:val="0"/>
                <w:numId w:val="2"/>
              </w:numPr>
              <w:rPr>
                <w:rFonts w:hint="eastAsia" w:ascii="宋体" w:hAnsi="宋体" w:eastAsia="宋体" w:cs="宋体"/>
                <w:color w:val="000000"/>
                <w:kern w:val="0"/>
                <w:sz w:val="21"/>
                <w:szCs w:val="21"/>
                <w:lang w:val="en-US" w:eastAsia="zh-CN" w:bidi="ar"/>
              </w:rPr>
            </w:pPr>
            <w:r>
              <w:rPr>
                <w:rFonts w:hint="eastAsia"/>
                <w:sz w:val="21"/>
                <w:szCs w:val="21"/>
                <w:lang w:val="en-US" w:eastAsia="zh-CN"/>
              </w:rPr>
              <w:t>预期用途：</w:t>
            </w:r>
            <w:r>
              <w:rPr>
                <w:rFonts w:hint="eastAsia" w:ascii="宋体" w:hAnsi="宋体" w:eastAsia="宋体" w:cs="宋体"/>
                <w:color w:val="000000"/>
                <w:kern w:val="0"/>
                <w:sz w:val="21"/>
                <w:szCs w:val="21"/>
                <w:lang w:val="en-US" w:eastAsia="zh-CN" w:bidi="ar"/>
              </w:rPr>
              <w:t xml:space="preserve">需氧菌培养瓶用于支持需氧微生物（细菌和真菌）生长，与 </w:t>
            </w:r>
            <w:r>
              <w:rPr>
                <w:rFonts w:hint="default" w:ascii="Times New Roman" w:hAnsi="Times New Roman" w:eastAsia="宋体" w:cs="Times New Roman"/>
                <w:color w:val="000000"/>
                <w:kern w:val="0"/>
                <w:sz w:val="21"/>
                <w:szCs w:val="21"/>
                <w:lang w:val="en-US" w:eastAsia="zh-CN" w:bidi="ar"/>
              </w:rPr>
              <w:t>BacT/ALERT®</w:t>
            </w:r>
            <w:r>
              <w:rPr>
                <w:rFonts w:hint="eastAsia" w:ascii="宋体" w:hAnsi="宋体" w:eastAsia="宋体" w:cs="宋体"/>
                <w:color w:val="000000"/>
                <w:kern w:val="0"/>
                <w:sz w:val="21"/>
                <w:szCs w:val="21"/>
                <w:lang w:val="en-US" w:eastAsia="zh-CN" w:bidi="ar"/>
              </w:rPr>
              <w:t>微生物检测系统配套使用。</w:t>
            </w:r>
          </w:p>
          <w:p>
            <w:pPr>
              <w:numPr>
                <w:ilvl w:val="0"/>
                <w:numId w:val="2"/>
              </w:numPr>
              <w:rPr>
                <w:rFonts w:hint="eastAsia" w:ascii="宋体" w:hAnsi="宋体" w:eastAsia="宋体" w:cs="宋体"/>
                <w:color w:val="000000"/>
                <w:kern w:val="0"/>
                <w:sz w:val="21"/>
                <w:szCs w:val="21"/>
                <w:lang w:val="en-US" w:eastAsia="zh-CN" w:bidi="ar"/>
              </w:rPr>
            </w:pPr>
            <w:r>
              <w:rPr>
                <w:rFonts w:hint="eastAsia" w:ascii="宋体" w:hAnsi="宋体"/>
                <w:sz w:val="21"/>
                <w:szCs w:val="21"/>
              </w:rPr>
              <w:t>检测原理：细菌新陈代谢产生CO2，瓶底胶乳感应器产生不可逆颜色改变。</w:t>
            </w:r>
          </w:p>
          <w:p>
            <w:pPr>
              <w:numPr>
                <w:ilvl w:val="0"/>
                <w:numId w:val="2"/>
              </w:numPr>
              <w:rPr>
                <w:rFonts w:hint="eastAsia"/>
                <w:sz w:val="21"/>
                <w:szCs w:val="21"/>
                <w:lang w:val="en-US" w:eastAsia="zh-CN"/>
              </w:rPr>
            </w:pPr>
            <w:r>
              <w:rPr>
                <w:rFonts w:hint="eastAsia"/>
                <w:sz w:val="21"/>
                <w:szCs w:val="21"/>
                <w:lang w:val="en-US" w:eastAsia="zh-CN"/>
              </w:rPr>
              <w:t>瓶内装有40mL液体培养基和一个内置传感器，用于检测微生物生长时产生的二氧化碳。</w:t>
            </w:r>
          </w:p>
          <w:p>
            <w:pPr>
              <w:numPr>
                <w:ilvl w:val="0"/>
                <w:numId w:val="2"/>
              </w:numPr>
              <w:rPr>
                <w:rFonts w:hint="eastAsia"/>
                <w:sz w:val="21"/>
                <w:szCs w:val="21"/>
                <w:lang w:val="en-US" w:eastAsia="zh-CN"/>
              </w:rPr>
            </w:pPr>
            <w:r>
              <w:rPr>
                <w:rFonts w:hint="eastAsia" w:ascii="宋体" w:hAnsi="宋体" w:cs="宋体"/>
                <w:kern w:val="0"/>
                <w:sz w:val="21"/>
                <w:szCs w:val="21"/>
              </w:rPr>
              <w:t>培养瓶采用国际最轻便安全的双层聚合碳纤维塑料材质以及防压、防碎</w:t>
            </w:r>
            <w:r>
              <w:rPr>
                <w:rFonts w:hint="eastAsia" w:ascii="宋体" w:hAnsi="宋体" w:cs="宋体"/>
                <w:kern w:val="0"/>
                <w:sz w:val="21"/>
                <w:szCs w:val="21"/>
                <w:lang w:val="en-US" w:eastAsia="zh-CN"/>
              </w:rPr>
              <w:t>设计。</w:t>
            </w:r>
          </w:p>
          <w:p>
            <w:pPr>
              <w:numPr>
                <w:ilvl w:val="0"/>
                <w:numId w:val="2"/>
              </w:numPr>
              <w:rPr>
                <w:rFonts w:hint="default"/>
                <w:lang w:val="en-US" w:eastAsia="zh-CN"/>
              </w:rPr>
            </w:pPr>
            <w:r>
              <w:rPr>
                <w:rFonts w:hint="eastAsia" w:ascii="宋体" w:hAnsi="宋体" w:cs="宋体"/>
                <w:kern w:val="0"/>
                <w:szCs w:val="21"/>
              </w:rPr>
              <w:t>提供血小板检测的专用瓶SFDA的</w:t>
            </w:r>
            <w:r>
              <w:rPr>
                <w:rFonts w:hint="eastAsia" w:ascii="宋体" w:hAnsi="宋体"/>
                <w:szCs w:val="21"/>
              </w:rPr>
              <w:t>注册</w:t>
            </w:r>
            <w:r>
              <w:rPr>
                <w:rFonts w:hint="eastAsia" w:ascii="宋体" w:hAnsi="宋体" w:cs="宋体"/>
                <w:kern w:val="0"/>
                <w:szCs w:val="21"/>
              </w:rPr>
              <w:t>证书</w:t>
            </w:r>
          </w:p>
        </w:tc>
        <w:tc>
          <w:tcPr>
            <w:tcW w:w="1586" w:type="dxa"/>
            <w:noWrap w:val="0"/>
            <w:vAlign w:val="center"/>
          </w:tcPr>
          <w:p>
            <w:pPr>
              <w:jc w:val="center"/>
              <w:rPr>
                <w:rFonts w:hint="default" w:ascii="宋体" w:hAnsi="宋体" w:eastAsia="宋体" w:cs="宋体"/>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674" w:type="dxa"/>
            <w:noWrap w:val="0"/>
            <w:vAlign w:val="center"/>
          </w:tcPr>
          <w:p>
            <w:pPr>
              <w:jc w:val="center"/>
              <w:rPr>
                <w:rFonts w:hint="eastAsia"/>
                <w:szCs w:val="21"/>
                <w:lang w:val="en-US" w:eastAsia="zh-CN"/>
              </w:rPr>
            </w:pPr>
            <w:r>
              <w:rPr>
                <w:rFonts w:hint="eastAsia"/>
                <w:szCs w:val="21"/>
                <w:lang w:val="en-US" w:eastAsia="zh-CN"/>
              </w:rPr>
              <w:t>2</w:t>
            </w:r>
          </w:p>
        </w:tc>
        <w:tc>
          <w:tcPr>
            <w:tcW w:w="1530" w:type="dxa"/>
            <w:noWrap w:val="0"/>
            <w:vAlign w:val="center"/>
          </w:tcPr>
          <w:p>
            <w:pPr>
              <w:rPr>
                <w:rFonts w:hint="eastAsia"/>
                <w:szCs w:val="21"/>
              </w:rPr>
            </w:pPr>
            <w:r>
              <w:rPr>
                <w:rFonts w:hint="eastAsia"/>
                <w:sz w:val="21"/>
                <w:szCs w:val="21"/>
                <w:lang w:val="en-US" w:eastAsia="zh-CN"/>
              </w:rPr>
              <w:t>厌氧菌培养瓶</w:t>
            </w:r>
          </w:p>
        </w:tc>
        <w:tc>
          <w:tcPr>
            <w:tcW w:w="752" w:type="dxa"/>
            <w:noWrap w:val="0"/>
            <w:vAlign w:val="center"/>
          </w:tcPr>
          <w:p>
            <w:pPr>
              <w:jc w:val="center"/>
              <w:rPr>
                <w:rFonts w:hint="eastAsia"/>
                <w:szCs w:val="21"/>
                <w:lang w:val="en-US" w:eastAsia="zh-CN"/>
              </w:rPr>
            </w:pPr>
            <w:r>
              <w:rPr>
                <w:rFonts w:hint="eastAsia"/>
                <w:szCs w:val="21"/>
                <w:lang w:val="en-US" w:eastAsia="zh-CN"/>
              </w:rPr>
              <w:t>个</w:t>
            </w:r>
          </w:p>
        </w:tc>
        <w:tc>
          <w:tcPr>
            <w:tcW w:w="5760" w:type="dxa"/>
            <w:noWrap w:val="0"/>
            <w:vAlign w:val="center"/>
          </w:tcPr>
          <w:p>
            <w:pPr>
              <w:numPr>
                <w:ilvl w:val="0"/>
                <w:numId w:val="0"/>
              </w:numPr>
            </w:pPr>
          </w:p>
          <w:p>
            <w:pPr>
              <w:numPr>
                <w:ilvl w:val="0"/>
                <w:numId w:val="3"/>
              </w:numPr>
            </w:pPr>
            <w:r>
              <w:rPr>
                <w:rFonts w:hint="eastAsia"/>
                <w:sz w:val="21"/>
                <w:szCs w:val="21"/>
                <w:lang w:val="en-US" w:eastAsia="zh-CN"/>
              </w:rPr>
              <w:t>预期用途：</w:t>
            </w:r>
            <w:r>
              <w:rPr>
                <w:rFonts w:hint="eastAsia" w:ascii="宋体" w:hAnsi="宋体" w:eastAsia="宋体" w:cs="宋体"/>
                <w:color w:val="000000"/>
                <w:kern w:val="0"/>
                <w:sz w:val="21"/>
                <w:szCs w:val="21"/>
                <w:lang w:val="en-US" w:eastAsia="zh-CN" w:bidi="ar"/>
              </w:rPr>
              <w:t xml:space="preserve">厌氧菌培养瓶用于支持厌氧和兼性厌氧微生物（细菌）生长。与 </w:t>
            </w:r>
            <w:r>
              <w:rPr>
                <w:rFonts w:hint="default" w:ascii="Times New Roman" w:hAnsi="Times New Roman" w:eastAsia="宋体" w:cs="Times New Roman"/>
                <w:color w:val="000000"/>
                <w:kern w:val="0"/>
                <w:sz w:val="21"/>
                <w:szCs w:val="21"/>
                <w:lang w:val="en-US" w:eastAsia="zh-CN" w:bidi="ar"/>
              </w:rPr>
              <w:t xml:space="preserve">BACT/ALERT </w:t>
            </w:r>
            <w:r>
              <w:rPr>
                <w:rFonts w:hint="eastAsia" w:ascii="宋体" w:hAnsi="宋体" w:eastAsia="宋体" w:cs="宋体"/>
                <w:color w:val="000000"/>
                <w:kern w:val="0"/>
                <w:sz w:val="21"/>
                <w:szCs w:val="21"/>
                <w:lang w:val="en-US" w:eastAsia="zh-CN" w:bidi="ar"/>
              </w:rPr>
              <w:t>微生物检测系统配套使用。</w:t>
            </w:r>
          </w:p>
          <w:p>
            <w:pPr>
              <w:numPr>
                <w:ilvl w:val="0"/>
                <w:numId w:val="3"/>
              </w:numPr>
              <w:rPr>
                <w:rFonts w:hint="eastAsia"/>
                <w:sz w:val="21"/>
                <w:szCs w:val="21"/>
                <w:lang w:val="en-US" w:eastAsia="zh-CN"/>
              </w:rPr>
            </w:pPr>
            <w:r>
              <w:rPr>
                <w:rFonts w:hint="eastAsia" w:ascii="宋体" w:hAnsi="宋体"/>
                <w:sz w:val="21"/>
                <w:szCs w:val="21"/>
              </w:rPr>
              <w:t>检测原理：细菌新陈代谢产生CO2，瓶底胶乳感应器产生不可逆颜色改变。</w:t>
            </w:r>
          </w:p>
          <w:p>
            <w:pPr>
              <w:numPr>
                <w:ilvl w:val="0"/>
                <w:numId w:val="3"/>
              </w:numPr>
              <w:rPr>
                <w:rFonts w:hint="eastAsia"/>
                <w:color w:val="000000"/>
                <w:sz w:val="21"/>
                <w:szCs w:val="21"/>
                <w:lang w:val="en-US" w:eastAsia="zh-CN"/>
              </w:rPr>
            </w:pPr>
            <w:r>
              <w:rPr>
                <w:rFonts w:hint="eastAsia"/>
                <w:color w:val="000000"/>
                <w:sz w:val="21"/>
                <w:szCs w:val="21"/>
                <w:lang w:val="en-US" w:eastAsia="zh-CN"/>
              </w:rPr>
              <w:t>瓶内装有40mL液体培养基一个内置传感器，用于检测微生物生长时产生的二氧化碳。</w:t>
            </w:r>
          </w:p>
          <w:p>
            <w:pPr>
              <w:numPr>
                <w:ilvl w:val="0"/>
                <w:numId w:val="3"/>
              </w:numPr>
              <w:rPr>
                <w:rFonts w:hint="eastAsia"/>
                <w:sz w:val="21"/>
                <w:szCs w:val="21"/>
                <w:lang w:val="en-US" w:eastAsia="zh-CN"/>
              </w:rPr>
            </w:pPr>
            <w:r>
              <w:rPr>
                <w:rFonts w:hint="eastAsia" w:ascii="宋体" w:hAnsi="宋体" w:cs="宋体"/>
                <w:kern w:val="0"/>
                <w:sz w:val="21"/>
                <w:szCs w:val="21"/>
              </w:rPr>
              <w:t>培养瓶采用国际最轻便安全的双层聚合碳纤维塑料材质以及防压、防碎</w:t>
            </w:r>
            <w:r>
              <w:rPr>
                <w:rFonts w:hint="eastAsia" w:ascii="宋体" w:hAnsi="宋体" w:cs="宋体"/>
                <w:kern w:val="0"/>
                <w:sz w:val="21"/>
                <w:szCs w:val="21"/>
                <w:lang w:val="en-US" w:eastAsia="zh-CN"/>
              </w:rPr>
              <w:t>设计。</w:t>
            </w:r>
          </w:p>
          <w:p>
            <w:pPr>
              <w:numPr>
                <w:ilvl w:val="0"/>
                <w:numId w:val="3"/>
              </w:numPr>
              <w:rPr>
                <w:rFonts w:hint="default"/>
                <w:lang w:val="en-US" w:eastAsia="zh-CN"/>
              </w:rPr>
            </w:pPr>
            <w:r>
              <w:rPr>
                <w:rFonts w:hint="eastAsia" w:ascii="宋体" w:hAnsi="宋体" w:cs="宋体"/>
                <w:kern w:val="0"/>
                <w:szCs w:val="21"/>
              </w:rPr>
              <w:t>提供血小板检测的专用瓶SFDA的</w:t>
            </w:r>
            <w:r>
              <w:rPr>
                <w:rFonts w:hint="eastAsia" w:ascii="宋体" w:hAnsi="宋体"/>
                <w:szCs w:val="21"/>
              </w:rPr>
              <w:t>注册</w:t>
            </w:r>
            <w:r>
              <w:rPr>
                <w:rFonts w:hint="eastAsia" w:ascii="宋体" w:hAnsi="宋体" w:cs="宋体"/>
                <w:kern w:val="0"/>
                <w:szCs w:val="21"/>
              </w:rPr>
              <w:t>证书</w:t>
            </w:r>
          </w:p>
        </w:tc>
        <w:tc>
          <w:tcPr>
            <w:tcW w:w="1586" w:type="dxa"/>
            <w:noWrap w:val="0"/>
            <w:vAlign w:val="center"/>
          </w:tcPr>
          <w:p>
            <w:pPr>
              <w:jc w:val="center"/>
              <w:rPr>
                <w:rFonts w:hint="default" w:ascii="宋体" w:hAnsi="宋体" w:eastAsia="宋体" w:cs="宋体"/>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0" w:hRule="exact"/>
          <w:jc w:val="center"/>
        </w:trPr>
        <w:tc>
          <w:tcPr>
            <w:tcW w:w="10302" w:type="dxa"/>
            <w:gridSpan w:val="5"/>
            <w:noWrap w:val="0"/>
            <w:vAlign w:val="top"/>
          </w:tcPr>
          <w:p>
            <w:pPr>
              <w:pStyle w:val="3"/>
              <w:keepNext w:val="0"/>
              <w:keepLines w:val="0"/>
              <w:pageBreakBefore w:val="0"/>
              <w:widowControl w:val="0"/>
              <w:kinsoku/>
              <w:wordWrap/>
              <w:overflowPunct/>
              <w:topLinePunct w:val="0"/>
              <w:autoSpaceDE/>
              <w:autoSpaceDN/>
              <w:bidi w:val="0"/>
              <w:adjustRightInd/>
              <w:snapToGrid/>
              <w:spacing w:after="0" w:line="320" w:lineRule="exact"/>
              <w:jc w:val="both"/>
              <w:textAlignment w:val="auto"/>
              <w:rPr>
                <w:rFonts w:hint="eastAsia"/>
              </w:rPr>
            </w:pPr>
            <w:r>
              <w:rPr>
                <w:rFonts w:hint="eastAsia"/>
              </w:rPr>
              <w:t>一、合同签订期：自采购结果公告结束之日起7个</w:t>
            </w:r>
            <w:r>
              <w:rPr>
                <w:rFonts w:hint="eastAsia"/>
                <w:lang w:val="en-US" w:eastAsia="zh-CN"/>
              </w:rPr>
              <w:t>工作日</w:t>
            </w:r>
            <w:r>
              <w:rPr>
                <w:rFonts w:hint="eastAsia"/>
              </w:rPr>
              <w:t>内。</w:t>
            </w:r>
          </w:p>
          <w:p>
            <w:pPr>
              <w:pStyle w:val="3"/>
              <w:keepNext w:val="0"/>
              <w:keepLines w:val="0"/>
              <w:pageBreakBefore w:val="0"/>
              <w:widowControl w:val="0"/>
              <w:kinsoku/>
              <w:wordWrap/>
              <w:overflowPunct/>
              <w:topLinePunct w:val="0"/>
              <w:autoSpaceDE/>
              <w:autoSpaceDN/>
              <w:bidi w:val="0"/>
              <w:adjustRightInd/>
              <w:snapToGrid/>
              <w:spacing w:after="0" w:line="320" w:lineRule="exact"/>
              <w:jc w:val="both"/>
              <w:textAlignment w:val="auto"/>
              <w:rPr>
                <w:rFonts w:hint="default" w:eastAsia="宋体"/>
                <w:lang w:val="en-US" w:eastAsia="zh-CN"/>
              </w:rPr>
            </w:pPr>
            <w:r>
              <w:rPr>
                <w:rFonts w:hint="eastAsia"/>
              </w:rPr>
              <w:t>二、交货期：自</w:t>
            </w:r>
            <w:r>
              <w:rPr>
                <w:rFonts w:hint="eastAsia"/>
                <w:lang w:val="en-US" w:eastAsia="zh-CN"/>
              </w:rPr>
              <w:t>发出订单</w:t>
            </w:r>
            <w:r>
              <w:rPr>
                <w:rFonts w:hint="eastAsia"/>
              </w:rPr>
              <w:t>之日起</w:t>
            </w:r>
            <w:r>
              <w:rPr>
                <w:rFonts w:hint="eastAsia"/>
                <w:lang w:val="en-US" w:eastAsia="zh-CN"/>
              </w:rPr>
              <w:t>7个日历</w:t>
            </w:r>
            <w:r>
              <w:rPr>
                <w:rFonts w:hint="eastAsia"/>
              </w:rPr>
              <w:t>日内</w:t>
            </w:r>
            <w:r>
              <w:rPr>
                <w:rFonts w:hint="eastAsia"/>
                <w:lang w:val="en-US" w:eastAsia="zh-CN"/>
              </w:rPr>
              <w:t>供货完毕</w:t>
            </w:r>
            <w:r>
              <w:rPr>
                <w:rFonts w:hint="eastAsia"/>
              </w:rPr>
              <w:t>。</w:t>
            </w:r>
          </w:p>
          <w:p>
            <w:pPr>
              <w:pStyle w:val="3"/>
              <w:keepNext w:val="0"/>
              <w:keepLines w:val="0"/>
              <w:pageBreakBefore w:val="0"/>
              <w:widowControl w:val="0"/>
              <w:kinsoku/>
              <w:wordWrap/>
              <w:overflowPunct/>
              <w:topLinePunct w:val="0"/>
              <w:autoSpaceDE/>
              <w:autoSpaceDN/>
              <w:bidi w:val="0"/>
              <w:adjustRightInd/>
              <w:snapToGrid/>
              <w:spacing w:after="0" w:line="320" w:lineRule="exact"/>
              <w:jc w:val="both"/>
              <w:textAlignment w:val="auto"/>
              <w:rPr>
                <w:rFonts w:hint="eastAsia"/>
              </w:rPr>
            </w:pPr>
            <w:r>
              <w:rPr>
                <w:rFonts w:hint="eastAsia"/>
              </w:rPr>
              <w:t>三、交货地点：</w:t>
            </w:r>
            <w:r>
              <w:rPr>
                <w:rFonts w:hint="eastAsia"/>
                <w:lang w:eastAsia="zh-CN"/>
              </w:rPr>
              <w:t>采购人</w:t>
            </w:r>
            <w:r>
              <w:rPr>
                <w:rFonts w:hint="eastAsia" w:ascii="宋体" w:hAnsi="宋体"/>
                <w:szCs w:val="21"/>
              </w:rPr>
              <w:t>指定地点</w:t>
            </w:r>
            <w:r>
              <w:rPr>
                <w:rFonts w:hint="eastAsia"/>
              </w:rPr>
              <w:t>。</w:t>
            </w:r>
          </w:p>
          <w:p>
            <w:pPr>
              <w:pStyle w:val="3"/>
              <w:keepNext w:val="0"/>
              <w:keepLines w:val="0"/>
              <w:pageBreakBefore w:val="0"/>
              <w:widowControl w:val="0"/>
              <w:kinsoku/>
              <w:wordWrap/>
              <w:overflowPunct/>
              <w:topLinePunct w:val="0"/>
              <w:autoSpaceDE/>
              <w:autoSpaceDN/>
              <w:bidi w:val="0"/>
              <w:adjustRightInd/>
              <w:snapToGrid/>
              <w:spacing w:after="0" w:line="320" w:lineRule="exact"/>
              <w:jc w:val="both"/>
              <w:textAlignment w:val="auto"/>
              <w:rPr>
                <w:rFonts w:hint="eastAsia"/>
              </w:rPr>
            </w:pPr>
            <w:r>
              <w:rPr>
                <w:rFonts w:hint="eastAsia"/>
              </w:rPr>
              <w:t xml:space="preserve">四、售后服务：按国家有关产品“三包”规定执行“三包” </w:t>
            </w:r>
            <w:r>
              <w:rPr>
                <w:rFonts w:hint="eastAsia"/>
                <w:lang w:eastAsia="zh-CN"/>
              </w:rPr>
              <w:t>。</w:t>
            </w:r>
            <w:r>
              <w:rPr>
                <w:rFonts w:hint="eastAsia"/>
              </w:rPr>
              <w:t xml:space="preserve">     </w:t>
            </w:r>
          </w:p>
          <w:p>
            <w:pPr>
              <w:pStyle w:val="3"/>
              <w:keepNext w:val="0"/>
              <w:keepLines w:val="0"/>
              <w:pageBreakBefore w:val="0"/>
              <w:widowControl w:val="0"/>
              <w:kinsoku/>
              <w:wordWrap/>
              <w:overflowPunct/>
              <w:topLinePunct w:val="0"/>
              <w:autoSpaceDE/>
              <w:autoSpaceDN/>
              <w:bidi w:val="0"/>
              <w:adjustRightInd/>
              <w:snapToGrid/>
              <w:spacing w:after="0" w:line="320" w:lineRule="exact"/>
              <w:jc w:val="both"/>
              <w:textAlignment w:val="auto"/>
              <w:rPr>
                <w:rFonts w:hint="eastAsia"/>
              </w:rPr>
            </w:pPr>
            <w:r>
              <w:rPr>
                <w:rFonts w:hint="eastAsia"/>
                <w:lang w:val="en-US" w:eastAsia="zh-CN"/>
              </w:rPr>
              <w:t>五</w:t>
            </w:r>
            <w:r>
              <w:rPr>
                <w:rFonts w:hint="eastAsia"/>
              </w:rPr>
              <w:t>、其他要求：</w:t>
            </w:r>
          </w:p>
          <w:p>
            <w:pPr>
              <w:pStyle w:val="3"/>
              <w:keepNext w:val="0"/>
              <w:keepLines w:val="0"/>
              <w:pageBreakBefore w:val="0"/>
              <w:widowControl w:val="0"/>
              <w:kinsoku/>
              <w:wordWrap/>
              <w:overflowPunct/>
              <w:topLinePunct w:val="0"/>
              <w:autoSpaceDE/>
              <w:autoSpaceDN/>
              <w:bidi w:val="0"/>
              <w:adjustRightInd/>
              <w:snapToGrid/>
              <w:spacing w:after="0" w:line="320" w:lineRule="exact"/>
              <w:jc w:val="both"/>
              <w:textAlignment w:val="auto"/>
              <w:rPr>
                <w:rFonts w:hint="eastAsia"/>
              </w:rPr>
            </w:pPr>
            <w:r>
              <w:rPr>
                <w:rFonts w:hint="eastAsia"/>
              </w:rPr>
              <w:t>1、投标报价为采购人指定地点的现场交货价，包括：</w:t>
            </w:r>
          </w:p>
          <w:p>
            <w:pPr>
              <w:pStyle w:val="3"/>
              <w:keepNext w:val="0"/>
              <w:keepLines w:val="0"/>
              <w:pageBreakBefore w:val="0"/>
              <w:widowControl w:val="0"/>
              <w:kinsoku/>
              <w:wordWrap/>
              <w:overflowPunct/>
              <w:topLinePunct w:val="0"/>
              <w:autoSpaceDE/>
              <w:autoSpaceDN/>
              <w:bidi w:val="0"/>
              <w:adjustRightInd/>
              <w:snapToGrid/>
              <w:spacing w:after="0" w:line="320" w:lineRule="exact"/>
              <w:jc w:val="both"/>
              <w:textAlignment w:val="auto"/>
              <w:rPr>
                <w:rFonts w:hint="eastAsia"/>
              </w:rPr>
            </w:pPr>
            <w:r>
              <w:rPr>
                <w:rFonts w:hint="eastAsia"/>
              </w:rPr>
              <w:t>（1）货物的价格；</w:t>
            </w:r>
          </w:p>
          <w:p>
            <w:pPr>
              <w:pStyle w:val="3"/>
              <w:keepNext w:val="0"/>
              <w:keepLines w:val="0"/>
              <w:pageBreakBefore w:val="0"/>
              <w:widowControl w:val="0"/>
              <w:kinsoku/>
              <w:wordWrap/>
              <w:overflowPunct/>
              <w:topLinePunct w:val="0"/>
              <w:autoSpaceDE/>
              <w:autoSpaceDN/>
              <w:bidi w:val="0"/>
              <w:adjustRightInd/>
              <w:snapToGrid/>
              <w:spacing w:after="0" w:line="320" w:lineRule="exact"/>
              <w:jc w:val="both"/>
              <w:textAlignment w:val="auto"/>
              <w:rPr>
                <w:rFonts w:hint="eastAsia"/>
              </w:rPr>
            </w:pPr>
            <w:r>
              <w:rPr>
                <w:rFonts w:hint="eastAsia"/>
              </w:rPr>
              <w:t>（</w:t>
            </w:r>
            <w:r>
              <w:rPr>
                <w:rFonts w:hint="eastAsia"/>
                <w:lang w:val="en-US" w:eastAsia="zh-CN"/>
              </w:rPr>
              <w:t>2</w:t>
            </w:r>
            <w:r>
              <w:rPr>
                <w:rFonts w:hint="eastAsia"/>
              </w:rPr>
              <w:t>）运输、售后服务等费用；</w:t>
            </w:r>
          </w:p>
          <w:p>
            <w:pPr>
              <w:pStyle w:val="3"/>
              <w:keepNext w:val="0"/>
              <w:keepLines w:val="0"/>
              <w:pageBreakBefore w:val="0"/>
              <w:widowControl w:val="0"/>
              <w:kinsoku/>
              <w:wordWrap/>
              <w:overflowPunct/>
              <w:topLinePunct w:val="0"/>
              <w:autoSpaceDE/>
              <w:autoSpaceDN/>
              <w:bidi w:val="0"/>
              <w:adjustRightInd/>
              <w:snapToGrid/>
              <w:spacing w:after="0" w:line="320" w:lineRule="exact"/>
              <w:jc w:val="both"/>
              <w:textAlignment w:val="auto"/>
              <w:rPr>
                <w:rFonts w:hint="eastAsia"/>
              </w:rPr>
            </w:pPr>
            <w:r>
              <w:rPr>
                <w:rFonts w:hint="eastAsia"/>
              </w:rPr>
              <w:t>（</w:t>
            </w:r>
            <w:r>
              <w:rPr>
                <w:rFonts w:hint="eastAsia"/>
                <w:lang w:val="en-US" w:eastAsia="zh-CN"/>
              </w:rPr>
              <w:t>3</w:t>
            </w:r>
            <w:r>
              <w:rPr>
                <w:rFonts w:hint="eastAsia"/>
              </w:rPr>
              <w:t>）必要的保险费用和各项税费；</w:t>
            </w:r>
          </w:p>
          <w:p>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szCs w:val="21"/>
              </w:rPr>
            </w:pPr>
            <w:r>
              <w:rPr>
                <w:rFonts w:hint="eastAsia"/>
              </w:rPr>
              <w:t>2、付款方式：供应商交货完毕并验收合格后，</w:t>
            </w:r>
            <w:r>
              <w:rPr>
                <w:rFonts w:hint="eastAsia"/>
                <w:lang w:val="en-US" w:eastAsia="zh-CN"/>
              </w:rPr>
              <w:t>支付每次订货货款</w:t>
            </w:r>
            <w:r>
              <w:rPr>
                <w:rFonts w:hint="eastAsia"/>
              </w:rPr>
              <w:t>（付款前成交供应商需开具等额合规的增值税普通发票）。</w:t>
            </w:r>
          </w:p>
        </w:tc>
      </w:tr>
    </w:tbl>
    <w:p>
      <w:pPr>
        <w:pStyle w:val="4"/>
        <w:spacing w:line="600" w:lineRule="exact"/>
        <w:ind w:left="-619" w:leftChars="-295" w:firstLine="0" w:firstLineChars="0"/>
        <w:rPr>
          <w:rFonts w:hint="eastAsia" w:asciiTheme="minorEastAsia" w:hAnsiTheme="minorEastAsia" w:cstheme="minorEastAsia"/>
          <w:szCs w:val="21"/>
          <w:lang w:val="en-US" w:eastAsia="zh-CN"/>
        </w:rPr>
      </w:pPr>
    </w:p>
    <w:p>
      <w:pPr>
        <w:pStyle w:val="4"/>
        <w:spacing w:line="600" w:lineRule="exact"/>
        <w:rPr>
          <w:rFonts w:asciiTheme="minorEastAsia" w:hAnsiTheme="minorEastAsia" w:eastAsiaTheme="minorEastAsia" w:cstheme="minorEastAsia"/>
          <w:szCs w:val="21"/>
          <w:u w:val="single"/>
        </w:rPr>
      </w:pPr>
      <w:r>
        <w:rPr>
          <w:rFonts w:hint="eastAsia" w:asciiTheme="minorEastAsia" w:hAnsiTheme="minorEastAsia" w:cstheme="minorEastAsia"/>
          <w:szCs w:val="21"/>
          <w:lang w:val="en-US" w:eastAsia="zh-CN"/>
        </w:rPr>
        <w:t>配送</w:t>
      </w:r>
      <w:r>
        <w:rPr>
          <w:rFonts w:hint="eastAsia" w:asciiTheme="minorEastAsia" w:hAnsiTheme="minorEastAsia" w:cstheme="minorEastAsia"/>
          <w:szCs w:val="21"/>
          <w:lang w:eastAsia="zh-CN"/>
        </w:rPr>
        <w:t>人</w:t>
      </w:r>
      <w:r>
        <w:rPr>
          <w:rFonts w:hint="eastAsia" w:asciiTheme="minorEastAsia" w:hAnsiTheme="minorEastAsia" w:eastAsiaTheme="minorEastAsia" w:cstheme="minorEastAsia"/>
          <w:szCs w:val="21"/>
        </w:rPr>
        <w:t>（盖单位公章）：</w:t>
      </w:r>
      <w:r>
        <w:rPr>
          <w:rFonts w:hint="eastAsia" w:asciiTheme="minorEastAsia" w:hAnsiTheme="minorEastAsia" w:eastAsiaTheme="minorEastAsia" w:cstheme="minorEastAsia"/>
          <w:szCs w:val="21"/>
          <w:u w:val="single"/>
        </w:rPr>
        <w:t xml:space="preserve">                                    </w:t>
      </w:r>
    </w:p>
    <w:p>
      <w:pPr>
        <w:pStyle w:val="4"/>
        <w:spacing w:line="500" w:lineRule="exact"/>
        <w:rPr>
          <w:rFonts w:asciiTheme="minorEastAsia" w:hAnsiTheme="minorEastAsia" w:eastAsiaTheme="minorEastAsia" w:cstheme="minorEastAsia"/>
          <w:b/>
          <w:szCs w:val="21"/>
        </w:rPr>
      </w:pPr>
      <w:r>
        <w:rPr>
          <w:rFonts w:hint="eastAsia" w:asciiTheme="minorEastAsia" w:hAnsiTheme="minorEastAsia" w:eastAsiaTheme="minorEastAsia" w:cstheme="minorEastAsia"/>
          <w:szCs w:val="21"/>
        </w:rPr>
        <w:t>法定代表人或其委托代理人（签字或盖章）：</w:t>
      </w:r>
      <w:r>
        <w:rPr>
          <w:rFonts w:hint="eastAsia" w:asciiTheme="minorEastAsia" w:hAnsiTheme="minorEastAsia" w:eastAsiaTheme="minorEastAsia" w:cstheme="minorEastAsia"/>
          <w:szCs w:val="21"/>
          <w:u w:val="single"/>
        </w:rPr>
        <w:t xml:space="preserve">                  </w:t>
      </w:r>
    </w:p>
    <w:p>
      <w:pPr>
        <w:pStyle w:val="4"/>
        <w:spacing w:line="440" w:lineRule="exact"/>
        <w:ind w:firstLine="468"/>
        <w:rPr>
          <w:rFonts w:asciiTheme="minorEastAsia" w:hAnsiTheme="minorEastAsia" w:eastAsiaTheme="minorEastAsia" w:cstheme="minorEastAsia"/>
          <w:szCs w:val="21"/>
        </w:rPr>
      </w:pPr>
    </w:p>
    <w:p>
      <w:pPr>
        <w:pStyle w:val="4"/>
        <w:spacing w:line="440" w:lineRule="exact"/>
      </w:pPr>
      <w:r>
        <w:rPr>
          <w:rFonts w:hint="eastAsia" w:asciiTheme="minorEastAsia" w:hAnsiTheme="minorEastAsia" w:eastAsiaTheme="minorEastAsia" w:cstheme="minorEastAsia"/>
          <w:szCs w:val="21"/>
        </w:rPr>
        <w:t>注：表格内容均需按要求填写并盖章，不得留空，否则按</w:t>
      </w:r>
      <w:r>
        <w:rPr>
          <w:rFonts w:hint="eastAsia" w:asciiTheme="minorEastAsia" w:hAnsiTheme="minorEastAsia" w:cstheme="minorEastAsia"/>
          <w:szCs w:val="21"/>
          <w:lang w:eastAsia="zh-CN"/>
        </w:rPr>
        <w:t>响应</w:t>
      </w:r>
      <w:r>
        <w:rPr>
          <w:rFonts w:hint="eastAsia" w:asciiTheme="minorEastAsia" w:hAnsiTheme="minorEastAsia" w:eastAsiaTheme="minorEastAsia" w:cstheme="minorEastAsia"/>
          <w:szCs w:val="21"/>
        </w:rPr>
        <w:t>无效处理。</w:t>
      </w:r>
    </w:p>
    <w:sectPr>
      <w:footerReference r:id="rId3" w:type="default"/>
      <w:pgSz w:w="11906" w:h="16838"/>
      <w:pgMar w:top="1270" w:right="1576" w:bottom="1213" w:left="1633"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5"/>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w:t>
                    </w:r>
                    <w:r>
                      <w:fldChar w:fldCharType="end"/>
                    </w:r>
                    <w: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E19DEE6"/>
    <w:multiLevelType w:val="singleLevel"/>
    <w:tmpl w:val="CE19DEE6"/>
    <w:lvl w:ilvl="0" w:tentative="0">
      <w:start w:val="1"/>
      <w:numFmt w:val="decimal"/>
      <w:lvlText w:val="%1."/>
      <w:lvlJc w:val="left"/>
      <w:pPr>
        <w:tabs>
          <w:tab w:val="left" w:pos="312"/>
        </w:tabs>
      </w:pPr>
    </w:lvl>
  </w:abstractNum>
  <w:abstractNum w:abstractNumId="1">
    <w:nsid w:val="E46FE269"/>
    <w:multiLevelType w:val="singleLevel"/>
    <w:tmpl w:val="E46FE269"/>
    <w:lvl w:ilvl="0" w:tentative="0">
      <w:start w:val="1"/>
      <w:numFmt w:val="decimal"/>
      <w:lvlText w:val="%1."/>
      <w:lvlJc w:val="left"/>
      <w:pPr>
        <w:tabs>
          <w:tab w:val="left" w:pos="312"/>
        </w:tabs>
      </w:pPr>
    </w:lvl>
  </w:abstractNum>
  <w:abstractNum w:abstractNumId="2">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2"/>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c1MzNjYWIwMDk4NDU3ZGUxYzljYjQ1ODE4YTE4MzgifQ=="/>
  </w:docVars>
  <w:rsids>
    <w:rsidRoot w:val="69595A0C"/>
    <w:rsid w:val="042B7464"/>
    <w:rsid w:val="0B117611"/>
    <w:rsid w:val="0B404839"/>
    <w:rsid w:val="0B7078E0"/>
    <w:rsid w:val="0C6C1BE9"/>
    <w:rsid w:val="0ECA2CAD"/>
    <w:rsid w:val="113D7418"/>
    <w:rsid w:val="13BC3779"/>
    <w:rsid w:val="14A32AD4"/>
    <w:rsid w:val="1C470016"/>
    <w:rsid w:val="23277B0A"/>
    <w:rsid w:val="23D56E45"/>
    <w:rsid w:val="27FC7252"/>
    <w:rsid w:val="29E652EC"/>
    <w:rsid w:val="2A9328B0"/>
    <w:rsid w:val="2B6F32B8"/>
    <w:rsid w:val="2D3D22E5"/>
    <w:rsid w:val="30121C45"/>
    <w:rsid w:val="3065704C"/>
    <w:rsid w:val="30BC757A"/>
    <w:rsid w:val="34673398"/>
    <w:rsid w:val="3AF6645D"/>
    <w:rsid w:val="3F2738F2"/>
    <w:rsid w:val="43A55320"/>
    <w:rsid w:val="46426F1A"/>
    <w:rsid w:val="477F09C9"/>
    <w:rsid w:val="47B42327"/>
    <w:rsid w:val="4F754A92"/>
    <w:rsid w:val="4F9F1B0F"/>
    <w:rsid w:val="517D43D5"/>
    <w:rsid w:val="51B9203A"/>
    <w:rsid w:val="56BE3354"/>
    <w:rsid w:val="57B51F88"/>
    <w:rsid w:val="5A993325"/>
    <w:rsid w:val="5E510478"/>
    <w:rsid w:val="5E683AA8"/>
    <w:rsid w:val="5F8B7E51"/>
    <w:rsid w:val="609E68E4"/>
    <w:rsid w:val="62271A53"/>
    <w:rsid w:val="62F53AC8"/>
    <w:rsid w:val="652C7B0C"/>
    <w:rsid w:val="66152BBB"/>
    <w:rsid w:val="69595A0C"/>
    <w:rsid w:val="6AA21562"/>
    <w:rsid w:val="6C7D260F"/>
    <w:rsid w:val="6EEB2FFA"/>
    <w:rsid w:val="7084648B"/>
    <w:rsid w:val="718B1915"/>
    <w:rsid w:val="72434C9E"/>
    <w:rsid w:val="737E46E8"/>
    <w:rsid w:val="76065B94"/>
    <w:rsid w:val="7D346DC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4"/>
    <w:basedOn w:val="1"/>
    <w:next w:val="1"/>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9">
    <w:name w:val="Default Paragraph Font"/>
    <w:semiHidden/>
    <w:qFormat/>
    <w:uiPriority w:val="0"/>
  </w:style>
  <w:style w:type="table" w:default="1" w:styleId="7">
    <w:name w:val="Normal Table"/>
    <w:autoRedefine/>
    <w:semiHidden/>
    <w:qFormat/>
    <w:uiPriority w:val="0"/>
    <w:tblPr>
      <w:tblCellMar>
        <w:top w:w="0" w:type="dxa"/>
        <w:left w:w="108" w:type="dxa"/>
        <w:bottom w:w="0" w:type="dxa"/>
        <w:right w:w="108" w:type="dxa"/>
      </w:tblCellMar>
    </w:tblPr>
  </w:style>
  <w:style w:type="paragraph" w:styleId="3">
    <w:name w:val="Body Text"/>
    <w:basedOn w:val="1"/>
    <w:next w:val="1"/>
    <w:unhideWhenUsed/>
    <w:qFormat/>
    <w:uiPriority w:val="0"/>
    <w:pPr>
      <w:spacing w:after="120"/>
    </w:pPr>
    <w:rPr>
      <w:rFonts w:ascii="Times New Roman" w:hAnsi="Times New Roman"/>
    </w:rPr>
  </w:style>
  <w:style w:type="paragraph" w:styleId="4">
    <w:name w:val="Plain Text"/>
    <w:basedOn w:val="1"/>
    <w:next w:val="2"/>
    <w:qFormat/>
    <w:uiPriority w:val="0"/>
    <w:rPr>
      <w:rFonts w:ascii="宋体" w:hAnsi="Courier New"/>
      <w:szCs w:val="20"/>
    </w:rPr>
  </w:style>
  <w:style w:type="paragraph" w:styleId="5">
    <w:name w:val="footer"/>
    <w:basedOn w:val="1"/>
    <w:autoRedefine/>
    <w:qFormat/>
    <w:uiPriority w:val="0"/>
    <w:pPr>
      <w:tabs>
        <w:tab w:val="center" w:pos="4153"/>
        <w:tab w:val="right" w:pos="8306"/>
      </w:tabs>
      <w:snapToGrid w:val="0"/>
      <w:jc w:val="left"/>
    </w:pPr>
    <w:rPr>
      <w:sz w:val="18"/>
    </w:rPr>
  </w:style>
  <w:style w:type="paragraph" w:styleId="6">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8">
    <w:name w:val="Table Grid"/>
    <w:basedOn w:val="7"/>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0">
    <w:name w:val="style23"/>
    <w:basedOn w:val="9"/>
    <w:autoRedefine/>
    <w:qFormat/>
    <w:uiPriority w:val="0"/>
    <w:rPr>
      <w:rFonts w:ascii="Times New Roman" w:hAnsi="Times New Roman" w:eastAsia="宋体" w:cs="Times New Roma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726</Words>
  <Characters>812</Characters>
  <Lines>0</Lines>
  <Paragraphs>0</Paragraphs>
  <TotalTime>0</TotalTime>
  <ScaleCrop>false</ScaleCrop>
  <LinksUpToDate>false</LinksUpToDate>
  <CharactersWithSpaces>876</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2021-03-24T02:45:00Z</dcterms:created>
  <dc:creator>WPS</dc:creator>
  <cp:lastModifiedBy>gzy</cp:lastModifiedBy>
  <dcterms:modified xsi:type="dcterms:W3CDTF">2024-05-21T01:47:43Z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974D8D2A8ED7470FA8DDFDDBB1124E61</vt:lpwstr>
  </property>
</Properties>
</file>