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32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30"/>
          <w:szCs w:val="30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附件1</w:t>
      </w:r>
    </w:p>
    <w:p w14:paraId="34A65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南宁中心血站采购项目基本情况及需求</w:t>
      </w:r>
    </w:p>
    <w:tbl>
      <w:tblPr>
        <w:tblStyle w:val="4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200"/>
        <w:gridCol w:w="912"/>
        <w:gridCol w:w="6450"/>
      </w:tblGrid>
      <w:tr w14:paraId="4A11D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noWrap w:val="0"/>
            <w:vAlign w:val="center"/>
          </w:tcPr>
          <w:p w14:paraId="22640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88" w:type="dxa"/>
            <w:noWrap w:val="0"/>
            <w:vAlign w:val="center"/>
          </w:tcPr>
          <w:p w14:paraId="4DFD7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25" w:type="dxa"/>
            <w:noWrap w:val="0"/>
            <w:vAlign w:val="center"/>
          </w:tcPr>
          <w:p w14:paraId="5E8AB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200" w:type="dxa"/>
            <w:noWrap w:val="0"/>
            <w:vAlign w:val="center"/>
          </w:tcPr>
          <w:p w14:paraId="30ADC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计划采购数量</w:t>
            </w:r>
          </w:p>
        </w:tc>
        <w:tc>
          <w:tcPr>
            <w:tcW w:w="912" w:type="dxa"/>
            <w:noWrap w:val="0"/>
            <w:vAlign w:val="center"/>
          </w:tcPr>
          <w:p w14:paraId="78F1A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采购预算</w:t>
            </w:r>
          </w:p>
        </w:tc>
        <w:tc>
          <w:tcPr>
            <w:tcW w:w="6450" w:type="dxa"/>
            <w:noWrap w:val="0"/>
            <w:vAlign w:val="center"/>
          </w:tcPr>
          <w:p w14:paraId="29BEA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基本情况及需求</w:t>
            </w:r>
          </w:p>
          <w:p w14:paraId="08485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2FDFD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noWrap w:val="0"/>
            <w:vAlign w:val="center"/>
          </w:tcPr>
          <w:p w14:paraId="3E5BE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88" w:type="dxa"/>
            <w:noWrap w:val="0"/>
            <w:vAlign w:val="center"/>
          </w:tcPr>
          <w:p w14:paraId="17A06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南宁中心血站2024年专项审计服务采购</w:t>
            </w:r>
          </w:p>
        </w:tc>
        <w:tc>
          <w:tcPr>
            <w:tcW w:w="725" w:type="dxa"/>
            <w:noWrap w:val="0"/>
            <w:vAlign w:val="center"/>
          </w:tcPr>
          <w:p w14:paraId="2171F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项</w:t>
            </w:r>
          </w:p>
        </w:tc>
        <w:tc>
          <w:tcPr>
            <w:tcW w:w="1200" w:type="dxa"/>
            <w:noWrap w:val="0"/>
            <w:vAlign w:val="center"/>
          </w:tcPr>
          <w:p w14:paraId="60E0A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912" w:type="dxa"/>
            <w:noWrap w:val="0"/>
            <w:vAlign w:val="center"/>
          </w:tcPr>
          <w:p w14:paraId="362B8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10万元</w:t>
            </w:r>
          </w:p>
        </w:tc>
        <w:tc>
          <w:tcPr>
            <w:tcW w:w="6450" w:type="dxa"/>
            <w:noWrap w:val="0"/>
            <w:vAlign w:val="center"/>
          </w:tcPr>
          <w:p w14:paraId="0BE581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一、基本情况</w:t>
            </w:r>
          </w:p>
          <w:p w14:paraId="34A4EC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2" w:firstLineChars="200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南宁中心血站2024年拟委托社会中介开展审计服务，对2023年度经济活动开展审计，审计项目包括财务收支审计、服务类项目绩效审计，采购管理审计，基建项目审计等4个专项审计。</w:t>
            </w:r>
          </w:p>
          <w:p w14:paraId="25977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2" w:firstLineChars="200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2023年末资产合计约2.76亿，</w:t>
            </w:r>
            <w:r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2023年度支出约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1.85亿元</w:t>
            </w:r>
            <w:r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，总凭证数量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约2500</w:t>
            </w:r>
            <w:r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个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。</w:t>
            </w:r>
            <w:r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（仅供参考）</w:t>
            </w:r>
          </w:p>
          <w:p w14:paraId="6050F2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基本要求</w:t>
            </w:r>
          </w:p>
          <w:p w14:paraId="6224491B">
            <w:pPr>
              <w:widowControl/>
              <w:numPr>
                <w:ilvl w:val="0"/>
                <w:numId w:val="2"/>
              </w:numPr>
              <w:spacing w:line="380" w:lineRule="exact"/>
              <w:ind w:right="-31" w:rightChars="-15"/>
              <w:jc w:val="left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通过审计核实相关经济活动真实性、合法性，及重大经济项目的决策、实施和支出效益情况，以及内控制度的执行情况。查找经济管理中的管理漏洞、存在问题和潜在风险，揭露发现的违规违纪行为，并根据审计情况提出合理化建议，促进完善单位内部控制制度，规范单位经济运行，充分发挥资金资产使用效益，防范化解重大经济风险隐患。</w:t>
            </w:r>
          </w:p>
          <w:p w14:paraId="27F10E61">
            <w:pPr>
              <w:widowControl/>
              <w:numPr>
                <w:ilvl w:val="0"/>
                <w:numId w:val="2"/>
              </w:numPr>
              <w:spacing w:line="380" w:lineRule="exact"/>
              <w:ind w:right="-31" w:rightChars="-15"/>
              <w:jc w:val="left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分别出具2023年度财务收支审计、服务类项目绩效审计，采购管理审计，基建项目审计等四个专项审计报告。</w:t>
            </w:r>
          </w:p>
          <w:p w14:paraId="6787C102">
            <w:pPr>
              <w:widowControl/>
              <w:numPr>
                <w:ilvl w:val="0"/>
                <w:numId w:val="2"/>
              </w:numPr>
              <w:spacing w:line="380" w:lineRule="exact"/>
              <w:ind w:right="-31" w:rightChars="-15"/>
              <w:jc w:val="left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审计报告须明确指出本单位经济活动存在的问题，漏洞和风险，并提出合理化建议。</w:t>
            </w:r>
          </w:p>
          <w:p w14:paraId="5B168B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6485D7A7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36C0DC"/>
    <w:multiLevelType w:val="singleLevel"/>
    <w:tmpl w:val="BA36C0D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5646741"/>
    <w:multiLevelType w:val="singleLevel"/>
    <w:tmpl w:val="5564674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mZDFmZjkxZWFhYTYyMzFjODA3MDkyYjJmNjZkY2MifQ=="/>
  </w:docVars>
  <w:rsids>
    <w:rsidRoot w:val="07893717"/>
    <w:rsid w:val="07893717"/>
    <w:rsid w:val="32C2655D"/>
    <w:rsid w:val="4FF1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1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/>
      <w:b/>
      <w:bCs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427</Words>
  <Characters>455</Characters>
  <Lines>0</Lines>
  <Paragraphs>0</Paragraphs>
  <TotalTime>3</TotalTime>
  <ScaleCrop>false</ScaleCrop>
  <LinksUpToDate>false</LinksUpToDate>
  <CharactersWithSpaces>455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2024-03-06T08:22:00Z</dcterms:created>
  <dc:creator>WPS</dc:creator>
  <cp:lastModifiedBy>Pure</cp:lastModifiedBy>
  <dcterms:modified xsi:type="dcterms:W3CDTF">2024-06-17T07:22:22Z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A7569D1C89BF4C20A665E8C290B7CDF2_13</vt:lpwstr>
  </property>
</Properties>
</file>