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page" w:horzAnchor="page" w:tblpX="1710" w:tblpY="2982"/>
        <w:tblOverlap w:val="never"/>
        <w:tblW w:w="87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5"/>
        <w:gridCol w:w="545"/>
        <w:gridCol w:w="882"/>
        <w:gridCol w:w="13"/>
        <w:gridCol w:w="452"/>
        <w:gridCol w:w="495"/>
        <w:gridCol w:w="5164"/>
        <w:gridCol w:w="6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8760" w:type="dxa"/>
            <w:gridSpan w:val="8"/>
            <w:tcBorders>
              <w:bottom w:val="nil"/>
            </w:tcBorders>
            <w:vAlign w:val="center"/>
          </w:tcPr>
          <w:p>
            <w:pPr>
              <w:spacing w:line="300" w:lineRule="atLeast"/>
              <w:jc w:val="center"/>
              <w:rPr>
                <w:rFonts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服务需求一览表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985" w:type="dxa"/>
            <w:gridSpan w:val="4"/>
            <w:tcBorders>
              <w:top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line="30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标段</w:t>
            </w:r>
          </w:p>
        </w:tc>
        <w:tc>
          <w:tcPr>
            <w:tcW w:w="6775" w:type="dxa"/>
            <w:gridSpan w:val="4"/>
            <w:tcBorders>
              <w:top w:val="single" w:color="auto" w:sz="4" w:space="0"/>
              <w:left w:val="single" w:color="auto" w:sz="4" w:space="0"/>
              <w:bottom w:val="nil"/>
            </w:tcBorders>
            <w:vAlign w:val="center"/>
          </w:tcPr>
          <w:p>
            <w:pPr>
              <w:spacing w:line="300" w:lineRule="atLeast"/>
              <w:jc w:val="left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  <w:t>分标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545" w:type="dxa"/>
            <w:vMerge w:val="restart"/>
            <w:tcBorders>
              <w:top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line="30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采购清单及服务参数</w:t>
            </w:r>
          </w:p>
        </w:tc>
        <w:tc>
          <w:tcPr>
            <w:tcW w:w="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30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序号</w:t>
            </w: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采购服务名称</w:t>
            </w:r>
          </w:p>
        </w:tc>
        <w:tc>
          <w:tcPr>
            <w:tcW w:w="4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单位</w:t>
            </w:r>
          </w:p>
        </w:tc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数量</w:t>
            </w:r>
          </w:p>
        </w:tc>
        <w:tc>
          <w:tcPr>
            <w:tcW w:w="5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服务参数</w:t>
            </w:r>
          </w:p>
        </w:tc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0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分项预算合计（万元）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4" w:hRule="atLeast"/>
        </w:trPr>
        <w:tc>
          <w:tcPr>
            <w:tcW w:w="545" w:type="dxa"/>
            <w:vMerge w:val="continue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1</w:t>
            </w: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 xml:space="preserve"> 南宁中心血站物资精细化管理和运输项目</w:t>
            </w:r>
          </w:p>
        </w:tc>
        <w:tc>
          <w:tcPr>
            <w:tcW w:w="46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项</w:t>
            </w:r>
          </w:p>
        </w:tc>
        <w:tc>
          <w:tcPr>
            <w:tcW w:w="49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1</w:t>
            </w:r>
          </w:p>
        </w:tc>
        <w:tc>
          <w:tcPr>
            <w:tcW w:w="516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line="300" w:lineRule="atLeast"/>
              <w:ind w:firstLine="420" w:firstLineChars="200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zCs w:val="21"/>
              </w:rPr>
              <w:t>为南宁中心血站提供站内物资管理、全市（含六县）血液、标本、物料运输服务，实现物料从科室提出需求到出库、装卸、配送的全过程管理，急救送血服务，采集血液保证血液按国标GB/T1.1-2009血液运输要求运输。</w:t>
            </w:r>
          </w:p>
          <w:p>
            <w:pPr>
              <w:spacing w:line="300" w:lineRule="atLeast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zCs w:val="21"/>
              </w:rPr>
              <w:t>1、负责所需物料、血液、垃圾、设备等所有涉及采血相关物料清点、装卸、配送服务。</w:t>
            </w:r>
          </w:p>
          <w:p>
            <w:pPr>
              <w:spacing w:line="300" w:lineRule="atLeast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zCs w:val="21"/>
              </w:rPr>
              <w:t>2、负责物料中转仓库管理。</w:t>
            </w:r>
          </w:p>
          <w:p>
            <w:pPr>
              <w:spacing w:line="300" w:lineRule="atLeast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zCs w:val="21"/>
              </w:rPr>
              <w:t>3、使用的车辆管理。</w:t>
            </w:r>
          </w:p>
          <w:p>
            <w:pPr>
              <w:spacing w:line="300" w:lineRule="atLeast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zCs w:val="21"/>
              </w:rPr>
              <w:t>4、运输温控系统监测、统计、管理等。</w:t>
            </w:r>
          </w:p>
          <w:p>
            <w:pPr>
              <w:spacing w:line="300" w:lineRule="atLeast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zCs w:val="21"/>
              </w:rPr>
              <w:t>5、急救送血服务。</w:t>
            </w:r>
          </w:p>
          <w:p>
            <w:pPr>
              <w:spacing w:line="300" w:lineRule="atLeast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zCs w:val="21"/>
              </w:rPr>
              <w:t>6、应急服务。</w:t>
            </w:r>
          </w:p>
          <w:p>
            <w:pPr>
              <w:spacing w:line="300" w:lineRule="atLeast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7、采血车驾驶服务。</w:t>
            </w:r>
          </w:p>
          <w:p>
            <w:pPr>
              <w:spacing w:line="300" w:lineRule="atLeast"/>
              <w:rPr>
                <w:rFonts w:ascii="宋体" w:hAnsi="宋体" w:eastAsia="宋体" w:cs="宋体"/>
                <w:color w:val="000000"/>
                <w:szCs w:val="21"/>
              </w:rPr>
            </w:pPr>
          </w:p>
          <w:p>
            <w:pPr>
              <w:spacing w:line="300" w:lineRule="atLeast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技术服务要求：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一、配送服务要求：......</w:t>
            </w:r>
          </w:p>
          <w:p>
            <w:pPr>
              <w:spacing w:line="300" w:lineRule="atLeast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二、库房管理：......</w:t>
            </w:r>
          </w:p>
          <w:p>
            <w:pPr>
              <w:spacing w:line="300" w:lineRule="atLeast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三、配送车辆：......</w:t>
            </w:r>
          </w:p>
          <w:p>
            <w:pPr>
              <w:spacing w:line="300" w:lineRule="atLeast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四、车辆管理：......</w:t>
            </w:r>
          </w:p>
          <w:p>
            <w:pPr>
              <w:spacing w:line="300" w:lineRule="atLeast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五、急救送血服务要求：......</w:t>
            </w:r>
          </w:p>
          <w:p>
            <w:pPr>
              <w:spacing w:line="300" w:lineRule="atLeas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六、采血车和行政车驾驶服务：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......</w:t>
            </w:r>
          </w:p>
          <w:p>
            <w:pPr>
              <w:spacing w:line="300" w:lineRule="atLeast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七、人员资质要求：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......</w:t>
            </w:r>
          </w:p>
          <w:p>
            <w:pPr>
              <w:spacing w:line="300" w:lineRule="atLeast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八、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......</w:t>
            </w:r>
          </w:p>
        </w:tc>
        <w:tc>
          <w:tcPr>
            <w:tcW w:w="664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spacing w:line="30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 xml:space="preserve"> </w:t>
            </w:r>
          </w:p>
        </w:tc>
      </w:tr>
    </w:tbl>
    <w:p>
      <w:pPr>
        <w:rPr>
          <w:rFonts w:ascii="仿宋_GB2312" w:hAnsi="仿宋_GB2312" w:cs="仿宋_GB2312"/>
          <w:b/>
          <w:bCs/>
          <w:sz w:val="28"/>
          <w:szCs w:val="36"/>
        </w:rPr>
      </w:pPr>
      <w:r>
        <w:rPr>
          <w:rFonts w:hint="eastAsia" w:ascii="仿宋_GB2312" w:hAnsi="仿宋_GB2312" w:cs="仿宋_GB2312"/>
          <w:b/>
          <w:bCs/>
          <w:sz w:val="28"/>
          <w:szCs w:val="36"/>
        </w:rPr>
        <w:t>附件</w:t>
      </w:r>
      <w:r>
        <w:rPr>
          <w:rFonts w:hint="eastAsia" w:ascii="仿宋_GB2312" w:hAnsi="仿宋_GB2312" w:cs="仿宋_GB2312"/>
          <w:b/>
          <w:bCs/>
          <w:sz w:val="28"/>
          <w:szCs w:val="36"/>
          <w:lang w:val="en-US" w:eastAsia="zh-CN"/>
        </w:rPr>
        <w:t>2</w:t>
      </w:r>
      <w:r>
        <w:rPr>
          <w:rFonts w:hint="eastAsia" w:ascii="仿宋_GB2312" w:hAnsi="仿宋_GB2312" w:cs="仿宋_GB2312"/>
          <w:b/>
          <w:bCs/>
          <w:sz w:val="28"/>
          <w:szCs w:val="36"/>
        </w:rPr>
        <w:t>：</w:t>
      </w:r>
    </w:p>
    <w:p>
      <w:pPr>
        <w:jc w:val="center"/>
        <w:rPr>
          <w:rFonts w:ascii="仿宋_GB2312" w:hAnsi="仿宋_GB2312" w:cs="仿宋_GB2312"/>
          <w:sz w:val="28"/>
          <w:szCs w:val="36"/>
        </w:rPr>
      </w:pPr>
      <w:r>
        <w:rPr>
          <w:rFonts w:hint="eastAsia" w:ascii="仿宋_GB2312" w:hAnsi="仿宋_GB2312" w:cs="仿宋_GB2312"/>
          <w:b/>
          <w:bCs/>
          <w:sz w:val="28"/>
          <w:szCs w:val="36"/>
        </w:rPr>
        <w:t>南宁中心血站物资精细化管理和运输项目参数征集表</w:t>
      </w:r>
      <w:bookmarkStart w:id="0" w:name="_GoBack"/>
      <w:bookmarkEnd w:id="0"/>
      <w:r>
        <w:rPr>
          <w:rFonts w:hint="eastAsia" w:ascii="仿宋_GB2312" w:hAnsi="仿宋_GB2312" w:cs="仿宋_GB2312"/>
          <w:sz w:val="28"/>
          <w:szCs w:val="36"/>
        </w:rPr>
        <w:br w:type="textWrapping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TJjZTkyOTEwOWYyYjRkNmZjOWFkOGY1YTlmOGQ1MDMifQ=="/>
  </w:docVars>
  <w:rsids>
    <w:rsidRoot w:val="00587A13"/>
    <w:rsid w:val="00170661"/>
    <w:rsid w:val="001F69F3"/>
    <w:rsid w:val="00281CCC"/>
    <w:rsid w:val="002F129A"/>
    <w:rsid w:val="002F1BB8"/>
    <w:rsid w:val="003C7D0A"/>
    <w:rsid w:val="004161AD"/>
    <w:rsid w:val="00427F52"/>
    <w:rsid w:val="004A3BD9"/>
    <w:rsid w:val="0058474E"/>
    <w:rsid w:val="00587A13"/>
    <w:rsid w:val="005B26BD"/>
    <w:rsid w:val="006260CD"/>
    <w:rsid w:val="006A13E1"/>
    <w:rsid w:val="007168A0"/>
    <w:rsid w:val="0072256D"/>
    <w:rsid w:val="00745C5C"/>
    <w:rsid w:val="0079305F"/>
    <w:rsid w:val="0086255B"/>
    <w:rsid w:val="008678E6"/>
    <w:rsid w:val="008A0F1D"/>
    <w:rsid w:val="009340C8"/>
    <w:rsid w:val="00A03FD0"/>
    <w:rsid w:val="00A3359F"/>
    <w:rsid w:val="00B93BF2"/>
    <w:rsid w:val="00BC2C96"/>
    <w:rsid w:val="00BC6566"/>
    <w:rsid w:val="00CF541F"/>
    <w:rsid w:val="00D6131D"/>
    <w:rsid w:val="00EA7859"/>
    <w:rsid w:val="00F24054"/>
    <w:rsid w:val="00F83EFC"/>
    <w:rsid w:val="12607D91"/>
    <w:rsid w:val="27112EF2"/>
    <w:rsid w:val="5A407A4A"/>
    <w:rsid w:val="5B20195F"/>
    <w:rsid w:val="5C3B2A2B"/>
    <w:rsid w:val="64DF00E5"/>
    <w:rsid w:val="7C2A3D97"/>
    <w:rsid w:val="7EDE6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rPr>
      <w:sz w:val="24"/>
    </w:rPr>
  </w:style>
  <w:style w:type="character" w:customStyle="1" w:styleId="8">
    <w:name w:val="页眉 Char"/>
    <w:basedOn w:val="7"/>
    <w:link w:val="4"/>
    <w:qFormat/>
    <w:uiPriority w:val="0"/>
    <w:rPr>
      <w:rFonts w:ascii="Times New Roman" w:hAnsi="Times New Roman" w:eastAsia="仿宋_GB2312" w:cs="Times New Roman"/>
      <w:kern w:val="2"/>
      <w:sz w:val="18"/>
      <w:szCs w:val="18"/>
    </w:rPr>
  </w:style>
  <w:style w:type="character" w:customStyle="1" w:styleId="9">
    <w:name w:val="页脚 Char"/>
    <w:basedOn w:val="7"/>
    <w:link w:val="3"/>
    <w:qFormat/>
    <w:uiPriority w:val="0"/>
    <w:rPr>
      <w:rFonts w:ascii="Times New Roman" w:hAnsi="Times New Roman" w:eastAsia="仿宋_GB2312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0E3C18-6964-4042-959F-3EA47A175DC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373</Words>
  <Characters>424</Characters>
  <Lines>3</Lines>
  <Paragraphs>1</Paragraphs>
  <TotalTime>0</TotalTime>
  <ScaleCrop>false</ScaleCrop>
  <LinksUpToDate>false</LinksUpToDate>
  <CharactersWithSpaces>426</CharactersWithSpaces>
  <Application>WPS Office_12.1.0.16910_F1E327BC-269C-435d-A152-05C5408002CA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2024-03-22T01:37:00Z</dcterms:created>
  <dc:creator>Administrator</dc:creator>
  <cp:lastModifiedBy>黄耀</cp:lastModifiedBy>
  <dcterms:modified xsi:type="dcterms:W3CDTF">2024-08-09T02:26:43Z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2052-12.1.0.16910</vt:lpwstr>
  </property>
  <property fmtid="{D5CDD505-2E9C-101B-9397-08002B2CF9AE}" pid="3" name="ICV">
    <vt:lpwstr>D9FF1DDB151C46D99980437B3312655C_13</vt:lpwstr>
  </property>
</Properties>
</file>