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41BEE39D">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项目名称：南宁中心血站2024年</w:t>
      </w:r>
      <w:r>
        <w:rPr>
          <w:rFonts w:hint="eastAsia" w:ascii="仿宋_GB2312" w:hAnsi="Courier New" w:eastAsia="仿宋_GB2312" w:cs="Courier New"/>
          <w:b/>
          <w:bCs/>
          <w:color w:val="000000"/>
          <w:kern w:val="0"/>
          <w:sz w:val="32"/>
          <w:szCs w:val="32"/>
          <w:lang w:val="en-US" w:eastAsia="zh-CN"/>
        </w:rPr>
        <w:t>路由器和VPN网络设备采购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w:t>
      </w:r>
      <w:r>
        <w:rPr>
          <w:rFonts w:hint="eastAsia" w:ascii="仿宋_GB2312" w:hAnsi="Courier New" w:eastAsia="仿宋_GB2312" w:cs="Courier New"/>
          <w:b/>
          <w:bCs/>
          <w:color w:val="000000"/>
          <w:kern w:val="0"/>
          <w:sz w:val="32"/>
          <w:szCs w:val="32"/>
          <w:lang w:val="en-US" w:eastAsia="zh-CN"/>
        </w:rPr>
        <w:t>12</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13</w:t>
      </w:r>
      <w:r>
        <w:rPr>
          <w:rFonts w:hint="eastAsia" w:ascii="仿宋_GB2312" w:hAnsi="Courier New" w:eastAsia="仿宋_GB2312" w:cs="Courier New"/>
          <w:b/>
          <w:bCs/>
          <w:color w:val="000000"/>
          <w:kern w:val="0"/>
          <w:sz w:val="32"/>
          <w:szCs w:val="32"/>
          <w:lang w:val="zh-TW" w:eastAsia="zh-TW"/>
        </w:rPr>
        <w:t>日</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0D4C5520">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zh-TW" w:eastAsia="zh-CN"/>
        </w:rPr>
        <w:t>南宁中心血站2024年</w:t>
      </w:r>
      <w:r>
        <w:rPr>
          <w:rFonts w:hint="eastAsia" w:ascii="方正小标宋简体" w:hAnsi="方正小标宋简体" w:eastAsia="方正小标宋简体" w:cs="方正小标宋简体"/>
          <w:sz w:val="44"/>
          <w:szCs w:val="44"/>
          <w:lang w:val="en-US" w:eastAsia="zh-CN"/>
        </w:rPr>
        <w:t>路由器和VPN网络</w:t>
      </w:r>
    </w:p>
    <w:p w14:paraId="0223390D">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en-US" w:eastAsia="zh-CN"/>
        </w:rPr>
        <w:t>设备采购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6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南宁中心血站按照采购计划对2024年路由器和VPN网络设备进行采购，现就该项目邀请具有资质的单位进行响应，采购信息如下：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项目编号：NNBCHW202401</w:t>
      </w:r>
      <w:r>
        <w:rPr>
          <w:rFonts w:hint="eastAsia" w:ascii="仿宋_GB2312" w:hAnsi="Courier New" w:eastAsia="仿宋_GB2312" w:cs="Courier New"/>
          <w:color w:val="000000"/>
          <w:kern w:val="0"/>
          <w:sz w:val="32"/>
          <w:szCs w:val="32"/>
          <w:lang w:val="en-US" w:eastAsia="zh-CN"/>
        </w:rPr>
        <w:t>2</w:t>
      </w:r>
    </w:p>
    <w:p w14:paraId="42E1F3BD">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项目名称：南宁中心血站2024年路由器和VPN网络设备采购</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陆万零肆拾</w:t>
      </w:r>
      <w:r>
        <w:rPr>
          <w:rFonts w:hint="eastAsia" w:ascii="仿宋_GB2312" w:hAnsi="Courier New" w:eastAsia="仿宋_GB2312" w:cs="Courier New"/>
          <w:color w:val="000000"/>
          <w:kern w:val="0"/>
          <w:sz w:val="32"/>
          <w:szCs w:val="32"/>
          <w:lang w:val="zh-TW" w:eastAsia="zh-TW"/>
        </w:rPr>
        <w:t>元整（¥60040.00）</w:t>
      </w:r>
    </w:p>
    <w:p w14:paraId="2068529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陆万零肆拾</w:t>
      </w:r>
      <w:r>
        <w:rPr>
          <w:rFonts w:hint="eastAsia" w:ascii="仿宋_GB2312" w:hAnsi="Courier New" w:eastAsia="仿宋_GB2312" w:cs="Courier New"/>
          <w:color w:val="000000"/>
          <w:kern w:val="0"/>
          <w:sz w:val="32"/>
          <w:szCs w:val="32"/>
          <w:lang w:val="zh-TW" w:eastAsia="zh-TW"/>
        </w:rPr>
        <w:t>元整（¥60040.00）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73FBE2E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评选方式：最低价评选法（根据质量和服务均能满足采购文件实质性响应要求的，按照报价从低到高进行排名，排名第一的（报价最低的原则）供应商确定为成交供应商。）</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TW"/>
        </w:rPr>
        <w:t>，注册经营范围满足所采购内容的供应商</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646740BD">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廉洁响应承诺书（详见附件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w:t>
      </w:r>
      <w:r>
        <w:rPr>
          <w:rFonts w:hint="eastAsia" w:ascii="仿宋_GB2312" w:hAnsi="Courier New" w:eastAsia="仿宋_GB2312" w:cs="Courier New"/>
          <w:color w:val="000000"/>
          <w:kern w:val="0"/>
          <w:sz w:val="32"/>
          <w:szCs w:val="32"/>
          <w:lang w:val="zh-TW" w:eastAsia="zh-CN" w:bidi="ar-SA"/>
        </w:rPr>
        <w:t>；</w:t>
      </w:r>
    </w:p>
    <w:p w14:paraId="053F1B2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采购需求一览表中要求提供的证明材料。</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四、</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两</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287B075D">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66381C03">
      <w:pPr>
        <w:pStyle w:val="6"/>
        <w:keepNext w:val="0"/>
        <w:keepLines w:val="0"/>
        <w:pageBreakBefore w:val="0"/>
        <w:widowControl w:val="0"/>
        <w:numPr>
          <w:ilvl w:val="0"/>
          <w:numId w:val="3"/>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16</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bookmarkStart w:id="1" w:name="_GoBack"/>
      <w:bookmarkEnd w:id="1"/>
    </w:p>
    <w:p w14:paraId="15DC832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10D432A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1D9607E0">
      <w:pPr>
        <w:pStyle w:val="6"/>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67A16378">
      <w:pPr>
        <w:pStyle w:val="6"/>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43724208">
      <w:pPr>
        <w:pStyle w:val="6"/>
        <w:keepNext w:val="0"/>
        <w:keepLines w:val="0"/>
        <w:pageBreakBefore w:val="0"/>
        <w:widowControl w:val="0"/>
        <w:kinsoku/>
        <w:wordWrap/>
        <w:overflowPunct/>
        <w:topLinePunct w:val="0"/>
        <w:autoSpaceDE/>
        <w:autoSpaceDN/>
        <w:bidi w:val="0"/>
        <w:adjustRightInd/>
        <w:spacing w:line="600" w:lineRule="exact"/>
        <w:ind w:firstLine="5580" w:firstLineChars="1800"/>
        <w:textAlignment w:val="auto"/>
        <w:outlineLvl w:val="0"/>
        <w:rPr>
          <w:rFonts w:ascii="仿宋" w:hAnsi="仿宋" w:eastAsia="仿宋" w:cs="仿宋_GB2312"/>
          <w:spacing w:val="15"/>
          <w:sz w:val="28"/>
          <w:szCs w:val="28"/>
          <w:shd w:val="clear" w:color="auto" w:fill="FFFFFF"/>
        </w:rPr>
      </w:pPr>
    </w:p>
    <w:p w14:paraId="782D6370">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060147ED">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13</w:t>
      </w:r>
      <w:r>
        <w:rPr>
          <w:rFonts w:hint="eastAsia" w:ascii="仿宋_GB2312" w:hAnsi="Courier New" w:eastAsia="仿宋_GB2312" w:cs="Courier New"/>
          <w:color w:val="000000"/>
          <w:kern w:val="0"/>
          <w:sz w:val="32"/>
          <w:szCs w:val="32"/>
          <w:lang w:val="zh-TW" w:eastAsia="zh-CN" w:bidi="ar-SA"/>
        </w:rPr>
        <w:t>日</w:t>
      </w:r>
    </w:p>
    <w:p w14:paraId="5C772AE0">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6ECBE23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52E25219">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127B52D3">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p>
    <w:p w14:paraId="19ED7D0B">
      <w:pPr>
        <w:pStyle w:val="8"/>
        <w:ind w:firstLine="560" w:firstLineChars="200"/>
        <w:jc w:val="left"/>
        <w:outlineLvl w:val="0"/>
        <w:rPr>
          <w:sz w:val="28"/>
          <w:szCs w:val="28"/>
        </w:rPr>
      </w:pPr>
      <w:bookmarkStart w:id="0" w:name="_Toc27988011"/>
      <w:r>
        <w:rPr>
          <w:rFonts w:hint="eastAsia" w:ascii="宋体" w:hAnsi="宋体" w:eastAsia="宋体" w:cs="宋体"/>
          <w:sz w:val="28"/>
          <w:szCs w:val="28"/>
        </w:rPr>
        <w:t>附件1</w:t>
      </w:r>
      <w:bookmarkEnd w:id="0"/>
    </w:p>
    <w:p w14:paraId="41982E96">
      <w:pPr>
        <w:pStyle w:val="8"/>
        <w:jc w:val="center"/>
        <w:rPr>
          <w:rFonts w:hint="eastAsia"/>
          <w:b/>
          <w:sz w:val="32"/>
        </w:rPr>
      </w:pPr>
      <w:r>
        <w:rPr>
          <w:rFonts w:hint="eastAsia"/>
          <w:b/>
          <w:sz w:val="32"/>
        </w:rPr>
        <w:t>采购需求一览表</w:t>
      </w:r>
    </w:p>
    <w:tbl>
      <w:tblPr>
        <w:tblStyle w:val="17"/>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550"/>
        <w:gridCol w:w="1155"/>
        <w:gridCol w:w="825"/>
        <w:gridCol w:w="4883"/>
        <w:gridCol w:w="1086"/>
      </w:tblGrid>
      <w:tr w14:paraId="36402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35" w:hRule="atLeast"/>
          <w:jc w:val="center"/>
        </w:trPr>
        <w:tc>
          <w:tcPr>
            <w:tcW w:w="550" w:type="dxa"/>
            <w:shd w:val="clear" w:color="auto" w:fill="FFFFFF"/>
            <w:vAlign w:val="center"/>
          </w:tcPr>
          <w:p w14:paraId="146106C7">
            <w:pPr>
              <w:widowControl/>
              <w:jc w:val="center"/>
              <w:rPr>
                <w:rFonts w:hint="eastAsia" w:ascii="宋体" w:hAnsi="宋体" w:eastAsia="宋体" w:cs="宋体"/>
                <w:b/>
                <w:kern w:val="0"/>
              </w:rPr>
            </w:pPr>
            <w:r>
              <w:rPr>
                <w:rFonts w:hint="eastAsia" w:ascii="宋体" w:hAnsi="宋体" w:eastAsia="宋体" w:cs="宋体"/>
                <w:b/>
                <w:kern w:val="0"/>
              </w:rPr>
              <w:t>项号</w:t>
            </w:r>
          </w:p>
        </w:tc>
        <w:tc>
          <w:tcPr>
            <w:tcW w:w="1155" w:type="dxa"/>
            <w:shd w:val="clear" w:color="auto" w:fill="FFFFFF"/>
            <w:tcMar>
              <w:left w:w="108" w:type="dxa"/>
              <w:right w:w="108" w:type="dxa"/>
            </w:tcMar>
            <w:vAlign w:val="center"/>
          </w:tcPr>
          <w:p w14:paraId="694DCD18">
            <w:pPr>
              <w:widowControl/>
              <w:jc w:val="center"/>
              <w:rPr>
                <w:rFonts w:hint="eastAsia" w:ascii="宋体" w:hAnsi="宋体" w:eastAsia="宋体" w:cs="宋体"/>
                <w:b/>
                <w:kern w:val="0"/>
              </w:rPr>
            </w:pPr>
            <w:r>
              <w:rPr>
                <w:rFonts w:hint="eastAsia" w:ascii="宋体" w:hAnsi="宋体" w:eastAsia="宋体" w:cs="宋体"/>
                <w:b/>
                <w:kern w:val="0"/>
              </w:rPr>
              <w:t>货物名称</w:t>
            </w:r>
          </w:p>
        </w:tc>
        <w:tc>
          <w:tcPr>
            <w:tcW w:w="825" w:type="dxa"/>
            <w:shd w:val="clear" w:color="auto" w:fill="FFFFFF"/>
            <w:tcMar>
              <w:left w:w="108" w:type="dxa"/>
              <w:right w:w="108" w:type="dxa"/>
            </w:tcMar>
            <w:vAlign w:val="center"/>
          </w:tcPr>
          <w:p w14:paraId="68C1F286">
            <w:pPr>
              <w:widowControl/>
              <w:jc w:val="center"/>
              <w:rPr>
                <w:rFonts w:hint="eastAsia" w:ascii="宋体" w:hAnsi="宋体" w:eastAsia="宋体" w:cs="宋体"/>
                <w:b/>
                <w:kern w:val="0"/>
              </w:rPr>
            </w:pPr>
            <w:r>
              <w:rPr>
                <w:rFonts w:hint="eastAsia" w:ascii="宋体" w:hAnsi="宋体" w:eastAsia="宋体" w:cs="宋体"/>
                <w:b/>
                <w:kern w:val="0"/>
              </w:rPr>
              <w:t>数量</w:t>
            </w:r>
          </w:p>
        </w:tc>
        <w:tc>
          <w:tcPr>
            <w:tcW w:w="4883" w:type="dxa"/>
            <w:shd w:val="clear" w:color="auto" w:fill="FFFFFF"/>
            <w:tcMar>
              <w:left w:w="108" w:type="dxa"/>
              <w:right w:w="108" w:type="dxa"/>
            </w:tcMar>
            <w:vAlign w:val="center"/>
          </w:tcPr>
          <w:p w14:paraId="5B448AFB">
            <w:pPr>
              <w:widowControl/>
              <w:jc w:val="center"/>
              <w:rPr>
                <w:rFonts w:hint="eastAsia" w:ascii="宋体" w:hAnsi="宋体" w:eastAsia="宋体" w:cs="宋体"/>
                <w:b/>
                <w:kern w:val="0"/>
              </w:rPr>
            </w:pPr>
            <w:r>
              <w:rPr>
                <w:rFonts w:hint="eastAsia" w:ascii="宋体" w:hAnsi="宋体" w:eastAsia="宋体" w:cs="宋体"/>
                <w:b/>
                <w:kern w:val="0"/>
              </w:rPr>
              <w:t>技术参数要求</w:t>
            </w:r>
          </w:p>
        </w:tc>
        <w:tc>
          <w:tcPr>
            <w:tcW w:w="1086" w:type="dxa"/>
            <w:shd w:val="clear" w:color="auto" w:fill="FFFFFF"/>
            <w:tcMar>
              <w:left w:w="108" w:type="dxa"/>
              <w:right w:w="108" w:type="dxa"/>
            </w:tcMar>
            <w:vAlign w:val="center"/>
          </w:tcPr>
          <w:p w14:paraId="6F94B066">
            <w:pPr>
              <w:widowControl/>
              <w:jc w:val="center"/>
              <w:rPr>
                <w:rFonts w:hint="eastAsia" w:ascii="宋体" w:hAnsi="宋体" w:eastAsia="宋体" w:cs="宋体"/>
                <w:b/>
                <w:kern w:val="0"/>
              </w:rPr>
            </w:pPr>
            <w:r>
              <w:rPr>
                <w:rFonts w:hint="eastAsia" w:ascii="宋体" w:hAnsi="宋体" w:eastAsia="宋体" w:cs="宋体"/>
                <w:b/>
                <w:kern w:val="0"/>
                <w:lang w:val="en-US" w:eastAsia="zh-CN"/>
              </w:rPr>
              <w:t>分项</w:t>
            </w:r>
            <w:r>
              <w:rPr>
                <w:rFonts w:hint="eastAsia" w:ascii="宋体" w:hAnsi="宋体" w:eastAsia="宋体" w:cs="宋体"/>
                <w:b/>
                <w:kern w:val="0"/>
              </w:rPr>
              <w:t>预算合价（元）</w:t>
            </w:r>
          </w:p>
        </w:tc>
      </w:tr>
      <w:tr w14:paraId="2873D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35" w:hRule="atLeast"/>
          <w:jc w:val="center"/>
        </w:trPr>
        <w:tc>
          <w:tcPr>
            <w:tcW w:w="550" w:type="dxa"/>
            <w:shd w:val="clear" w:color="auto" w:fill="FFFFFF"/>
            <w:vAlign w:val="center"/>
          </w:tcPr>
          <w:p w14:paraId="45865047">
            <w:pPr>
              <w:spacing w:line="360" w:lineRule="exact"/>
              <w:jc w:val="center"/>
              <w:rPr>
                <w:rFonts w:hint="eastAsia" w:ascii="宋体" w:hAnsi="宋体" w:eastAsia="宋体" w:cs="宋体"/>
                <w:szCs w:val="21"/>
              </w:rPr>
            </w:pPr>
            <w:r>
              <w:rPr>
                <w:rFonts w:hint="eastAsia" w:ascii="宋体" w:hAnsi="宋体" w:eastAsia="宋体" w:cs="宋体"/>
                <w:szCs w:val="21"/>
              </w:rPr>
              <w:t>1</w:t>
            </w:r>
          </w:p>
        </w:tc>
        <w:tc>
          <w:tcPr>
            <w:tcW w:w="1155" w:type="dxa"/>
            <w:shd w:val="clear" w:color="auto" w:fill="FFFFFF"/>
            <w:tcMar>
              <w:left w:w="108" w:type="dxa"/>
              <w:right w:w="108" w:type="dxa"/>
            </w:tcMar>
            <w:vAlign w:val="center"/>
          </w:tcPr>
          <w:p w14:paraId="4CC2858A">
            <w:pPr>
              <w:spacing w:line="360" w:lineRule="exact"/>
              <w:rPr>
                <w:rFonts w:hint="eastAsia" w:ascii="宋体" w:hAnsi="宋体" w:eastAsia="宋体" w:cs="宋体"/>
                <w:szCs w:val="21"/>
              </w:rPr>
            </w:pPr>
            <w:r>
              <w:rPr>
                <w:rFonts w:hint="eastAsia" w:ascii="宋体" w:hAnsi="宋体" w:eastAsia="宋体" w:cs="宋体"/>
                <w:szCs w:val="21"/>
              </w:rPr>
              <w:t>安全智能路由器</w:t>
            </w:r>
          </w:p>
        </w:tc>
        <w:tc>
          <w:tcPr>
            <w:tcW w:w="825" w:type="dxa"/>
            <w:shd w:val="clear" w:color="auto" w:fill="FFFFFF"/>
            <w:tcMar>
              <w:left w:w="108" w:type="dxa"/>
              <w:right w:w="108" w:type="dxa"/>
            </w:tcMar>
            <w:vAlign w:val="center"/>
          </w:tcPr>
          <w:p w14:paraId="5D89DF7D">
            <w:pPr>
              <w:spacing w:line="360" w:lineRule="exact"/>
              <w:jc w:val="center"/>
              <w:rPr>
                <w:rFonts w:hint="eastAsia" w:ascii="宋体" w:hAnsi="宋体" w:eastAsia="宋体" w:cs="宋体"/>
                <w:szCs w:val="21"/>
                <w:lang w:val="en-US" w:eastAsia="zh-CN"/>
              </w:rPr>
            </w:pPr>
            <w:r>
              <w:rPr>
                <w:rFonts w:ascii="宋体" w:hAnsi="宋体" w:eastAsia="宋体" w:cs="宋体"/>
                <w:szCs w:val="21"/>
              </w:rPr>
              <w:t>4</w:t>
            </w:r>
            <w:r>
              <w:rPr>
                <w:rFonts w:hint="eastAsia" w:ascii="宋体" w:hAnsi="宋体" w:eastAsia="宋体" w:cs="宋体"/>
                <w:szCs w:val="21"/>
                <w:lang w:val="en-US" w:eastAsia="zh-CN"/>
              </w:rPr>
              <w:t>台</w:t>
            </w:r>
          </w:p>
        </w:tc>
        <w:tc>
          <w:tcPr>
            <w:tcW w:w="4883" w:type="dxa"/>
            <w:shd w:val="clear" w:color="auto" w:fill="FFFFFF"/>
            <w:tcMar>
              <w:left w:w="108" w:type="dxa"/>
              <w:right w:w="108" w:type="dxa"/>
            </w:tcMar>
          </w:tcPr>
          <w:p w14:paraId="3DD736F3">
            <w:pPr>
              <w:spacing w:line="276" w:lineRule="auto"/>
              <w:rPr>
                <w:rFonts w:hint="eastAsia" w:ascii="宋体" w:hAnsi="宋体" w:eastAsia="宋体"/>
                <w:kern w:val="0"/>
                <w:szCs w:val="21"/>
              </w:rPr>
            </w:pPr>
            <w:r>
              <w:rPr>
                <w:rFonts w:hint="eastAsia" w:ascii="宋体" w:hAnsi="宋体" w:eastAsia="宋体"/>
                <w:kern w:val="0"/>
                <w:szCs w:val="21"/>
              </w:rPr>
              <w:t>一、性能参数：</w:t>
            </w:r>
          </w:p>
          <w:p w14:paraId="0463D229">
            <w:pPr>
              <w:spacing w:line="276" w:lineRule="auto"/>
              <w:rPr>
                <w:rFonts w:hint="eastAsia" w:ascii="宋体" w:hAnsi="宋体" w:eastAsia="宋体"/>
                <w:kern w:val="0"/>
                <w:szCs w:val="21"/>
              </w:rPr>
            </w:pPr>
            <w:r>
              <w:rPr>
                <w:rFonts w:hint="eastAsia" w:ascii="宋体" w:hAnsi="宋体" w:eastAsia="宋体"/>
                <w:kern w:val="0"/>
                <w:szCs w:val="21"/>
              </w:rPr>
              <w:t>1、性能指标：防火墙吞吐性能≥300Mbps，</w:t>
            </w:r>
            <w:r>
              <w:rPr>
                <w:rFonts w:hint="eastAsia"/>
              </w:rPr>
              <w:t>IPSEC VPN可加密性能（SM3+SM4）≥60Mbps；</w:t>
            </w:r>
            <w:r>
              <w:rPr>
                <w:rFonts w:hint="eastAsia" w:ascii="宋体" w:hAnsi="宋体" w:eastAsia="宋体"/>
                <w:kern w:val="0"/>
                <w:szCs w:val="21"/>
              </w:rPr>
              <w:t xml:space="preserve"> </w:t>
            </w:r>
          </w:p>
          <w:p w14:paraId="39FFF480">
            <w:pPr>
              <w:spacing w:line="276" w:lineRule="auto"/>
            </w:pPr>
            <w:r>
              <w:rPr>
                <w:rFonts w:hint="eastAsia"/>
              </w:rPr>
              <w:t>2、硬件参数：规格：桌面型，内存大小≥512M，硬盘容量：板载FLASH ≥4GB，电源：单电源，接口：≥5个千兆电口；</w:t>
            </w:r>
          </w:p>
          <w:p w14:paraId="0FFD21B8">
            <w:pPr>
              <w:spacing w:line="276" w:lineRule="auto"/>
              <w:rPr>
                <w:rFonts w:hint="eastAsia" w:ascii="宋体" w:hAnsi="宋体" w:eastAsia="宋体"/>
                <w:kern w:val="0"/>
                <w:szCs w:val="21"/>
              </w:rPr>
            </w:pPr>
            <w:r>
              <w:rPr>
                <w:rFonts w:hint="eastAsia" w:ascii="宋体" w:hAnsi="宋体" w:eastAsia="宋体"/>
                <w:kern w:val="0"/>
                <w:szCs w:val="21"/>
              </w:rPr>
              <w:t>二、功能参数：</w:t>
            </w:r>
          </w:p>
          <w:p w14:paraId="7D035AFE">
            <w:pPr>
              <w:spacing w:line="276" w:lineRule="auto"/>
              <w:rPr>
                <w:rFonts w:hint="eastAsia" w:ascii="宋体" w:hAnsi="宋体" w:eastAsia="宋体"/>
                <w:kern w:val="0"/>
                <w:szCs w:val="21"/>
              </w:rPr>
            </w:pPr>
            <w:r>
              <w:rPr>
                <w:rFonts w:hint="eastAsia" w:ascii="宋体" w:hAnsi="宋体" w:eastAsia="宋体"/>
                <w:kern w:val="0"/>
                <w:szCs w:val="21"/>
              </w:rPr>
              <w:t>1、支持云端开局易部署：管理平台端可导入设备信息，设备首次通电联网后，无需借助邮件、U盘等介质，可自主接入SD-WAN集中管理平台，全自动完成内网地址分配、VPN组网、WIFI账号密码重置、配置策略下发等操作</w:t>
            </w:r>
          </w:p>
          <w:p w14:paraId="04C6C999">
            <w:pPr>
              <w:spacing w:line="276" w:lineRule="auto"/>
              <w:rPr>
                <w:rFonts w:hint="eastAsia" w:ascii="宋体" w:hAnsi="宋体" w:eastAsia="宋体"/>
                <w:kern w:val="0"/>
                <w:szCs w:val="21"/>
              </w:rPr>
            </w:pPr>
            <w:r>
              <w:rPr>
                <w:rFonts w:hint="eastAsia" w:ascii="宋体" w:hAnsi="宋体" w:eastAsia="宋体"/>
                <w:kern w:val="0"/>
                <w:szCs w:val="21"/>
              </w:rPr>
              <w:t>2、设备易部署阶段，可设置是否需要管理员审核才能完成易部署上线操作。</w:t>
            </w:r>
          </w:p>
          <w:p w14:paraId="5930A7DB">
            <w:pPr>
              <w:spacing w:line="276" w:lineRule="auto"/>
              <w:rPr>
                <w:rFonts w:hint="eastAsia" w:ascii="宋体" w:hAnsi="宋体" w:eastAsia="宋体"/>
                <w:kern w:val="0"/>
                <w:szCs w:val="21"/>
              </w:rPr>
            </w:pPr>
            <w:r>
              <w:rPr>
                <w:rFonts w:hint="eastAsia" w:ascii="宋体" w:hAnsi="宋体" w:eastAsia="宋体"/>
                <w:kern w:val="0"/>
                <w:szCs w:val="21"/>
              </w:rPr>
              <w:t>3、支持实时监控设备运行状态，包括CPU、内存使用率，在线用户数、网口运行状态、WAN口流量趋势等信息。</w:t>
            </w:r>
          </w:p>
          <w:p w14:paraId="3AA45C05">
            <w:pPr>
              <w:spacing w:line="276" w:lineRule="auto"/>
              <w:rPr>
                <w:rFonts w:hint="eastAsia" w:ascii="宋体" w:hAnsi="宋体" w:eastAsia="宋体"/>
                <w:kern w:val="0"/>
                <w:szCs w:val="21"/>
              </w:rPr>
            </w:pPr>
            <w:r>
              <w:rPr>
                <w:rFonts w:hint="eastAsia" w:ascii="宋体" w:hAnsi="宋体" w:eastAsia="宋体"/>
                <w:kern w:val="0"/>
                <w:szCs w:val="21"/>
              </w:rPr>
              <w:t>4、支持以图表形式实时展示VPN流量，支持查看最近1小时和最近24小时的设备VPN流量传输情况；（提供产品界面截图并加盖投标人公章）</w:t>
            </w:r>
          </w:p>
          <w:p w14:paraId="4E6AEF07">
            <w:pPr>
              <w:spacing w:line="276" w:lineRule="auto"/>
              <w:rPr>
                <w:rFonts w:hint="eastAsia" w:ascii="宋体" w:hAnsi="宋体" w:eastAsia="宋体"/>
                <w:kern w:val="0"/>
                <w:szCs w:val="21"/>
              </w:rPr>
            </w:pPr>
            <w:r>
              <w:rPr>
                <w:rFonts w:hint="eastAsia" w:ascii="宋体" w:hAnsi="宋体" w:eastAsia="宋体"/>
                <w:kern w:val="0"/>
                <w:szCs w:val="21"/>
              </w:rPr>
              <w:t>5、支持实时监控VPN隧道状态信息，包括连接状态、对端设备名称、对端设备IP、流速、丢包、时延、抖动等；（提供产品界面截图并加盖投标人公章）</w:t>
            </w:r>
            <w:r>
              <w:rPr>
                <w:rFonts w:hint="eastAsia" w:ascii="宋体" w:hAnsi="宋体" w:eastAsia="宋体"/>
                <w:kern w:val="0"/>
                <w:szCs w:val="21"/>
              </w:rPr>
              <w:tab/>
            </w:r>
          </w:p>
          <w:p w14:paraId="7760B6C2">
            <w:pPr>
              <w:spacing w:line="276" w:lineRule="auto"/>
              <w:rPr>
                <w:rFonts w:hint="eastAsia" w:ascii="宋体" w:hAnsi="宋体" w:eastAsia="宋体"/>
                <w:kern w:val="0"/>
                <w:szCs w:val="21"/>
              </w:rPr>
            </w:pPr>
            <w:r>
              <w:rPr>
                <w:rFonts w:hint="eastAsia" w:ascii="宋体" w:hAnsi="宋体" w:eastAsia="宋体"/>
                <w:kern w:val="0"/>
                <w:szCs w:val="21"/>
              </w:rPr>
              <w:t>6、设备自带ping包、DNS解析、ARP命令等工具，支持手动设置时间间隔，自动检测线路运行状态；（提供产品界面截图并加盖投标人公章）</w:t>
            </w:r>
          </w:p>
          <w:p w14:paraId="54501ACD">
            <w:pPr>
              <w:spacing w:line="276" w:lineRule="auto"/>
              <w:rPr>
                <w:rFonts w:hint="eastAsia" w:ascii="宋体" w:hAnsi="宋体" w:eastAsia="宋体"/>
                <w:kern w:val="0"/>
                <w:szCs w:val="21"/>
              </w:rPr>
            </w:pPr>
            <w:r>
              <w:rPr>
                <w:rFonts w:hint="eastAsia" w:ascii="宋体" w:hAnsi="宋体" w:eastAsia="宋体"/>
                <w:kern w:val="0"/>
                <w:szCs w:val="21"/>
              </w:rPr>
              <w:t>7、支持联动radius身份认证服务器，实现WIFI接入统一身份认证；</w:t>
            </w:r>
          </w:p>
          <w:p w14:paraId="2020FAB9">
            <w:pPr>
              <w:spacing w:line="276" w:lineRule="auto"/>
              <w:rPr>
                <w:rFonts w:hint="eastAsia" w:ascii="宋体" w:hAnsi="宋体" w:eastAsia="宋体"/>
                <w:kern w:val="0"/>
                <w:szCs w:val="21"/>
              </w:rPr>
            </w:pPr>
            <w:r>
              <w:rPr>
                <w:rFonts w:hint="eastAsia" w:ascii="宋体" w:hAnsi="宋体" w:eastAsia="宋体"/>
                <w:kern w:val="0"/>
                <w:szCs w:val="21"/>
              </w:rPr>
              <w:t>8、具备基于状态监测技术的防火墙功能，可基于服务、源IP、目的IP、时间自定义防火墙规则；</w:t>
            </w:r>
          </w:p>
          <w:p w14:paraId="2C3F534A">
            <w:pPr>
              <w:spacing w:line="276" w:lineRule="auto"/>
              <w:rPr>
                <w:rFonts w:hint="eastAsia" w:ascii="宋体" w:hAnsi="宋体" w:eastAsia="宋体"/>
                <w:kern w:val="0"/>
                <w:szCs w:val="21"/>
              </w:rPr>
            </w:pPr>
            <w:r>
              <w:rPr>
                <w:rFonts w:hint="eastAsia" w:ascii="宋体" w:hAnsi="宋体" w:eastAsia="宋体"/>
                <w:kern w:val="0"/>
                <w:szCs w:val="21"/>
              </w:rPr>
              <w:t>9、支持针对某一应用按照带宽比例或具体数值的方式设置限制带宽或保障带宽；</w:t>
            </w:r>
          </w:p>
          <w:p w14:paraId="146B0DAF">
            <w:pPr>
              <w:spacing w:line="276" w:lineRule="auto"/>
              <w:rPr>
                <w:rFonts w:hint="eastAsia" w:ascii="宋体" w:hAnsi="宋体" w:eastAsia="宋体"/>
                <w:kern w:val="0"/>
                <w:szCs w:val="21"/>
              </w:rPr>
            </w:pPr>
            <w:r>
              <w:rPr>
                <w:rFonts w:hint="eastAsia" w:ascii="宋体" w:hAnsi="宋体" w:eastAsia="宋体"/>
                <w:kern w:val="0"/>
                <w:szCs w:val="21"/>
              </w:rPr>
              <w:t xml:space="preserve">10、支持联动云端实时获取最新URL库，并实现基于一类URL或单个URL的封堵策略； </w:t>
            </w:r>
          </w:p>
          <w:p w14:paraId="69F8B735">
            <w:pPr>
              <w:spacing w:line="276" w:lineRule="auto"/>
              <w:rPr>
                <w:rFonts w:hint="eastAsia" w:ascii="宋体" w:hAnsi="宋体" w:eastAsia="宋体"/>
                <w:kern w:val="0"/>
                <w:szCs w:val="21"/>
              </w:rPr>
            </w:pPr>
            <w:r>
              <w:rPr>
                <w:rFonts w:hint="eastAsia" w:ascii="宋体" w:hAnsi="宋体" w:eastAsia="宋体"/>
                <w:kern w:val="0"/>
                <w:szCs w:val="21"/>
              </w:rPr>
              <w:t>11、支持对VPN隧道内应用按照带宽比例或具体数值的方式设置限制带宽或保障带宽，且当单一VPN应用被调度到多条线路时，流控策略仍然生效。</w:t>
            </w:r>
          </w:p>
          <w:p w14:paraId="059954C8">
            <w:pPr>
              <w:spacing w:line="276" w:lineRule="auto"/>
              <w:rPr>
                <w:rFonts w:hint="eastAsia" w:ascii="宋体" w:hAnsi="宋体" w:eastAsia="宋体"/>
                <w:kern w:val="0"/>
                <w:szCs w:val="21"/>
              </w:rPr>
            </w:pPr>
            <w:r>
              <w:rPr>
                <w:rFonts w:hint="eastAsia" w:ascii="宋体" w:hAnsi="宋体" w:eastAsia="宋体"/>
                <w:kern w:val="0"/>
                <w:szCs w:val="21"/>
              </w:rPr>
              <w:t>12、支持基于应用智能识别或自定义应用的结果，实现封堵/放开的访问控制</w:t>
            </w:r>
          </w:p>
          <w:p w14:paraId="66563F0A">
            <w:pPr>
              <w:spacing w:line="276" w:lineRule="auto"/>
              <w:rPr>
                <w:rFonts w:hint="eastAsia" w:ascii="宋体" w:hAnsi="宋体" w:eastAsia="宋体"/>
                <w:kern w:val="0"/>
                <w:szCs w:val="21"/>
              </w:rPr>
            </w:pPr>
            <w:r>
              <w:rPr>
                <w:rFonts w:hint="eastAsia" w:ascii="宋体" w:hAnsi="宋体" w:eastAsia="宋体"/>
                <w:kern w:val="0"/>
                <w:szCs w:val="21"/>
              </w:rPr>
              <w:t>13、支持通过FEC前向校验技术优化链路丢包，保障在线路高丢包环境下的应用访问体验。</w:t>
            </w:r>
          </w:p>
          <w:p w14:paraId="15BD604A">
            <w:pPr>
              <w:spacing w:line="276" w:lineRule="auto"/>
              <w:rPr>
                <w:rFonts w:hint="eastAsia" w:ascii="宋体" w:hAnsi="宋体" w:eastAsia="宋体"/>
                <w:kern w:val="0"/>
                <w:szCs w:val="21"/>
              </w:rPr>
            </w:pPr>
            <w:r>
              <w:rPr>
                <w:rFonts w:hint="eastAsia" w:ascii="宋体" w:hAnsi="宋体" w:eastAsia="宋体"/>
                <w:kern w:val="0"/>
                <w:szCs w:val="21"/>
              </w:rPr>
              <w:t>14、支持在集中管理平台端针对不同类型应用可视化展示链路丢包优化效果。</w:t>
            </w:r>
          </w:p>
          <w:p w14:paraId="1D23C1D0">
            <w:pPr>
              <w:spacing w:line="276" w:lineRule="auto"/>
              <w:rPr>
                <w:rFonts w:hint="eastAsia" w:ascii="宋体" w:hAnsi="宋体" w:eastAsia="宋体"/>
                <w:kern w:val="0"/>
                <w:szCs w:val="21"/>
              </w:rPr>
            </w:pPr>
            <w:r>
              <w:rPr>
                <w:rFonts w:hint="eastAsia" w:ascii="宋体" w:hAnsi="宋体" w:eastAsia="宋体"/>
                <w:kern w:val="0"/>
                <w:szCs w:val="21"/>
              </w:rPr>
              <w:t>15、基于 DFI 和 DPI 技术智能识别应用并将应用划分为实时类、交互类、传输类，根据不同类型应用传输要求智能选择最佳线路进行传输，减少人工配置工作量并提高业务访问体验；（提供产品界面截图并加盖投标人公章）</w:t>
            </w:r>
          </w:p>
          <w:p w14:paraId="7FCF149C">
            <w:pPr>
              <w:spacing w:line="276" w:lineRule="auto"/>
              <w:rPr>
                <w:rFonts w:hint="eastAsia" w:ascii="宋体" w:hAnsi="宋体" w:eastAsia="宋体"/>
                <w:kern w:val="0"/>
                <w:szCs w:val="21"/>
              </w:rPr>
            </w:pPr>
            <w:r>
              <w:rPr>
                <w:rFonts w:hint="eastAsia" w:ascii="宋体" w:hAnsi="宋体" w:eastAsia="宋体"/>
                <w:kern w:val="0"/>
                <w:szCs w:val="21"/>
              </w:rPr>
              <w:t xml:space="preserve">16、支持基于QOE参数（时延、丢包、抖动）实时检测每条广域网链路的质量，选择质量最佳的线路进行业务传输 </w:t>
            </w:r>
          </w:p>
          <w:p w14:paraId="44F4B9DE">
            <w:pPr>
              <w:spacing w:line="276" w:lineRule="auto"/>
              <w:rPr>
                <w:rFonts w:hint="eastAsia" w:ascii="宋体" w:hAnsi="宋体" w:eastAsia="宋体"/>
                <w:kern w:val="0"/>
                <w:szCs w:val="21"/>
              </w:rPr>
            </w:pPr>
            <w:r>
              <w:rPr>
                <w:rFonts w:hint="eastAsia" w:ascii="宋体" w:hAnsi="宋体" w:eastAsia="宋体"/>
                <w:kern w:val="0"/>
                <w:szCs w:val="21"/>
              </w:rPr>
              <w:t>17、支持检测线路剩余带宽容量，并将应用流量按照线路剩余带宽容量比例均匀负载传输</w:t>
            </w:r>
          </w:p>
        </w:tc>
        <w:tc>
          <w:tcPr>
            <w:tcW w:w="1086" w:type="dxa"/>
            <w:shd w:val="clear" w:color="auto" w:fill="FFFFFF"/>
            <w:tcMar>
              <w:left w:w="108" w:type="dxa"/>
              <w:right w:w="108" w:type="dxa"/>
            </w:tcMar>
            <w:vAlign w:val="center"/>
          </w:tcPr>
          <w:p w14:paraId="7B8B421A">
            <w:pPr>
              <w:widowControl/>
              <w:jc w:val="center"/>
              <w:rPr>
                <w:rFonts w:hint="default" w:ascii="宋体" w:hAnsi="宋体" w:eastAsia="宋体"/>
                <w:szCs w:val="21"/>
                <w:lang w:val="en-US" w:eastAsia="zh-CN"/>
              </w:rPr>
            </w:pPr>
            <w:r>
              <w:rPr>
                <w:rFonts w:ascii="宋体" w:hAnsi="宋体" w:eastAsia="宋体"/>
                <w:szCs w:val="21"/>
              </w:rPr>
              <w:t>21880</w:t>
            </w:r>
            <w:r>
              <w:rPr>
                <w:rFonts w:hint="eastAsia" w:ascii="宋体" w:hAnsi="宋体" w:eastAsia="宋体"/>
                <w:szCs w:val="21"/>
                <w:lang w:val="en-US" w:eastAsia="zh-CN"/>
              </w:rPr>
              <w:t>.00元</w:t>
            </w:r>
          </w:p>
        </w:tc>
      </w:tr>
      <w:tr w14:paraId="1A3E3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35" w:hRule="atLeast"/>
          <w:jc w:val="center"/>
        </w:trPr>
        <w:tc>
          <w:tcPr>
            <w:tcW w:w="550" w:type="dxa"/>
            <w:shd w:val="clear" w:color="auto" w:fill="FFFFFF"/>
            <w:vAlign w:val="center"/>
          </w:tcPr>
          <w:p w14:paraId="0CF11F91">
            <w:pPr>
              <w:spacing w:line="360" w:lineRule="exact"/>
              <w:jc w:val="center"/>
              <w:rPr>
                <w:rFonts w:hint="eastAsia" w:ascii="宋体" w:hAnsi="宋体" w:eastAsia="宋体" w:cs="宋体"/>
                <w:szCs w:val="21"/>
                <w:lang w:val="en-US" w:eastAsia="zh-CN"/>
              </w:rPr>
            </w:pPr>
            <w:r>
              <w:rPr>
                <w:rFonts w:hint="eastAsia" w:ascii="宋体" w:hAnsi="宋体" w:eastAsia="宋体" w:cs="宋体"/>
                <w:szCs w:val="21"/>
                <w:lang w:val="en-US" w:eastAsia="zh-CN"/>
              </w:rPr>
              <w:t>2</w:t>
            </w:r>
          </w:p>
        </w:tc>
        <w:tc>
          <w:tcPr>
            <w:tcW w:w="1155" w:type="dxa"/>
            <w:shd w:val="clear" w:color="auto" w:fill="FFFFFF"/>
            <w:tcMar>
              <w:left w:w="108" w:type="dxa"/>
              <w:right w:w="108" w:type="dxa"/>
            </w:tcMar>
            <w:vAlign w:val="center"/>
          </w:tcPr>
          <w:p w14:paraId="7A42FDF1">
            <w:pPr>
              <w:spacing w:line="360" w:lineRule="exact"/>
              <w:rPr>
                <w:rFonts w:hint="eastAsia" w:ascii="宋体" w:hAnsi="宋体" w:eastAsia="宋体" w:cs="宋体"/>
                <w:szCs w:val="21"/>
              </w:rPr>
            </w:pPr>
            <w:r>
              <w:rPr>
                <w:rFonts w:hint="eastAsia" w:ascii="宋体" w:hAnsi="宋体" w:eastAsia="宋体" w:cs="宋体"/>
                <w:szCs w:val="21"/>
              </w:rPr>
              <w:t>VPN网关</w:t>
            </w:r>
          </w:p>
        </w:tc>
        <w:tc>
          <w:tcPr>
            <w:tcW w:w="825" w:type="dxa"/>
            <w:shd w:val="clear" w:color="auto" w:fill="FFFFFF"/>
            <w:tcMar>
              <w:left w:w="108" w:type="dxa"/>
              <w:right w:w="108" w:type="dxa"/>
            </w:tcMar>
            <w:vAlign w:val="center"/>
          </w:tcPr>
          <w:p w14:paraId="7983CA3B">
            <w:pPr>
              <w:spacing w:line="360" w:lineRule="exact"/>
              <w:jc w:val="center"/>
              <w:rPr>
                <w:rFonts w:hint="default" w:ascii="宋体" w:hAnsi="宋体" w:eastAsia="宋体" w:cs="宋体"/>
                <w:szCs w:val="21"/>
                <w:lang w:val="en-US" w:eastAsia="zh-CN"/>
              </w:rPr>
            </w:pPr>
            <w:r>
              <w:rPr>
                <w:rFonts w:hint="eastAsia" w:ascii="宋体" w:hAnsi="宋体" w:eastAsia="宋体" w:cs="宋体"/>
                <w:szCs w:val="21"/>
                <w:lang w:val="en-US" w:eastAsia="zh-CN"/>
              </w:rPr>
              <w:t>1台</w:t>
            </w:r>
          </w:p>
        </w:tc>
        <w:tc>
          <w:tcPr>
            <w:tcW w:w="4883" w:type="dxa"/>
            <w:shd w:val="clear" w:color="auto" w:fill="FFFFFF"/>
            <w:tcMar>
              <w:left w:w="108" w:type="dxa"/>
              <w:right w:w="108" w:type="dxa"/>
            </w:tcMar>
          </w:tcPr>
          <w:p w14:paraId="394780BB">
            <w:r>
              <w:rPr>
                <w:rFonts w:hint="eastAsia"/>
              </w:rPr>
              <w:t>一、性能参数：</w:t>
            </w:r>
          </w:p>
          <w:p w14:paraId="07225B95">
            <w:r>
              <w:rPr>
                <w:rFonts w:hint="eastAsia"/>
              </w:rPr>
              <w:t>1、性能参数：SSL最大理论加密流量（Mbps）≥300Mbps，SSL最大理论并发用户数≥600，IPSec加密最大流量（Mbps）≥100，IPSec理论并发隧道数（Tunnel）≥1000。</w:t>
            </w:r>
          </w:p>
          <w:p w14:paraId="4C2007D8">
            <w:r>
              <w:rPr>
                <w:rFonts w:hint="eastAsia"/>
              </w:rPr>
              <w:t>2、硬件参数：规格：1U，内存大小≥16G，硬盘容量≥128G SSD，电源：单电源，接口：≥6个千兆电口，≥4个千兆光口SFP；</w:t>
            </w:r>
          </w:p>
          <w:p w14:paraId="03D9C376">
            <w:r>
              <w:rPr>
                <w:rFonts w:hint="eastAsia"/>
              </w:rPr>
              <w:t>3、实配≥30个SSL VPN 授权；</w:t>
            </w:r>
          </w:p>
          <w:p w14:paraId="542C3F1D">
            <w:r>
              <w:rPr>
                <w:rFonts w:hint="eastAsia"/>
              </w:rPr>
              <w:t>二、功能参数：</w:t>
            </w:r>
          </w:p>
          <w:p w14:paraId="407E0CAF">
            <w:r>
              <w:rPr>
                <w:rFonts w:hint="eastAsia"/>
              </w:rPr>
              <w:t>1、为了满足灵活部署的要求，控制中心应支持IPV4/IPV6双栈网络IP配置，可自主选择配置LAN口或WAN口；</w:t>
            </w:r>
          </w:p>
          <w:p w14:paraId="3EB9648D">
            <w:r>
              <w:rPr>
                <w:rFonts w:hint="eastAsia"/>
              </w:rPr>
              <w:t>2、为充分利用设备的网络性能，控制中心部署时支持配置聚合网口，并支持将聚合网口作为控制中心的网络部署IP，聚合网口支持通过哈希或802.3ad等标准对闲置网口进行网口绑定，支持通过ARP探测机制对聚合网口进行健康检查；</w:t>
            </w:r>
          </w:p>
          <w:p w14:paraId="695339EE">
            <w:r>
              <w:rPr>
                <w:rFonts w:hint="eastAsia"/>
              </w:rPr>
              <w:t>3、为了使系统资源利用最大化，本地集群与分布式集群下各节点的零信任授权数均可共享使用，集群的总接入授权数是各节点授权数的总和；（提供产品界面截图并加盖投标人公章）</w:t>
            </w:r>
          </w:p>
          <w:p w14:paraId="38E24EF4">
            <w:r>
              <w:rPr>
                <w:rFonts w:hint="eastAsia"/>
              </w:rPr>
              <w:t>4、集群故障切换时间优化，被动故障不超过60S，主动故障不超过100S恢复；</w:t>
            </w:r>
          </w:p>
          <w:p w14:paraId="5CFBCB45">
            <w:r>
              <w:rPr>
                <w:rFonts w:hint="eastAsia"/>
              </w:rPr>
              <w:t>5、通过隧道模式，可以支持基于TCP、UDP、ICMP等协议代理访问业务资源，支持发布IP、IP范围、IP段、具体域名及通配符域名等形式的服务器地址，满足常见办公业务的代理，收缩业务暴露面；</w:t>
            </w:r>
          </w:p>
          <w:p w14:paraId="42B1EDBC">
            <w:r>
              <w:rPr>
                <w:rFonts w:hint="eastAsia"/>
              </w:rPr>
              <w:t>6、支持配置点击工作台的业务应用即可直接拉起对应的CS程序进行访问，包括但不限于浏览器、远程桌面或其他指定程序，支持Windows、macOS、统信UOS、麒麟kylin、Ubuntu等主流操作系统，针对Windows系统，还应支持拉起CS应用时携带启动参数，自动访问管理员设定的地址；</w:t>
            </w:r>
          </w:p>
          <w:p w14:paraId="3EFA0CB4">
            <w:r>
              <w:rPr>
                <w:rFonts w:hint="eastAsia"/>
              </w:rPr>
              <w:t>7、★当客户端通过CDN加速等代理方式接入访问业务系统时，支持获取CDN加速前的访问IP，并在日志中记录此IP为客户端IP；（提供产品界面截图并加盖投标人公章）</w:t>
            </w:r>
          </w:p>
          <w:p w14:paraId="19C63334">
            <w:r>
              <w:rPr>
                <w:rFonts w:hint="eastAsia"/>
              </w:rPr>
              <w:t>8、为满足单位多样化安全便捷认证需求，支持以下认证方式：本地账号密码认证、LDAP/AD认证、OAuth2.0标准协议的票据认证、CAS标准协议的票据认证、Radius账号认证、HTTPS帐号认证、证书主认证、证书辅认证、短信主认证、短信辅认证、标准Radius令牌认证、第三方令牌认证、TOTP动态令牌认证等认证方式，并可与企业微信、阿里钉钉、飞书结合实现扫码认证，支持飞书用户或个人微信企业号通过H5接入；</w:t>
            </w:r>
          </w:p>
          <w:p w14:paraId="63A71540">
            <w:r>
              <w:rPr>
                <w:rFonts w:hint="eastAsia"/>
              </w:rPr>
              <w:t>9、支持管理员自行配置单位的弱密码库，可配置不少于10W行的弱密码；</w:t>
            </w:r>
          </w:p>
          <w:p w14:paraId="1BE71D68">
            <w:r>
              <w:rPr>
                <w:rFonts w:hint="eastAsia"/>
              </w:rPr>
              <w:t>10、为方便管理员统筹查看管理零信任系统的整体运行状态，支持对设备自身的安全状态和策略配置进行巡检，对设备的整体状态进行打分，统计所有检查的正常项、异常项和告警项，并输出巡检报告；</w:t>
            </w:r>
          </w:p>
          <w:p w14:paraId="0C5FDA81">
            <w:r>
              <w:rPr>
                <w:rFonts w:hint="eastAsia"/>
              </w:rPr>
              <w:t>11、可扩展支持文件加密功能，支持“一文一密”即每个文件独立密钥，以确保沙箱组件被卸载、模块驱动被摘除的情况下，终端用户仍无法明文取出文件；（提供产品界面截图并加盖投标人公章）</w:t>
            </w:r>
          </w:p>
          <w:p w14:paraId="544E316C">
            <w:r>
              <w:rPr>
                <w:rFonts w:hint="eastAsia"/>
              </w:rPr>
              <w:t>12、监控中心扩展支持管理员直接在控制台查看接入零信任系统的安全概览，包括但不限于TOP5 的风险IP、风险账号、风险终端等风险实体，以及零信任设备、账号、终端相关的风险事件分布、风险事件趋势、TOP5风险事件类型等展示；（提供产品界面截图并加盖投标人公章）</w:t>
            </w:r>
          </w:p>
          <w:p w14:paraId="56CADCAB">
            <w:r>
              <w:rPr>
                <w:rFonts w:hint="eastAsia"/>
              </w:rPr>
              <w:t>13、支持对客户端的工作台标签、欢迎语标题、接入按钮、办公提示语等信息进行自定义配置；</w:t>
            </w:r>
          </w:p>
          <w:p w14:paraId="694166C1">
            <w:pPr>
              <w:spacing w:line="276" w:lineRule="auto"/>
              <w:rPr>
                <w:rFonts w:hint="eastAsia" w:ascii="宋体" w:hAnsi="宋体" w:eastAsiaTheme="minorEastAsia"/>
                <w:kern w:val="0"/>
                <w:szCs w:val="21"/>
                <w:lang w:val="en-US" w:eastAsia="zh-CN"/>
              </w:rPr>
            </w:pPr>
            <w:r>
              <w:rPr>
                <w:rFonts w:hint="eastAsia"/>
              </w:rPr>
              <w:t>14、可扩展支持行为洞察分析能力，系统支持通过还原用户接入系统后的会话信息，对用户访问行为进行自动分析并智能生成分析报告，支持展示整个访问过程（包含涉及的用户、终端、IP等实体，登录过程，访问过程等），支持对关联的终端进行整体分析（终端信息、产生过的安全日志、登录过的用户、接入过的IP等）</w:t>
            </w:r>
            <w:r>
              <w:rPr>
                <w:rFonts w:hint="eastAsia"/>
                <w:lang w:eastAsia="zh-CN"/>
              </w:rPr>
              <w:t>。</w:t>
            </w:r>
          </w:p>
        </w:tc>
        <w:tc>
          <w:tcPr>
            <w:tcW w:w="1086" w:type="dxa"/>
            <w:shd w:val="clear" w:color="auto" w:fill="FFFFFF"/>
            <w:tcMar>
              <w:left w:w="108" w:type="dxa"/>
              <w:right w:w="108" w:type="dxa"/>
            </w:tcMar>
            <w:vAlign w:val="center"/>
          </w:tcPr>
          <w:p w14:paraId="4B097C96">
            <w:pPr>
              <w:widowControl/>
              <w:jc w:val="center"/>
              <w:rPr>
                <w:rFonts w:hint="default" w:ascii="宋体" w:hAnsi="宋体" w:eastAsia="宋体"/>
                <w:szCs w:val="21"/>
                <w:lang w:val="en-US" w:eastAsia="zh-CN"/>
              </w:rPr>
            </w:pPr>
            <w:r>
              <w:rPr>
                <w:rFonts w:hint="eastAsia" w:ascii="宋体" w:hAnsi="宋体" w:eastAsia="宋体"/>
                <w:szCs w:val="21"/>
              </w:rPr>
              <w:t>38160</w:t>
            </w:r>
            <w:r>
              <w:rPr>
                <w:rFonts w:hint="eastAsia" w:ascii="宋体" w:hAnsi="宋体" w:eastAsia="宋体"/>
                <w:szCs w:val="21"/>
                <w:lang w:val="en-US" w:eastAsia="zh-CN"/>
              </w:rPr>
              <w:t>.00元</w:t>
            </w:r>
          </w:p>
        </w:tc>
      </w:tr>
      <w:tr w14:paraId="5003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35" w:hRule="atLeast"/>
          <w:jc w:val="center"/>
        </w:trPr>
        <w:tc>
          <w:tcPr>
            <w:tcW w:w="550" w:type="dxa"/>
            <w:shd w:val="clear" w:color="auto" w:fill="FFFFFF"/>
            <w:vAlign w:val="center"/>
          </w:tcPr>
          <w:p w14:paraId="23643B8D">
            <w:pPr>
              <w:spacing w:line="360" w:lineRule="exact"/>
              <w:jc w:val="center"/>
              <w:rPr>
                <w:rFonts w:hint="eastAsia" w:ascii="宋体" w:hAnsi="宋体" w:eastAsia="宋体" w:cs="宋体"/>
                <w:szCs w:val="21"/>
              </w:rPr>
            </w:pPr>
            <w:r>
              <w:rPr>
                <w:rFonts w:hint="eastAsia" w:ascii="宋体" w:hAnsi="宋体" w:eastAsia="宋体" w:cs="宋体"/>
                <w:kern w:val="0"/>
              </w:rPr>
              <w:t>商务条款</w:t>
            </w:r>
          </w:p>
        </w:tc>
        <w:tc>
          <w:tcPr>
            <w:tcW w:w="7949" w:type="dxa"/>
            <w:gridSpan w:val="4"/>
            <w:shd w:val="clear" w:color="auto" w:fill="FFFFFF"/>
            <w:tcMar>
              <w:left w:w="108" w:type="dxa"/>
              <w:right w:w="108" w:type="dxa"/>
            </w:tcMar>
            <w:vAlign w:val="center"/>
          </w:tcPr>
          <w:p w14:paraId="33E73399">
            <w:pPr>
              <w:numPr>
                <w:ilvl w:val="0"/>
                <w:numId w:val="4"/>
              </w:numPr>
              <w:spacing w:line="360" w:lineRule="exact"/>
              <w:rPr>
                <w:rFonts w:hint="eastAsia" w:ascii="宋体" w:hAnsi="宋体" w:eastAsia="宋体"/>
              </w:rPr>
            </w:pPr>
            <w:r>
              <w:rPr>
                <w:rFonts w:hint="eastAsia" w:ascii="宋体" w:hAnsi="宋体" w:eastAsia="宋体"/>
              </w:rPr>
              <w:t>合同签订日期：采购结果公告后</w:t>
            </w:r>
            <w:r>
              <w:rPr>
                <w:rFonts w:hint="eastAsia" w:ascii="宋体" w:hAnsi="宋体" w:eastAsia="宋体"/>
                <w:lang w:val="en-US" w:eastAsia="zh-CN"/>
              </w:rPr>
              <w:t>14</w:t>
            </w:r>
            <w:r>
              <w:rPr>
                <w:rFonts w:hint="eastAsia" w:ascii="宋体" w:hAnsi="宋体" w:eastAsia="宋体"/>
              </w:rPr>
              <w:t>个工作日内。</w:t>
            </w:r>
          </w:p>
          <w:p w14:paraId="47B33146">
            <w:pPr>
              <w:widowControl/>
              <w:shd w:val="clear" w:color="auto" w:fill="FFFFFF"/>
              <w:rPr>
                <w:rFonts w:hint="eastAsia" w:ascii="宋体" w:hAnsi="宋体" w:eastAsia="宋体"/>
              </w:rPr>
            </w:pPr>
            <w:r>
              <w:rPr>
                <w:rFonts w:hint="eastAsia" w:ascii="宋体" w:hAnsi="宋体" w:eastAsia="宋体"/>
              </w:rPr>
              <w:t>二、交货期：自合同签订之日起</w:t>
            </w:r>
            <w:r>
              <w:rPr>
                <w:rFonts w:hint="eastAsia" w:ascii="宋体" w:hAnsi="宋体" w:eastAsia="宋体"/>
                <w:u w:val="single"/>
              </w:rPr>
              <w:t xml:space="preserve"> </w:t>
            </w:r>
            <w:r>
              <w:rPr>
                <w:rFonts w:ascii="宋体" w:hAnsi="宋体" w:eastAsia="宋体"/>
                <w:u w:val="single"/>
              </w:rPr>
              <w:t>7</w:t>
            </w:r>
            <w:r>
              <w:rPr>
                <w:rFonts w:hint="eastAsia" w:ascii="宋体" w:hAnsi="宋体" w:eastAsia="宋体"/>
                <w:u w:val="single"/>
              </w:rPr>
              <w:t xml:space="preserve"> </w:t>
            </w:r>
            <w:r>
              <w:rPr>
                <w:rFonts w:hint="eastAsia" w:ascii="宋体" w:hAnsi="宋体" w:eastAsia="宋体"/>
              </w:rPr>
              <w:t>日内。</w:t>
            </w:r>
          </w:p>
          <w:p w14:paraId="40762937">
            <w:pPr>
              <w:widowControl/>
              <w:shd w:val="clear" w:color="auto" w:fill="FFFFFF"/>
              <w:rPr>
                <w:rFonts w:hint="eastAsia" w:ascii="宋体" w:hAnsi="宋体" w:eastAsia="宋体"/>
                <w:bCs/>
                <w:u w:val="single"/>
              </w:rPr>
            </w:pPr>
            <w:r>
              <w:rPr>
                <w:rFonts w:hint="eastAsia" w:ascii="宋体" w:hAnsi="宋体" w:eastAsia="宋体"/>
              </w:rPr>
              <w:t>三、交货地点：</w:t>
            </w:r>
            <w:r>
              <w:rPr>
                <w:rFonts w:hint="eastAsia" w:ascii="宋体" w:hAnsi="宋体" w:eastAsia="宋体"/>
                <w:bCs/>
                <w:u w:val="single"/>
              </w:rPr>
              <w:t xml:space="preserve">  南宁</w:t>
            </w:r>
            <w:r>
              <w:rPr>
                <w:rFonts w:ascii="宋体" w:hAnsi="宋体" w:eastAsia="宋体"/>
                <w:bCs/>
                <w:u w:val="single"/>
              </w:rPr>
              <w:t>中心</w:t>
            </w:r>
            <w:r>
              <w:rPr>
                <w:rFonts w:hint="eastAsia" w:ascii="宋体" w:hAnsi="宋体" w:eastAsia="宋体"/>
                <w:bCs/>
                <w:u w:val="single"/>
              </w:rPr>
              <w:t xml:space="preserve">血站   </w:t>
            </w:r>
          </w:p>
          <w:p w14:paraId="1017F435">
            <w:pPr>
              <w:widowControl/>
              <w:shd w:val="clear" w:color="auto" w:fill="FFFFFF"/>
              <w:rPr>
                <w:rFonts w:hint="eastAsia" w:ascii="宋体" w:hAnsi="宋体" w:eastAsia="宋体"/>
                <w:sz w:val="24"/>
              </w:rPr>
            </w:pPr>
            <w:r>
              <w:rPr>
                <w:rFonts w:hint="eastAsia" w:ascii="宋体" w:hAnsi="宋体" w:eastAsia="宋体"/>
                <w:bCs/>
              </w:rPr>
              <w:t>四、交货方式：现场交货</w:t>
            </w:r>
          </w:p>
          <w:p w14:paraId="020044D6">
            <w:pPr>
              <w:pStyle w:val="23"/>
              <w:spacing w:line="340" w:lineRule="exact"/>
              <w:ind w:right="86" w:rightChars="41"/>
              <w:rPr>
                <w:rFonts w:hint="eastAsia" w:ascii="宋体" w:hAnsi="宋体"/>
                <w:color w:val="auto"/>
                <w:sz w:val="21"/>
                <w:szCs w:val="21"/>
              </w:rPr>
            </w:pPr>
            <w:r>
              <w:rPr>
                <w:rFonts w:hint="eastAsia" w:ascii="宋体" w:hAnsi="宋体"/>
                <w:color w:val="auto"/>
                <w:sz w:val="21"/>
                <w:szCs w:val="21"/>
              </w:rPr>
              <w:t>五</w:t>
            </w:r>
            <w:r>
              <w:rPr>
                <w:rFonts w:ascii="宋体" w:hAnsi="宋体"/>
                <w:color w:val="auto"/>
                <w:sz w:val="21"/>
                <w:szCs w:val="21"/>
              </w:rPr>
              <w:t>、</w:t>
            </w:r>
            <w:r>
              <w:rPr>
                <w:rFonts w:hint="eastAsia" w:ascii="宋体" w:hAnsi="宋体"/>
                <w:color w:val="auto"/>
                <w:sz w:val="21"/>
                <w:szCs w:val="21"/>
              </w:rPr>
              <w:t>售后服务及要求：</w:t>
            </w:r>
          </w:p>
          <w:p w14:paraId="5F5D8654">
            <w:pPr>
              <w:spacing w:line="340" w:lineRule="exact"/>
              <w:ind w:left="420" w:leftChars="100" w:right="-17" w:rightChars="-8" w:hanging="210" w:hangingChars="100"/>
              <w:rPr>
                <w:rFonts w:hint="eastAsia" w:ascii="宋体" w:hAnsi="宋体" w:eastAsia="宋体"/>
                <w:szCs w:val="21"/>
              </w:rPr>
            </w:pPr>
            <w:r>
              <w:rPr>
                <w:rFonts w:hint="eastAsia" w:ascii="宋体" w:hAnsi="宋体" w:eastAsia="宋体"/>
                <w:szCs w:val="21"/>
              </w:rPr>
              <w:t>1、按国家有关产品“三包”规定执行“三包”，设备软件版本</w:t>
            </w:r>
            <w:r>
              <w:rPr>
                <w:rFonts w:ascii="宋体" w:hAnsi="宋体" w:eastAsia="宋体"/>
                <w:szCs w:val="21"/>
              </w:rPr>
              <w:t>1</w:t>
            </w:r>
            <w:r>
              <w:rPr>
                <w:rFonts w:hint="eastAsia" w:ascii="宋体" w:hAnsi="宋体" w:eastAsia="宋体"/>
                <w:szCs w:val="21"/>
              </w:rPr>
              <w:t>年内可免费升级，到期前1个月内成交人应负责一次免费全面检查。</w:t>
            </w:r>
          </w:p>
          <w:p w14:paraId="21F73463">
            <w:pPr>
              <w:spacing w:line="340" w:lineRule="exact"/>
              <w:ind w:left="525" w:leftChars="100" w:hanging="315" w:hangingChars="150"/>
              <w:rPr>
                <w:rFonts w:hint="eastAsia" w:ascii="宋体" w:hAnsi="宋体" w:eastAsia="宋体"/>
                <w:szCs w:val="21"/>
              </w:rPr>
            </w:pPr>
            <w:r>
              <w:rPr>
                <w:rFonts w:hint="eastAsia" w:ascii="宋体" w:hAnsi="宋体" w:eastAsia="宋体"/>
                <w:szCs w:val="21"/>
              </w:rPr>
              <w:t>2、免费送货上门，免费负责调试合格。</w:t>
            </w:r>
          </w:p>
          <w:p w14:paraId="23A18BB7">
            <w:pPr>
              <w:spacing w:line="340" w:lineRule="exact"/>
              <w:ind w:left="525" w:leftChars="100" w:hanging="315" w:hangingChars="150"/>
              <w:rPr>
                <w:rFonts w:hint="eastAsia" w:ascii="宋体" w:hAnsi="宋体" w:eastAsia="宋体"/>
                <w:szCs w:val="21"/>
              </w:rPr>
            </w:pPr>
            <w:r>
              <w:rPr>
                <w:rFonts w:hint="eastAsia" w:ascii="宋体" w:hAnsi="宋体" w:eastAsia="宋体"/>
                <w:szCs w:val="21"/>
              </w:rPr>
              <w:t>3、现场培训1～2名相关人员设备操作、维修及日常维护，所需工具、器材由中标供应商自理。</w:t>
            </w:r>
          </w:p>
          <w:p w14:paraId="0779A57B">
            <w:pPr>
              <w:spacing w:line="340" w:lineRule="exact"/>
              <w:ind w:left="420" w:leftChars="100" w:hanging="210" w:hangingChars="100"/>
              <w:rPr>
                <w:rFonts w:hint="eastAsia" w:ascii="宋体" w:hAnsi="宋体" w:eastAsia="宋体"/>
                <w:szCs w:val="21"/>
              </w:rPr>
            </w:pPr>
            <w:r>
              <w:rPr>
                <w:rFonts w:ascii="宋体" w:hAnsi="宋体" w:eastAsia="宋体"/>
                <w:szCs w:val="21"/>
              </w:rPr>
              <w:t>4</w:t>
            </w:r>
            <w:r>
              <w:rPr>
                <w:rFonts w:hint="eastAsia" w:ascii="宋体" w:hAnsi="宋体" w:eastAsia="宋体"/>
                <w:szCs w:val="21"/>
              </w:rPr>
              <w:t>、定期回访以及对设备维护。</w:t>
            </w:r>
          </w:p>
          <w:p w14:paraId="60CE036C">
            <w:pPr>
              <w:spacing w:line="340" w:lineRule="exact"/>
              <w:ind w:left="420" w:leftChars="100" w:hanging="210" w:hangingChars="100"/>
              <w:rPr>
                <w:rFonts w:hint="eastAsia" w:ascii="宋体" w:hAnsi="宋体" w:eastAsia="宋体"/>
                <w:szCs w:val="21"/>
              </w:rPr>
            </w:pPr>
            <w:r>
              <w:rPr>
                <w:rFonts w:hint="eastAsia" w:ascii="宋体" w:hAnsi="宋体" w:eastAsia="宋体"/>
                <w:szCs w:val="21"/>
              </w:rPr>
              <w:t>5、验收方法：</w:t>
            </w:r>
          </w:p>
          <w:p w14:paraId="5A6638B9">
            <w:pPr>
              <w:spacing w:line="340" w:lineRule="exact"/>
              <w:ind w:left="420" w:leftChars="200" w:firstLine="420" w:firstLineChars="200"/>
              <w:rPr>
                <w:rFonts w:hint="eastAsia" w:ascii="宋体" w:hAnsi="宋体" w:eastAsia="宋体"/>
                <w:szCs w:val="21"/>
              </w:rPr>
            </w:pPr>
            <w:r>
              <w:rPr>
                <w:rFonts w:hint="eastAsia" w:ascii="宋体" w:hAnsi="宋体" w:eastAsia="宋体"/>
                <w:szCs w:val="21"/>
                <w:lang w:val="en-US" w:eastAsia="zh-CN"/>
              </w:rPr>
              <w:t>成交</w:t>
            </w:r>
            <w:r>
              <w:rPr>
                <w:rFonts w:ascii="宋体" w:hAnsi="宋体" w:eastAsia="宋体"/>
                <w:szCs w:val="21"/>
              </w:rPr>
              <w:t>供应商应负责</w:t>
            </w:r>
            <w:r>
              <w:rPr>
                <w:rFonts w:hint="eastAsia" w:ascii="宋体" w:hAnsi="宋体" w:eastAsia="宋体"/>
                <w:szCs w:val="21"/>
              </w:rPr>
              <w:t>相关设备的安装调试，并对采购</w:t>
            </w:r>
            <w:r>
              <w:rPr>
                <w:rFonts w:ascii="宋体" w:hAnsi="宋体" w:eastAsia="宋体"/>
                <w:szCs w:val="21"/>
              </w:rPr>
              <w:t>单位</w:t>
            </w:r>
            <w:r>
              <w:rPr>
                <w:rFonts w:hint="eastAsia" w:ascii="宋体" w:hAnsi="宋体" w:eastAsia="宋体"/>
                <w:szCs w:val="21"/>
              </w:rPr>
              <w:t>相关产品的网络</w:t>
            </w:r>
            <w:r>
              <w:rPr>
                <w:rFonts w:ascii="宋体" w:hAnsi="宋体" w:eastAsia="宋体"/>
                <w:szCs w:val="21"/>
              </w:rPr>
              <w:t>及安全设备</w:t>
            </w:r>
            <w:r>
              <w:rPr>
                <w:rFonts w:hint="eastAsia" w:ascii="宋体" w:hAnsi="宋体" w:eastAsia="宋体"/>
                <w:szCs w:val="21"/>
              </w:rPr>
              <w:t>的</w:t>
            </w:r>
            <w:r>
              <w:rPr>
                <w:rFonts w:ascii="宋体" w:hAnsi="宋体" w:eastAsia="宋体"/>
                <w:szCs w:val="21"/>
              </w:rPr>
              <w:t>整体集成调试，</w:t>
            </w:r>
            <w:r>
              <w:rPr>
                <w:rFonts w:hint="eastAsia" w:ascii="宋体" w:hAnsi="宋体" w:eastAsia="宋体"/>
                <w:szCs w:val="21"/>
              </w:rPr>
              <w:t>要求能与原有网络设备兼容实现血站整体网络互联互通，并满足商用密码认证中对于IPSec VPN和SSL VPN的技术要求。调试过程中需保证单位网络以及分支机构对总部业务系统的正常访问，达不到要求的不予验收，视为产品验收不合格，采购单位可解除双方的供货合同并追究投标人经济责任。</w:t>
            </w:r>
          </w:p>
          <w:p w14:paraId="1E9B0007">
            <w:pPr>
              <w:spacing w:line="340" w:lineRule="exact"/>
              <w:ind w:left="2" w:right="-17" w:rightChars="-8"/>
              <w:rPr>
                <w:rFonts w:hint="eastAsia" w:ascii="宋体" w:hAnsi="宋体" w:eastAsia="宋体"/>
                <w:szCs w:val="21"/>
              </w:rPr>
            </w:pPr>
            <w:r>
              <w:rPr>
                <w:rFonts w:hint="eastAsia" w:ascii="宋体" w:hAnsi="宋体" w:eastAsia="宋体"/>
                <w:szCs w:val="21"/>
              </w:rPr>
              <w:t>六、其他要求：</w:t>
            </w:r>
          </w:p>
          <w:p w14:paraId="3B5CD8D2">
            <w:pPr>
              <w:spacing w:line="420" w:lineRule="exact"/>
              <w:rPr>
                <w:rFonts w:hint="eastAsia" w:ascii="宋体" w:hAnsi="宋体" w:eastAsia="宋体"/>
                <w:szCs w:val="21"/>
              </w:rPr>
            </w:pPr>
            <w:r>
              <w:rPr>
                <w:rFonts w:hint="eastAsia" w:ascii="宋体" w:hAnsi="宋体" w:eastAsia="宋体"/>
                <w:szCs w:val="21"/>
              </w:rPr>
              <w:t>1、报价为采购人指定地点的现场交货价，包括：</w:t>
            </w:r>
          </w:p>
          <w:p w14:paraId="73F6C6AE">
            <w:pPr>
              <w:spacing w:line="420" w:lineRule="exact"/>
              <w:rPr>
                <w:rFonts w:hint="eastAsia" w:ascii="宋体" w:hAnsi="宋体" w:eastAsia="宋体"/>
                <w:szCs w:val="21"/>
              </w:rPr>
            </w:pPr>
            <w:r>
              <w:rPr>
                <w:rFonts w:hint="eastAsia" w:ascii="宋体" w:hAnsi="宋体" w:eastAsia="宋体"/>
                <w:szCs w:val="21"/>
              </w:rPr>
              <w:t>（1）货物的价格；</w:t>
            </w:r>
          </w:p>
          <w:p w14:paraId="5D30EB9C">
            <w:pPr>
              <w:spacing w:line="420" w:lineRule="exact"/>
              <w:rPr>
                <w:rFonts w:hint="eastAsia" w:ascii="宋体" w:hAnsi="宋体" w:eastAsia="宋体"/>
                <w:szCs w:val="21"/>
              </w:rPr>
            </w:pPr>
            <w:r>
              <w:rPr>
                <w:rFonts w:hint="eastAsia" w:ascii="宋体" w:hAnsi="宋体" w:eastAsia="宋体"/>
                <w:szCs w:val="21"/>
              </w:rPr>
              <w:t>（2）货物的标准附件、备品备件、专用工具的价格；</w:t>
            </w:r>
          </w:p>
          <w:p w14:paraId="38CB96D0">
            <w:pPr>
              <w:spacing w:line="420" w:lineRule="exact"/>
              <w:rPr>
                <w:rFonts w:hint="eastAsia" w:ascii="宋体" w:hAnsi="宋体" w:eastAsia="宋体"/>
                <w:szCs w:val="21"/>
              </w:rPr>
            </w:pPr>
            <w:r>
              <w:rPr>
                <w:rFonts w:hint="eastAsia" w:ascii="宋体" w:hAnsi="宋体" w:eastAsia="宋体"/>
                <w:szCs w:val="21"/>
              </w:rPr>
              <w:t>（3）运输、装卸、调试、培训、技术支持、售后服务等费用；</w:t>
            </w:r>
          </w:p>
          <w:p w14:paraId="75658CEA">
            <w:pPr>
              <w:spacing w:line="420" w:lineRule="exact"/>
              <w:rPr>
                <w:rFonts w:hint="eastAsia" w:ascii="宋体" w:hAnsi="宋体" w:eastAsia="宋体"/>
                <w:szCs w:val="21"/>
              </w:rPr>
            </w:pPr>
            <w:r>
              <w:rPr>
                <w:rFonts w:hint="eastAsia" w:ascii="宋体" w:hAnsi="宋体" w:eastAsia="宋体"/>
                <w:szCs w:val="21"/>
              </w:rPr>
              <w:t>（4）必要的保险费用和各项税费；</w:t>
            </w:r>
          </w:p>
          <w:p w14:paraId="53DBE7AA">
            <w:pPr>
              <w:spacing w:line="420" w:lineRule="exact"/>
              <w:rPr>
                <w:rFonts w:hint="eastAsia" w:ascii="宋体" w:hAnsi="宋体" w:eastAsia="宋体"/>
                <w:szCs w:val="21"/>
              </w:rPr>
            </w:pPr>
            <w:r>
              <w:rPr>
                <w:rFonts w:hint="eastAsia" w:ascii="宋体" w:hAnsi="宋体" w:eastAsia="宋体"/>
                <w:szCs w:val="21"/>
              </w:rPr>
              <w:t>（5）安装费用。</w:t>
            </w:r>
          </w:p>
          <w:p w14:paraId="36534BEF">
            <w:pPr>
              <w:spacing w:line="420" w:lineRule="exact"/>
              <w:rPr>
                <w:rFonts w:hint="eastAsia" w:ascii="宋体" w:hAnsi="宋体" w:eastAsia="宋体"/>
                <w:szCs w:val="21"/>
              </w:rPr>
            </w:pPr>
            <w:r>
              <w:rPr>
                <w:rFonts w:hint="eastAsia" w:ascii="宋体" w:hAnsi="宋体" w:eastAsia="宋体"/>
                <w:szCs w:val="21"/>
              </w:rPr>
              <w:t>（6）项目设计、施工及施工过程所需的安装材料（辅材、配件等）等费用。</w:t>
            </w:r>
          </w:p>
          <w:p w14:paraId="3494EE3C">
            <w:pPr>
              <w:spacing w:line="420" w:lineRule="exact"/>
              <w:rPr>
                <w:rFonts w:hint="eastAsia" w:ascii="宋体" w:hAnsi="宋体" w:eastAsia="宋体"/>
                <w:szCs w:val="21"/>
              </w:rPr>
            </w:pPr>
            <w:r>
              <w:rPr>
                <w:rFonts w:hint="eastAsia" w:ascii="宋体" w:hAnsi="宋体" w:eastAsia="宋体"/>
                <w:szCs w:val="21"/>
              </w:rPr>
              <w:t>2、付款方式：本项目无预付款，供应商交货完毕并验收合格后，一次性支付合同款。</w:t>
            </w:r>
          </w:p>
          <w:p w14:paraId="1A968674">
            <w:pPr>
              <w:widowControl/>
              <w:jc w:val="left"/>
              <w:rPr>
                <w:rStyle w:val="33"/>
                <w:rFonts w:hint="eastAsia" w:ascii="宋体" w:hAnsi="宋体" w:eastAsia="宋体"/>
                <w:szCs w:val="21"/>
              </w:rPr>
            </w:pPr>
            <w:r>
              <w:rPr>
                <w:rStyle w:val="33"/>
                <w:rFonts w:ascii="宋体" w:hAnsi="宋体" w:eastAsia="宋体"/>
                <w:szCs w:val="21"/>
              </w:rPr>
              <w:t>3</w:t>
            </w:r>
            <w:r>
              <w:rPr>
                <w:rStyle w:val="33"/>
                <w:rFonts w:hint="eastAsia" w:ascii="宋体" w:hAnsi="宋体" w:eastAsia="宋体"/>
                <w:szCs w:val="21"/>
              </w:rPr>
              <w:t>、为确保网络调试以及后期实施服务效果，投标人必须在</w:t>
            </w:r>
            <w:r>
              <w:rPr>
                <w:rFonts w:hint="eastAsia" w:ascii="宋体" w:hAnsi="宋体" w:eastAsia="宋体"/>
              </w:rPr>
              <w:t>供货时提供相关产品</w:t>
            </w:r>
            <w:r>
              <w:rPr>
                <w:rStyle w:val="33"/>
                <w:rFonts w:hint="eastAsia" w:ascii="宋体" w:hAnsi="宋体" w:eastAsia="宋体"/>
                <w:szCs w:val="21"/>
              </w:rPr>
              <w:t>生产厂家针对本项目的售后服务承诺函原件和对应货物的商用密码产品认证证书复印件，并加盖原厂公章。</w:t>
            </w:r>
          </w:p>
          <w:p w14:paraId="158B0878">
            <w:pPr>
              <w:widowControl/>
              <w:jc w:val="left"/>
            </w:pPr>
            <w:r>
              <w:rPr>
                <w:rStyle w:val="33"/>
                <w:rFonts w:hint="eastAsia" w:ascii="宋体" w:hAnsi="宋体" w:eastAsia="宋体"/>
                <w:szCs w:val="21"/>
                <w:lang w:val="en-US" w:eastAsia="zh-CN"/>
              </w:rPr>
              <w:t>4、</w:t>
            </w:r>
            <w:r>
              <w:rPr>
                <w:rStyle w:val="33"/>
                <w:rFonts w:hint="eastAsia" w:ascii="宋体" w:hAnsi="宋体" w:eastAsia="宋体" w:cstheme="minorBidi"/>
                <w:b w:val="0"/>
                <w:kern w:val="2"/>
                <w:sz w:val="21"/>
                <w:szCs w:val="21"/>
                <w:lang w:val="en-US" w:eastAsia="zh-CN" w:bidi="ar-SA"/>
              </w:rPr>
              <w:t>本项目采购标的需执行的国家相关标准、行业标准、地方标准或其他强制性标准、规范等要求：按国家相关标准、行业标准、地方标准或其他强制性标准、规范等执行。</w:t>
            </w:r>
          </w:p>
        </w:tc>
      </w:tr>
    </w:tbl>
    <w:p w14:paraId="3C11F4D1">
      <w:pPr>
        <w:pStyle w:val="3"/>
        <w:numPr>
          <w:ilvl w:val="3"/>
          <w:numId w:val="0"/>
        </w:numPr>
      </w:pPr>
    </w:p>
    <w:p w14:paraId="4ED37D80"/>
    <w:p w14:paraId="2887034E"/>
    <w:p w14:paraId="1895448F"/>
    <w:p w14:paraId="115EDEDB"/>
    <w:p w14:paraId="30DABB19"/>
    <w:p w14:paraId="10300517"/>
    <w:p w14:paraId="22AEB9DA"/>
    <w:p w14:paraId="18D02349"/>
    <w:p w14:paraId="664B18BC"/>
    <w:p w14:paraId="4324EEDE"/>
    <w:p w14:paraId="5AE719C6"/>
    <w:p w14:paraId="3EBBD98A"/>
    <w:p w14:paraId="562C1EF7"/>
    <w:p w14:paraId="1A6B9AE6"/>
    <w:p w14:paraId="2F02CEE7"/>
    <w:p w14:paraId="60C6B5F7"/>
    <w:p w14:paraId="7938B8BD"/>
    <w:p w14:paraId="58D15237"/>
    <w:p w14:paraId="74393D36"/>
    <w:p w14:paraId="2D8FDD7D"/>
    <w:p w14:paraId="0B80D1F3"/>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南宁中心血站2024年路由器和VPN网络设备采购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20B965A">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hint="eastAsia"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7FA90B51">
      <w:pPr>
        <w:snapToGrid w:val="0"/>
        <w:spacing w:line="360" w:lineRule="exact"/>
        <w:jc w:val="left"/>
        <w:rPr>
          <w:rFonts w:hint="eastAsia" w:ascii="宋体" w:hAnsi="宋体" w:cs="仿宋"/>
          <w:color w:val="auto"/>
          <w:szCs w:val="21"/>
          <w:highlight w:val="none"/>
        </w:rPr>
      </w:pPr>
    </w:p>
    <w:p w14:paraId="3E9D49C2">
      <w:pPr>
        <w:snapToGrid w:val="0"/>
        <w:spacing w:line="360" w:lineRule="exact"/>
        <w:jc w:val="left"/>
        <w:rPr>
          <w:rFonts w:hint="eastAsia" w:ascii="宋体" w:hAnsi="宋体" w:cs="仿宋"/>
          <w:color w:val="auto"/>
          <w:szCs w:val="21"/>
          <w:highlight w:val="none"/>
        </w:rPr>
      </w:pPr>
    </w:p>
    <w:p w14:paraId="7C832DF1">
      <w:pPr>
        <w:snapToGrid w:val="0"/>
        <w:spacing w:line="360" w:lineRule="exact"/>
        <w:jc w:val="left"/>
        <w:rPr>
          <w:rFonts w:hint="eastAsia" w:ascii="宋体" w:hAnsi="宋体" w:cs="仿宋"/>
          <w:color w:val="auto"/>
          <w:szCs w:val="21"/>
          <w:highlight w:val="none"/>
        </w:rPr>
      </w:pPr>
    </w:p>
    <w:p w14:paraId="3AB705C0">
      <w:pPr>
        <w:snapToGrid w:val="0"/>
        <w:spacing w:line="360" w:lineRule="exact"/>
        <w:ind w:firstLine="4305" w:firstLineChars="2050"/>
        <w:rPr>
          <w:rFonts w:hint="eastAsia"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16B7E29">
      <w:pPr>
        <w:snapToGrid w:val="0"/>
        <w:spacing w:line="360" w:lineRule="exact"/>
        <w:ind w:firstLine="4305" w:firstLineChars="2050"/>
        <w:rPr>
          <w:rFonts w:hint="eastAsia" w:ascii="宋体" w:hAnsi="宋体" w:cs="仿宋"/>
          <w:color w:val="auto"/>
          <w:szCs w:val="21"/>
          <w:highlight w:val="none"/>
          <w:u w:val="single"/>
        </w:rPr>
      </w:pPr>
    </w:p>
    <w:p w14:paraId="414248E0">
      <w:pPr>
        <w:snapToGrid w:val="0"/>
        <w:spacing w:line="360" w:lineRule="exact"/>
        <w:ind w:firstLine="4305" w:firstLineChars="2050"/>
        <w:rPr>
          <w:rFonts w:hint="eastAsia"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p>
    <w:p w14:paraId="1F4336C6">
      <w:pPr>
        <w:bidi w:val="0"/>
        <w:ind w:firstLine="6090" w:firstLineChars="2900"/>
      </w:pPr>
      <w:r>
        <w:rPr>
          <w:rFonts w:hint="eastAsia" w:ascii="宋体" w:hAnsi="宋体" w:cs="仿宋"/>
          <w:color w:val="auto"/>
          <w:szCs w:val="21"/>
          <w:highlight w:val="none"/>
        </w:rPr>
        <w:t>年    月    日</w:t>
      </w: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南宁中心血站2024年路由器和VPN网络设备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51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2093"/>
        <w:gridCol w:w="1665"/>
        <w:gridCol w:w="1610"/>
        <w:gridCol w:w="1879"/>
        <w:gridCol w:w="1101"/>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90"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130"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899" w:type="pct"/>
            <w:vAlign w:val="center"/>
          </w:tcPr>
          <w:p w14:paraId="2C73D9C2">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3B16DF6D">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69" w:type="pct"/>
            <w:vAlign w:val="center"/>
          </w:tcPr>
          <w:p w14:paraId="738B7C31">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4D9F169C">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1015" w:type="pct"/>
            <w:vAlign w:val="center"/>
          </w:tcPr>
          <w:p w14:paraId="335F4380">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AB1752E">
            <w:pPr>
              <w:pStyle w:val="8"/>
              <w:jc w:val="center"/>
              <w:rPr>
                <w:rFonts w:asciiTheme="minorEastAsia" w:hAnsiTheme="minorEastAsia" w:cstheme="minorEastAsia"/>
                <w:szCs w:val="21"/>
              </w:rPr>
            </w:pPr>
            <w:r>
              <w:rPr>
                <w:rFonts w:hint="eastAsia" w:asciiTheme="minorEastAsia" w:hAnsiTheme="minorEastAsia" w:cstheme="minorEastAsia"/>
                <w:szCs w:val="21"/>
              </w:rPr>
              <w:t>③=①×②</w:t>
            </w:r>
          </w:p>
        </w:tc>
        <w:tc>
          <w:tcPr>
            <w:tcW w:w="594"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490" w:type="pct"/>
            <w:vAlign w:val="center"/>
          </w:tcPr>
          <w:p w14:paraId="65FF5224">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1130" w:type="pct"/>
            <w:vAlign w:val="center"/>
          </w:tcPr>
          <w:p w14:paraId="4FB76649">
            <w:pPr>
              <w:spacing w:line="276" w:lineRule="auto"/>
              <w:jc w:val="center"/>
              <w:rPr>
                <w:rFonts w:hint="eastAsia" w:ascii="宋体" w:hAnsi="宋体" w:cs="宋体" w:eastAsiaTheme="minorEastAsia"/>
                <w:sz w:val="21"/>
                <w:szCs w:val="21"/>
                <w:lang w:eastAsia="zh-CN"/>
              </w:rPr>
            </w:pPr>
            <w:r>
              <w:rPr>
                <w:rFonts w:hint="eastAsia" w:ascii="宋体" w:hAnsi="宋体" w:eastAsia="宋体" w:cs="宋体"/>
                <w:szCs w:val="21"/>
              </w:rPr>
              <w:t>安全智能路由器</w:t>
            </w:r>
          </w:p>
        </w:tc>
        <w:tc>
          <w:tcPr>
            <w:tcW w:w="899" w:type="pct"/>
            <w:vAlign w:val="center"/>
          </w:tcPr>
          <w:p w14:paraId="0C7C61A9">
            <w:pPr>
              <w:pStyle w:val="8"/>
              <w:jc w:val="center"/>
              <w:rPr>
                <w:rFonts w:hint="default" w:ascii="宋体" w:hAnsi="宋体" w:eastAsia="宋体" w:cs="宋体"/>
                <w:sz w:val="21"/>
                <w:szCs w:val="21"/>
                <w:lang w:val="en-US" w:eastAsia="zh-CN"/>
              </w:rPr>
            </w:pPr>
            <w:r>
              <w:rPr>
                <w:rFonts w:hint="eastAsia" w:hAnsi="宋体" w:eastAsia="宋体" w:cs="宋体"/>
                <w:sz w:val="21"/>
                <w:szCs w:val="21"/>
                <w:lang w:val="en-US" w:eastAsia="zh-CN"/>
              </w:rPr>
              <w:t>4台</w:t>
            </w:r>
          </w:p>
        </w:tc>
        <w:tc>
          <w:tcPr>
            <w:tcW w:w="869" w:type="pct"/>
            <w:vAlign w:val="center"/>
          </w:tcPr>
          <w:p w14:paraId="6C432399">
            <w:pPr>
              <w:pStyle w:val="8"/>
              <w:rPr>
                <w:rFonts w:hint="eastAsia" w:ascii="宋体" w:hAnsi="宋体" w:eastAsia="宋体" w:cs="宋体"/>
                <w:sz w:val="21"/>
                <w:szCs w:val="21"/>
              </w:rPr>
            </w:pPr>
          </w:p>
        </w:tc>
        <w:tc>
          <w:tcPr>
            <w:tcW w:w="1015" w:type="pct"/>
            <w:vAlign w:val="center"/>
          </w:tcPr>
          <w:p w14:paraId="7F7FCC7F">
            <w:pPr>
              <w:pStyle w:val="8"/>
              <w:rPr>
                <w:rFonts w:hint="eastAsia" w:ascii="宋体" w:hAnsi="宋体" w:eastAsia="宋体" w:cs="宋体"/>
                <w:sz w:val="21"/>
                <w:szCs w:val="21"/>
              </w:rPr>
            </w:pPr>
          </w:p>
        </w:tc>
        <w:tc>
          <w:tcPr>
            <w:tcW w:w="594" w:type="pct"/>
            <w:vAlign w:val="center"/>
          </w:tcPr>
          <w:p w14:paraId="7DCD5218">
            <w:pPr>
              <w:pStyle w:val="8"/>
              <w:rPr>
                <w:rFonts w:hint="eastAsia" w:ascii="宋体" w:hAnsi="宋体" w:eastAsia="宋体" w:cs="宋体"/>
                <w:sz w:val="21"/>
                <w:szCs w:val="21"/>
              </w:rPr>
            </w:pPr>
          </w:p>
        </w:tc>
      </w:tr>
      <w:tr w14:paraId="7F65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490" w:type="pct"/>
            <w:vAlign w:val="center"/>
          </w:tcPr>
          <w:p w14:paraId="26D88ECC">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2</w:t>
            </w:r>
          </w:p>
        </w:tc>
        <w:tc>
          <w:tcPr>
            <w:tcW w:w="1130" w:type="pct"/>
            <w:vAlign w:val="center"/>
          </w:tcPr>
          <w:p w14:paraId="0C116536">
            <w:pPr>
              <w:spacing w:line="276" w:lineRule="auto"/>
              <w:jc w:val="center"/>
              <w:rPr>
                <w:rFonts w:hint="eastAsia" w:ascii="宋体" w:hAnsi="宋体" w:cs="宋体" w:eastAsiaTheme="minorEastAsia"/>
                <w:bCs/>
                <w:color w:val="000000"/>
                <w:kern w:val="0"/>
                <w:sz w:val="21"/>
                <w:szCs w:val="21"/>
                <w:lang w:val="en-US" w:eastAsia="zh-CN"/>
              </w:rPr>
            </w:pPr>
            <w:r>
              <w:rPr>
                <w:rFonts w:hint="eastAsia" w:ascii="宋体" w:hAnsi="宋体" w:eastAsia="宋体" w:cs="宋体"/>
                <w:szCs w:val="21"/>
              </w:rPr>
              <w:t>VPN网关</w:t>
            </w:r>
          </w:p>
        </w:tc>
        <w:tc>
          <w:tcPr>
            <w:tcW w:w="899" w:type="pct"/>
            <w:vAlign w:val="center"/>
          </w:tcPr>
          <w:p w14:paraId="7D68FDAF">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1台</w:t>
            </w:r>
          </w:p>
        </w:tc>
        <w:tc>
          <w:tcPr>
            <w:tcW w:w="869" w:type="pct"/>
            <w:vAlign w:val="center"/>
          </w:tcPr>
          <w:p w14:paraId="0B7EF989">
            <w:pPr>
              <w:pStyle w:val="8"/>
              <w:rPr>
                <w:rFonts w:hint="eastAsia" w:ascii="宋体" w:hAnsi="宋体" w:eastAsia="宋体" w:cs="宋体"/>
                <w:sz w:val="21"/>
                <w:szCs w:val="21"/>
              </w:rPr>
            </w:pPr>
          </w:p>
        </w:tc>
        <w:tc>
          <w:tcPr>
            <w:tcW w:w="1015" w:type="pct"/>
            <w:vAlign w:val="center"/>
          </w:tcPr>
          <w:p w14:paraId="50DFA863">
            <w:pPr>
              <w:pStyle w:val="8"/>
              <w:rPr>
                <w:rFonts w:hint="eastAsia" w:ascii="宋体" w:hAnsi="宋体" w:eastAsia="宋体" w:cs="宋体"/>
                <w:sz w:val="21"/>
                <w:szCs w:val="21"/>
              </w:rPr>
            </w:pPr>
          </w:p>
        </w:tc>
        <w:tc>
          <w:tcPr>
            <w:tcW w:w="594" w:type="pct"/>
            <w:vAlign w:val="center"/>
          </w:tcPr>
          <w:p w14:paraId="4CDA3F44">
            <w:pPr>
              <w:pStyle w:val="8"/>
              <w:rPr>
                <w:rFonts w:hint="eastAsia" w:ascii="宋体" w:hAnsi="宋体" w:eastAsia="宋体" w:cs="宋体"/>
                <w:sz w:val="21"/>
                <w:szCs w:val="21"/>
              </w:rPr>
            </w:pPr>
          </w:p>
        </w:tc>
      </w:tr>
      <w:tr w14:paraId="74A3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5000" w:type="pct"/>
            <w:gridSpan w:val="6"/>
            <w:vAlign w:val="center"/>
          </w:tcPr>
          <w:p w14:paraId="11E2A537">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EBC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6"/>
            <w:vAlign w:val="center"/>
          </w:tcPr>
          <w:p w14:paraId="7336F9E5">
            <w:pPr>
              <w:pStyle w:val="3"/>
              <w:numPr>
                <w:ilvl w:val="0"/>
                <w:numId w:val="0"/>
              </w:numPr>
              <w:outlineLvl w:val="3"/>
              <w:rPr>
                <w:rFonts w:asciiTheme="minorEastAsia" w:hAnsiTheme="minorEastAsia" w:eastAsiaTheme="minorEastAsia"/>
                <w:b/>
                <w:sz w:val="21"/>
                <w:szCs w:val="21"/>
              </w:rPr>
            </w:pPr>
            <w:r>
              <w:rPr>
                <w:rFonts w:hint="eastAsia" w:asciiTheme="minorEastAsia" w:hAnsiTheme="minorEastAsia" w:eastAsiaTheme="minorEastAsia"/>
                <w:b/>
                <w:sz w:val="21"/>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本项目仅做一次报价，请响应供应商一次报出不得更改的价格且单项报价合价</w:t>
            </w:r>
            <w:r>
              <w:rPr>
                <w:rFonts w:hint="eastAsia" w:asciiTheme="minorEastAsia" w:hAnsiTheme="minorEastAsia" w:eastAsiaTheme="minorEastAsia"/>
                <w:b/>
                <w:color w:val="0000FF"/>
                <w:sz w:val="21"/>
                <w:szCs w:val="21"/>
              </w:rPr>
              <w:t>金额不能超过</w:t>
            </w:r>
            <w:r>
              <w:rPr>
                <w:rFonts w:hint="eastAsia" w:asciiTheme="minorEastAsia" w:hAnsiTheme="minorEastAsia" w:eastAsiaTheme="minorEastAsia"/>
                <w:b/>
                <w:color w:val="0000FF"/>
                <w:sz w:val="21"/>
                <w:szCs w:val="21"/>
                <w:lang w:val="en-US" w:eastAsia="zh-CN"/>
              </w:rPr>
              <w:t>单项</w:t>
            </w:r>
            <w:r>
              <w:rPr>
                <w:rFonts w:hint="eastAsia" w:asciiTheme="minorEastAsia" w:hAnsiTheme="minorEastAsia" w:eastAsiaTheme="minorEastAsia"/>
                <w:b/>
                <w:color w:val="0000FF"/>
                <w:sz w:val="21"/>
                <w:szCs w:val="21"/>
              </w:rPr>
              <w:t>最高限价。</w:t>
            </w:r>
          </w:p>
        </w:tc>
      </w:tr>
    </w:tbl>
    <w:p w14:paraId="45D484CE">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7CCBAB28">
      <w:pPr>
        <w:pStyle w:val="3"/>
        <w:numPr>
          <w:ilvl w:val="3"/>
          <w:numId w:val="0"/>
        </w:numPr>
        <w:ind w:left="1077" w:leftChars="0"/>
      </w:pPr>
    </w:p>
    <w:p w14:paraId="172BD1BF"/>
    <w:p w14:paraId="11731C08"/>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南宁中心血站2024年路由器和VPN网络设备</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5"/>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6"/>
        </w:numPr>
        <w:rPr>
          <w:rFonts w:hint="eastAsia" w:ascii="宋体" w:hAnsi="宋体"/>
          <w:color w:val="auto"/>
          <w:sz w:val="28"/>
        </w:rPr>
      </w:pPr>
      <w:r>
        <w:rPr>
          <w:rFonts w:hint="eastAsia" w:ascii="宋体" w:hAnsi="宋体"/>
          <w:color w:val="auto"/>
          <w:sz w:val="28"/>
        </w:rPr>
        <w:t>采购结果公告</w:t>
      </w:r>
    </w:p>
    <w:p w14:paraId="53018E3B">
      <w:pPr>
        <w:numPr>
          <w:ilvl w:val="0"/>
          <w:numId w:val="6"/>
        </w:numPr>
        <w:rPr>
          <w:rFonts w:hint="eastAsia" w:ascii="宋体" w:hAnsi="宋体"/>
          <w:color w:val="auto"/>
          <w:sz w:val="28"/>
        </w:rPr>
      </w:pPr>
      <w:r>
        <w:rPr>
          <w:rFonts w:hint="eastAsia" w:ascii="宋体" w:hAnsi="宋体"/>
          <w:color w:val="auto"/>
          <w:sz w:val="28"/>
        </w:rPr>
        <w:t>采购需求一览表</w:t>
      </w:r>
    </w:p>
    <w:p w14:paraId="1BAF156E">
      <w:pPr>
        <w:numPr>
          <w:ilvl w:val="0"/>
          <w:numId w:val="6"/>
        </w:numPr>
        <w:rPr>
          <w:rFonts w:hint="eastAsia" w:ascii="宋体" w:hAnsi="宋体"/>
          <w:color w:val="auto"/>
          <w:sz w:val="28"/>
        </w:rPr>
      </w:pPr>
      <w:r>
        <w:rPr>
          <w:rFonts w:hint="eastAsia" w:ascii="宋体" w:hAnsi="宋体"/>
          <w:color w:val="auto"/>
          <w:sz w:val="28"/>
        </w:rPr>
        <w:t>投标报价表</w:t>
      </w:r>
    </w:p>
    <w:p w14:paraId="7A93DFB3">
      <w:pPr>
        <w:numPr>
          <w:ilvl w:val="0"/>
          <w:numId w:val="6"/>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6"/>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6"/>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6"/>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54FF815-EC24-4E45-B498-5EEC5DC28F2D}"/>
  </w:font>
  <w:font w:name="Courier New">
    <w:panose1 w:val="02070309020205020404"/>
    <w:charset w:val="01"/>
    <w:family w:val="modern"/>
    <w:pitch w:val="default"/>
    <w:sig w:usb0="E0002EFF" w:usb1="C0007843" w:usb2="00000009" w:usb3="00000000" w:csb0="400001FF" w:csb1="FFFF0000"/>
    <w:embedRegular r:id="rId2" w:fontKey="{51880FC0-5119-4FF8-8CE9-56D6C3941D4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3A466F5-BF55-42F4-A265-8E0AB13B594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4" w:fontKey="{30432964-9B28-4B00-A475-8C0FBD3EEC01}"/>
  </w:font>
  <w:font w:name="仿宋_GB2312">
    <w:panose1 w:val="02010609030101010101"/>
    <w:charset w:val="86"/>
    <w:family w:val="modern"/>
    <w:pitch w:val="default"/>
    <w:sig w:usb0="00000001" w:usb1="080E0000" w:usb2="00000000" w:usb3="00000000" w:csb0="00040000" w:csb1="00000000"/>
    <w:embedRegular r:id="rId5" w:fontKey="{C5B95F0D-8943-46F4-91A9-8193F2FBB3CE}"/>
  </w:font>
  <w:font w:name="方正楷体_GB2312">
    <w:panose1 w:val="02000000000000000000"/>
    <w:charset w:val="86"/>
    <w:family w:val="auto"/>
    <w:pitch w:val="default"/>
    <w:sig w:usb0="A00002BF" w:usb1="184F6CFA" w:usb2="00000012" w:usb3="00000000" w:csb0="00040001" w:csb1="00000000"/>
    <w:embedRegular r:id="rId6" w:fontKey="{4B616653-17FD-41D5-A2B9-291A4D4CDAA5}"/>
  </w:font>
  <w:font w:name="仿宋">
    <w:panose1 w:val="02010609060101010101"/>
    <w:charset w:val="86"/>
    <w:family w:val="modern"/>
    <w:pitch w:val="default"/>
    <w:sig w:usb0="800002BF" w:usb1="38CF7CFA" w:usb2="00000016" w:usb3="00000000" w:csb0="00040001" w:csb1="00000000"/>
    <w:embedRegular r:id="rId7" w:fontKey="{83641DCD-E830-4B82-8859-A59AE30FC80E}"/>
  </w:font>
  <w:font w:name="Wingdings 2">
    <w:panose1 w:val="05020102010507070707"/>
    <w:charset w:val="02"/>
    <w:family w:val="roman"/>
    <w:pitch w:val="default"/>
    <w:sig w:usb0="00000000" w:usb1="00000000" w:usb2="00000000" w:usb3="00000000" w:csb0="80000000" w:csb1="00000000"/>
    <w:embedRegular r:id="rId8" w:fontKey="{7A7D625A-AD76-49CC-A828-7EBD47A9DA0B}"/>
  </w:font>
  <w:font w:name="方正公文小标宋">
    <w:panose1 w:val="02000500000000000000"/>
    <w:charset w:val="86"/>
    <w:family w:val="auto"/>
    <w:pitch w:val="default"/>
    <w:sig w:usb0="A00002BF" w:usb1="38CF7CFA" w:usb2="00000016" w:usb3="00000000" w:csb0="00040001" w:csb1="00000000"/>
    <w:embedRegular r:id="rId9" w:fontKey="{A5FDEAD7-7CB1-4926-89F6-19E92AB7979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BEB34BA1"/>
    <w:multiLevelType w:val="singleLevel"/>
    <w:tmpl w:val="BEB34BA1"/>
    <w:lvl w:ilvl="0" w:tentative="0">
      <w:start w:val="4"/>
      <w:numFmt w:val="chineseCounting"/>
      <w:suff w:val="nothing"/>
      <w:lvlText w:val="（%1）"/>
      <w:lvlJc w:val="left"/>
      <w:rPr>
        <w:rFonts w:hint="eastAsia"/>
      </w:rPr>
    </w:lvl>
  </w:abstractNum>
  <w:abstractNum w:abstractNumId="2">
    <w:nsid w:val="FC13D63A"/>
    <w:multiLevelType w:val="singleLevel"/>
    <w:tmpl w:val="FC13D63A"/>
    <w:lvl w:ilvl="0" w:tentative="0">
      <w:start w:val="1"/>
      <w:numFmt w:val="chineseCounting"/>
      <w:suff w:val="nothing"/>
      <w:lvlText w:val="%1、"/>
      <w:lvlJc w:val="left"/>
      <w:rPr>
        <w:rFonts w:hint="eastAsia"/>
      </w:rPr>
    </w:lvl>
  </w:abstractNum>
  <w:abstractNum w:abstractNumId="3">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4">
    <w:nsid w:val="24E0DC2F"/>
    <w:multiLevelType w:val="singleLevel"/>
    <w:tmpl w:val="24E0DC2F"/>
    <w:lvl w:ilvl="0" w:tentative="0">
      <w:start w:val="1"/>
      <w:numFmt w:val="chineseCounting"/>
      <w:suff w:val="nothing"/>
      <w:lvlText w:val="%1、"/>
      <w:lvlJc w:val="left"/>
      <w:rPr>
        <w:rFonts w:hint="eastAsia"/>
      </w:rPr>
    </w:lvl>
  </w:abstractNum>
  <w:abstractNum w:abstractNumId="5">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3"/>
  </w:num>
  <w:num w:numId="2">
    <w:abstractNumId w:val="0"/>
  </w:num>
  <w:num w:numId="3">
    <w:abstractNumId w:val="1"/>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9D3A23"/>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5D3D48"/>
    <w:rsid w:val="0B5E058B"/>
    <w:rsid w:val="0B615E61"/>
    <w:rsid w:val="0B735223"/>
    <w:rsid w:val="0B7F3FC7"/>
    <w:rsid w:val="0B894A4A"/>
    <w:rsid w:val="0B913BC2"/>
    <w:rsid w:val="0B9736A9"/>
    <w:rsid w:val="0B9B42A5"/>
    <w:rsid w:val="0B9F01C5"/>
    <w:rsid w:val="0BA4101C"/>
    <w:rsid w:val="0BAB78CA"/>
    <w:rsid w:val="0BAC7A80"/>
    <w:rsid w:val="0BC52C93"/>
    <w:rsid w:val="0BC81AAD"/>
    <w:rsid w:val="0BD240F7"/>
    <w:rsid w:val="0BD25035"/>
    <w:rsid w:val="0BD80AD0"/>
    <w:rsid w:val="0BD95485"/>
    <w:rsid w:val="0BDF1807"/>
    <w:rsid w:val="0BE26691"/>
    <w:rsid w:val="0BE5207C"/>
    <w:rsid w:val="0C036612"/>
    <w:rsid w:val="0C0C6C4E"/>
    <w:rsid w:val="0C0D16D2"/>
    <w:rsid w:val="0C1A6AC5"/>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B5B75"/>
    <w:rsid w:val="0D9E6986"/>
    <w:rsid w:val="0D9F1A2C"/>
    <w:rsid w:val="0DAD4941"/>
    <w:rsid w:val="0DC05FA9"/>
    <w:rsid w:val="0DC3019B"/>
    <w:rsid w:val="0DC56EF5"/>
    <w:rsid w:val="0DD815E5"/>
    <w:rsid w:val="0DD83E1C"/>
    <w:rsid w:val="0DE14C55"/>
    <w:rsid w:val="0DE50968"/>
    <w:rsid w:val="0DF27FCC"/>
    <w:rsid w:val="0DFD256A"/>
    <w:rsid w:val="0E141277"/>
    <w:rsid w:val="0E15632F"/>
    <w:rsid w:val="0E172295"/>
    <w:rsid w:val="0E1B4581"/>
    <w:rsid w:val="0E20652A"/>
    <w:rsid w:val="0E211C32"/>
    <w:rsid w:val="0E3100A2"/>
    <w:rsid w:val="0E3A2B86"/>
    <w:rsid w:val="0E434A83"/>
    <w:rsid w:val="0E5E4367"/>
    <w:rsid w:val="0E5F126E"/>
    <w:rsid w:val="0E5F5BB1"/>
    <w:rsid w:val="0E5F7D33"/>
    <w:rsid w:val="0E6206F7"/>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EA38D7"/>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7074C"/>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B93E62"/>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A0963"/>
    <w:rsid w:val="7A301453"/>
    <w:rsid w:val="7A3023C7"/>
    <w:rsid w:val="7A37276E"/>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next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character" w:customStyle="1" w:styleId="33">
    <w:name w:val="normalpara"/>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24</Pages>
  <Words>9738</Words>
  <Characters>10860</Characters>
  <Lines>71</Lines>
  <Paragraphs>20</Paragraphs>
  <TotalTime>3</TotalTime>
  <ScaleCrop>false</ScaleCrop>
  <LinksUpToDate>false</LinksUpToDate>
  <CharactersWithSpaces>12781</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2022-07-21T01:43:00Z</cp:lastPrinted>
  <dcterms:modified xsi:type="dcterms:W3CDTF">2024-08-13T03:46:34Z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127536711A934BE2946F08AB5A1B1634_13</vt:lpwstr>
  </property>
</Properties>
</file>