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bookmarkStart w:id="18" w:name="_GoBack"/>
      <w:bookmarkEnd w:id="18"/>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762F763C">
      <w:pPr>
        <w:spacing w:line="360" w:lineRule="auto"/>
        <w:jc w:val="center"/>
        <w:rPr>
          <w:rFonts w:ascii="宋体" w:hAnsi="宋体"/>
          <w:b/>
          <w:color w:val="auto"/>
          <w:sz w:val="32"/>
          <w:szCs w:val="32"/>
        </w:rPr>
      </w:pPr>
    </w:p>
    <w:p w14:paraId="3F1C2F19">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项目名称：南宁中心血站2024年无偿献血荣誉证书</w:t>
      </w:r>
      <w:r>
        <w:rPr>
          <w:rFonts w:hint="eastAsia" w:ascii="仿宋_GB2312" w:hAnsi="Courier New" w:eastAsia="仿宋_GB2312" w:cs="Courier New"/>
          <w:b/>
          <w:bCs/>
          <w:color w:val="000000"/>
          <w:kern w:val="0"/>
          <w:sz w:val="32"/>
          <w:szCs w:val="32"/>
          <w:lang w:val="en-US" w:eastAsia="zh-CN"/>
        </w:rPr>
        <w:t>及水晶牌匾邮寄</w:t>
      </w:r>
      <w:r>
        <w:rPr>
          <w:rFonts w:hint="eastAsia" w:ascii="仿宋_GB2312" w:hAnsi="Courier New" w:eastAsia="仿宋_GB2312" w:cs="Courier New"/>
          <w:b/>
          <w:bCs/>
          <w:color w:val="000000"/>
          <w:kern w:val="0"/>
          <w:sz w:val="32"/>
          <w:szCs w:val="32"/>
          <w:lang w:val="zh-TW" w:eastAsia="zh-TW"/>
        </w:rPr>
        <w:t>服务</w:t>
      </w:r>
      <w:r>
        <w:rPr>
          <w:rFonts w:hint="eastAsia" w:ascii="仿宋_GB2312" w:hAnsi="Courier New" w:eastAsia="仿宋_GB2312" w:cs="Courier New"/>
          <w:b/>
          <w:bCs/>
          <w:color w:val="000000"/>
          <w:kern w:val="0"/>
          <w:sz w:val="32"/>
          <w:szCs w:val="32"/>
          <w:lang w:val="zh-TW" w:eastAsia="zh-CN"/>
        </w:rPr>
        <w:t>（</w:t>
      </w:r>
      <w:r>
        <w:rPr>
          <w:rFonts w:hint="eastAsia" w:ascii="仿宋_GB2312" w:hAnsi="Courier New" w:eastAsia="仿宋_GB2312" w:cs="Courier New"/>
          <w:b/>
          <w:bCs/>
          <w:color w:val="000000"/>
          <w:kern w:val="0"/>
          <w:sz w:val="32"/>
          <w:szCs w:val="32"/>
          <w:lang w:val="en-US" w:eastAsia="zh-CN"/>
        </w:rPr>
        <w:t>二次</w:t>
      </w:r>
      <w:r>
        <w:rPr>
          <w:rFonts w:hint="eastAsia" w:ascii="仿宋_GB2312" w:hAnsi="Courier New" w:eastAsia="仿宋_GB2312" w:cs="Courier New"/>
          <w:b/>
          <w:bCs/>
          <w:color w:val="000000"/>
          <w:kern w:val="0"/>
          <w:sz w:val="32"/>
          <w:szCs w:val="32"/>
          <w:lang w:val="zh-TW" w:eastAsia="zh-CN"/>
        </w:rPr>
        <w:t>）</w:t>
      </w:r>
      <w:r>
        <w:rPr>
          <w:rFonts w:hint="eastAsia" w:ascii="仿宋_GB2312" w:hAnsi="Courier New" w:eastAsia="仿宋_GB2312" w:cs="Courier New"/>
          <w:b/>
          <w:bCs/>
          <w:color w:val="000000"/>
          <w:kern w:val="0"/>
          <w:sz w:val="32"/>
          <w:szCs w:val="32"/>
          <w:lang w:val="en-US" w:eastAsia="zh-CN"/>
        </w:rPr>
        <w:t>采购</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项目编号：NNBCFW2024017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13</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南宁中心血站2024年无偿献血荣誉证书及水晶牌匾邮寄服务（二次）采购公告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南宁中心血站按照采购计划，对南宁中心血站2024年无偿献血荣誉证书</w:t>
      </w:r>
      <w:r>
        <w:rPr>
          <w:rFonts w:hint="eastAsia" w:ascii="仿宋_GB2312" w:hAnsi="Courier New" w:eastAsia="仿宋_GB2312" w:cs="Courier New"/>
          <w:color w:val="000000"/>
          <w:kern w:val="0"/>
          <w:sz w:val="32"/>
          <w:szCs w:val="32"/>
          <w:lang w:val="en-US" w:eastAsia="zh-CN"/>
        </w:rPr>
        <w:t>及水晶牌匾邮寄</w:t>
      </w:r>
      <w:r>
        <w:rPr>
          <w:rFonts w:hint="eastAsia" w:ascii="仿宋_GB2312" w:hAnsi="Courier New" w:eastAsia="仿宋_GB2312" w:cs="Courier New"/>
          <w:color w:val="000000"/>
          <w:kern w:val="0"/>
          <w:sz w:val="32"/>
          <w:szCs w:val="32"/>
          <w:lang w:val="zh-TW" w:eastAsia="zh-TW"/>
        </w:rPr>
        <w:t>服务进行采购，现就该项目邀请具有资质的单位进行响应，采购信息如下：</w:t>
      </w:r>
    </w:p>
    <w:p w14:paraId="6A3E00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zh-TW" w:eastAsia="zh-TW"/>
        </w:rPr>
        <w:t>一、项目编号：NNBCFW2024017</w:t>
      </w:r>
    </w:p>
    <w:p w14:paraId="24C50F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项目名称：南宁中心血站2024年无偿献血荣誉证书</w:t>
      </w:r>
      <w:r>
        <w:rPr>
          <w:rFonts w:hint="eastAsia" w:ascii="仿宋_GB2312" w:hAnsi="Courier New" w:eastAsia="仿宋_GB2312" w:cs="Courier New"/>
          <w:color w:val="000000"/>
          <w:kern w:val="0"/>
          <w:sz w:val="32"/>
          <w:szCs w:val="32"/>
          <w:lang w:val="en-US" w:eastAsia="zh-CN"/>
        </w:rPr>
        <w:t>及水晶牌匾邮寄</w:t>
      </w:r>
      <w:r>
        <w:rPr>
          <w:rFonts w:hint="eastAsia" w:ascii="仿宋_GB2312" w:hAnsi="Courier New" w:eastAsia="仿宋_GB2312" w:cs="Courier New"/>
          <w:color w:val="000000"/>
          <w:kern w:val="0"/>
          <w:sz w:val="32"/>
          <w:szCs w:val="32"/>
          <w:lang w:val="zh-TW" w:eastAsia="zh-TW"/>
        </w:rPr>
        <w:t>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    项目预算：</w:t>
      </w:r>
      <w:r>
        <w:rPr>
          <w:rFonts w:hint="eastAsia" w:ascii="仿宋_GB2312" w:hAnsi="Courier New" w:eastAsia="仿宋_GB2312" w:cs="Courier New"/>
          <w:color w:val="000000"/>
          <w:kern w:val="0"/>
          <w:sz w:val="32"/>
          <w:szCs w:val="32"/>
          <w:lang w:val="en-US" w:eastAsia="zh-CN"/>
        </w:rPr>
        <w:t>伍</w:t>
      </w:r>
      <w:r>
        <w:rPr>
          <w:rFonts w:hint="eastAsia" w:ascii="仿宋_GB2312" w:hAnsi="Courier New" w:eastAsia="仿宋_GB2312" w:cs="Courier New"/>
          <w:color w:val="000000"/>
          <w:kern w:val="0"/>
          <w:sz w:val="32"/>
          <w:szCs w:val="32"/>
          <w:lang w:val="zh-TW" w:eastAsia="zh-TW"/>
        </w:rPr>
        <w:t>万</w:t>
      </w:r>
      <w:r>
        <w:rPr>
          <w:rFonts w:hint="eastAsia" w:ascii="仿宋_GB2312" w:hAnsi="Courier New" w:eastAsia="仿宋_GB2312" w:cs="Courier New"/>
          <w:color w:val="000000"/>
          <w:kern w:val="0"/>
          <w:sz w:val="32"/>
          <w:szCs w:val="32"/>
          <w:lang w:val="en-US" w:eastAsia="zh-CN"/>
        </w:rPr>
        <w:t>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58</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    最高限价：</w:t>
      </w:r>
      <w:r>
        <w:rPr>
          <w:rFonts w:hint="eastAsia" w:ascii="仿宋_GB2312" w:hAnsi="Courier New" w:eastAsia="仿宋_GB2312" w:cs="Courier New"/>
          <w:color w:val="000000"/>
          <w:kern w:val="0"/>
          <w:sz w:val="32"/>
          <w:szCs w:val="32"/>
          <w:lang w:val="en-US" w:eastAsia="zh-CN"/>
        </w:rPr>
        <w:t>伍</w:t>
      </w:r>
      <w:r>
        <w:rPr>
          <w:rFonts w:hint="eastAsia" w:ascii="仿宋_GB2312" w:hAnsi="Courier New" w:eastAsia="仿宋_GB2312" w:cs="Courier New"/>
          <w:color w:val="000000"/>
          <w:kern w:val="0"/>
          <w:sz w:val="32"/>
          <w:szCs w:val="32"/>
          <w:lang w:val="zh-TW" w:eastAsia="zh-TW"/>
        </w:rPr>
        <w:t>万</w:t>
      </w:r>
      <w:r>
        <w:rPr>
          <w:rFonts w:hint="eastAsia" w:ascii="仿宋_GB2312" w:hAnsi="Courier New" w:eastAsia="仿宋_GB2312" w:cs="Courier New"/>
          <w:color w:val="000000"/>
          <w:kern w:val="0"/>
          <w:sz w:val="32"/>
          <w:szCs w:val="32"/>
          <w:lang w:val="en-US" w:eastAsia="zh-CN"/>
        </w:rPr>
        <w:t>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58</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TW"/>
        </w:rPr>
        <w:t>，注册经营范围满足所采购内容的供应商</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67CA0416">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资格文件外包封封面需留有以下信息：</w:t>
      </w:r>
    </w:p>
    <w:p w14:paraId="65EE0A25">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1D2131D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两</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19</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7803209B">
      <w:pPr>
        <w:pStyle w:val="11"/>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24DCA04B">
      <w:pPr>
        <w:pStyle w:val="11"/>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02DAD21A">
      <w:pPr>
        <w:pStyle w:val="11"/>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48FE1ADA">
      <w:pPr>
        <w:pStyle w:val="11"/>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0315A9E1">
      <w:pPr>
        <w:pStyle w:val="11"/>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6E2A2662">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58332A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329049">
      <w:pPr>
        <w:ind w:firstLine="600" w:firstLineChars="200"/>
        <w:rPr>
          <w:rFonts w:hint="eastAsia" w:ascii="仿宋" w:hAnsi="仿宋" w:eastAsia="仿宋"/>
          <w:color w:val="auto"/>
          <w:sz w:val="30"/>
          <w:szCs w:val="30"/>
        </w:rPr>
      </w:pPr>
    </w:p>
    <w:p w14:paraId="35DE613F">
      <w:pPr>
        <w:ind w:firstLine="600" w:firstLineChars="200"/>
        <w:rPr>
          <w:rFonts w:ascii="仿宋" w:hAnsi="仿宋" w:eastAsia="仿宋"/>
          <w:color w:val="auto"/>
          <w:sz w:val="30"/>
          <w:szCs w:val="30"/>
        </w:rPr>
      </w:pPr>
      <w:r>
        <w:rPr>
          <w:rFonts w:hint="eastAsia" w:ascii="仿宋" w:hAnsi="仿宋" w:eastAsia="仿宋"/>
          <w:color w:val="auto"/>
          <w:sz w:val="30"/>
          <w:szCs w:val="30"/>
        </w:rPr>
        <w:t>附件1</w:t>
      </w:r>
    </w:p>
    <w:p w14:paraId="3222BADA">
      <w:pPr>
        <w:pStyle w:val="4"/>
        <w:jc w:val="center"/>
        <w:rPr>
          <w:rFonts w:hint="eastAsia" w:hAnsi="宋体" w:cs="宋体"/>
          <w:b/>
          <w:sz w:val="36"/>
        </w:rPr>
      </w:pPr>
      <w:r>
        <w:rPr>
          <w:rFonts w:hint="eastAsia" w:hAnsi="宋体" w:cs="宋体"/>
          <w:b/>
          <w:sz w:val="36"/>
        </w:rPr>
        <w:t>采购需求一览表</w:t>
      </w:r>
    </w:p>
    <w:p w14:paraId="61E77BF8">
      <w:pPr>
        <w:pStyle w:val="2"/>
        <w:numPr>
          <w:ilvl w:val="0"/>
          <w:numId w:val="0"/>
        </w:numPr>
        <w:ind w:left="0" w:firstLine="0"/>
        <w:rPr>
          <w:rFonts w:hint="eastAsia" w:hAnsi="宋体" w:cs="宋体"/>
          <w:b/>
          <w:sz w:val="36"/>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3"/>
        <w:tblW w:w="1015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1"/>
        <w:gridCol w:w="742"/>
        <w:gridCol w:w="323"/>
        <w:gridCol w:w="532"/>
        <w:gridCol w:w="8333"/>
      </w:tblGrid>
      <w:tr w14:paraId="1E0339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221"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14:paraId="1248C565">
            <w:pPr>
              <w:pStyle w:val="4"/>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38CA7377">
            <w:pPr>
              <w:jc w:val="center"/>
              <w:rPr>
                <w:rFonts w:ascii="宋体" w:hAnsi="宋体"/>
                <w:b/>
                <w:color w:val="auto"/>
                <w:szCs w:val="21"/>
                <w:highlight w:val="none"/>
              </w:rPr>
            </w:pPr>
            <w:r>
              <w:rPr>
                <w:rFonts w:hint="eastAsia" w:ascii="宋体" w:hAnsi="宋体"/>
                <w:b/>
                <w:color w:val="auto"/>
                <w:szCs w:val="21"/>
                <w:highlight w:val="none"/>
              </w:rPr>
              <w:t>采购项目名称</w:t>
            </w:r>
          </w:p>
        </w:tc>
        <w:tc>
          <w:tcPr>
            <w:tcW w:w="323" w:type="dxa"/>
            <w:tcBorders>
              <w:top w:val="single" w:color="auto" w:sz="4" w:space="0"/>
              <w:left w:val="single" w:color="auto" w:sz="4" w:space="0"/>
              <w:bottom w:val="single" w:color="auto" w:sz="4" w:space="0"/>
              <w:right w:val="single" w:color="auto" w:sz="4" w:space="0"/>
            </w:tcBorders>
            <w:noWrap w:val="0"/>
            <w:vAlign w:val="center"/>
          </w:tcPr>
          <w:p w14:paraId="0E1D35C1">
            <w:pPr>
              <w:jc w:val="center"/>
              <w:rPr>
                <w:rFonts w:ascii="宋体" w:hAnsi="宋体"/>
                <w:b/>
                <w:color w:val="auto"/>
                <w:szCs w:val="21"/>
                <w:highlight w:val="none"/>
              </w:rPr>
            </w:pPr>
            <w:r>
              <w:rPr>
                <w:rFonts w:hint="eastAsia" w:ascii="宋体" w:hAnsi="宋体"/>
                <w:b/>
                <w:color w:val="auto"/>
                <w:szCs w:val="21"/>
                <w:highlight w:val="none"/>
              </w:rPr>
              <w:t>数量</w:t>
            </w:r>
          </w:p>
        </w:tc>
        <w:tc>
          <w:tcPr>
            <w:tcW w:w="532" w:type="dxa"/>
            <w:tcBorders>
              <w:top w:val="single" w:color="auto" w:sz="4" w:space="0"/>
              <w:left w:val="single" w:color="auto" w:sz="4" w:space="0"/>
              <w:bottom w:val="single" w:color="auto" w:sz="4" w:space="0"/>
              <w:right w:val="single" w:color="auto" w:sz="4" w:space="0"/>
            </w:tcBorders>
            <w:noWrap w:val="0"/>
            <w:vAlign w:val="center"/>
          </w:tcPr>
          <w:p w14:paraId="4053EE70">
            <w:pPr>
              <w:jc w:val="center"/>
              <w:rPr>
                <w:rFonts w:ascii="宋体" w:hAnsi="宋体"/>
                <w:b/>
                <w:color w:val="auto"/>
                <w:szCs w:val="21"/>
                <w:highlight w:val="none"/>
              </w:rPr>
            </w:pPr>
            <w:r>
              <w:rPr>
                <w:rFonts w:hint="eastAsia" w:ascii="宋体" w:hAnsi="宋体"/>
                <w:b/>
                <w:color w:val="auto"/>
                <w:szCs w:val="21"/>
                <w:highlight w:val="none"/>
              </w:rPr>
              <w:t>预算</w:t>
            </w:r>
          </w:p>
        </w:tc>
        <w:tc>
          <w:tcPr>
            <w:tcW w:w="8333" w:type="dxa"/>
            <w:tcBorders>
              <w:top w:val="single" w:color="auto" w:sz="4" w:space="0"/>
              <w:left w:val="single" w:color="auto" w:sz="4" w:space="0"/>
              <w:bottom w:val="single" w:color="auto" w:sz="4" w:space="0"/>
              <w:right w:val="single" w:color="auto" w:sz="4" w:space="0"/>
            </w:tcBorders>
            <w:noWrap w:val="0"/>
            <w:vAlign w:val="center"/>
          </w:tcPr>
          <w:p w14:paraId="366C501D">
            <w:pPr>
              <w:jc w:val="center"/>
              <w:rPr>
                <w:rFonts w:ascii="宋体" w:hAnsi="宋体"/>
                <w:b/>
                <w:color w:val="auto"/>
                <w:szCs w:val="21"/>
                <w:highlight w:val="none"/>
              </w:rPr>
            </w:pPr>
            <w:r>
              <w:rPr>
                <w:rFonts w:hint="eastAsia" w:ascii="宋体" w:hAnsi="宋体"/>
                <w:b/>
                <w:color w:val="auto"/>
                <w:szCs w:val="21"/>
                <w:highlight w:val="none"/>
              </w:rPr>
              <w:t>采购</w:t>
            </w:r>
            <w:r>
              <w:rPr>
                <w:rFonts w:hint="eastAsia" w:ascii="宋体" w:hAnsi="宋体"/>
                <w:b/>
                <w:color w:val="auto"/>
                <w:szCs w:val="21"/>
                <w:highlight w:val="none"/>
                <w:lang w:val="en-US" w:eastAsia="zh-CN"/>
              </w:rPr>
              <w:t>服务</w:t>
            </w:r>
            <w:r>
              <w:rPr>
                <w:rFonts w:hint="eastAsia" w:ascii="宋体" w:hAnsi="宋体"/>
                <w:b/>
                <w:color w:val="auto"/>
                <w:szCs w:val="21"/>
                <w:highlight w:val="none"/>
              </w:rPr>
              <w:t>内容及要求</w:t>
            </w:r>
          </w:p>
        </w:tc>
      </w:tr>
      <w:tr w14:paraId="63C262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221"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14:paraId="201112B5">
            <w:pPr>
              <w:jc w:val="center"/>
              <w:rPr>
                <w:rFonts w:ascii="宋体" w:hAnsi="宋体"/>
                <w:color w:val="auto"/>
                <w:szCs w:val="21"/>
                <w:highlight w:val="none"/>
              </w:rPr>
            </w:pPr>
            <w:r>
              <w:rPr>
                <w:rFonts w:ascii="宋体" w:hAnsi="宋体"/>
                <w:color w:val="auto"/>
                <w:szCs w:val="21"/>
                <w:highlight w:val="none"/>
              </w:rPr>
              <w:t>1</w:t>
            </w:r>
          </w:p>
        </w:tc>
        <w:tc>
          <w:tcPr>
            <w:tcW w:w="742" w:type="dxa"/>
            <w:tcBorders>
              <w:top w:val="single" w:color="auto" w:sz="4" w:space="0"/>
              <w:left w:val="single" w:color="auto" w:sz="4" w:space="0"/>
              <w:bottom w:val="single" w:color="auto" w:sz="4" w:space="0"/>
              <w:right w:val="single" w:color="auto" w:sz="4" w:space="0"/>
            </w:tcBorders>
            <w:noWrap w:val="0"/>
            <w:vAlign w:val="center"/>
          </w:tcPr>
          <w:p w14:paraId="103F0057">
            <w:pPr>
              <w:jc w:val="center"/>
              <w:rPr>
                <w:rFonts w:ascii="宋体" w:hAnsi="宋体"/>
                <w:color w:val="auto"/>
                <w:szCs w:val="21"/>
                <w:highlight w:val="none"/>
              </w:rPr>
            </w:pPr>
            <w:r>
              <w:rPr>
                <w:rFonts w:hint="eastAsia" w:ascii="宋体" w:hAnsi="宋体"/>
                <w:color w:val="auto"/>
                <w:szCs w:val="21"/>
                <w:highlight w:val="none"/>
              </w:rPr>
              <w:t>南宁中心血站2024年无偿献血荣誉证书</w:t>
            </w:r>
            <w:r>
              <w:rPr>
                <w:rFonts w:hint="eastAsia" w:ascii="宋体" w:hAnsi="宋体"/>
                <w:color w:val="auto"/>
                <w:szCs w:val="21"/>
                <w:highlight w:val="none"/>
                <w:lang w:val="en-US" w:eastAsia="zh-CN"/>
              </w:rPr>
              <w:t>及水晶牌匾邮寄</w:t>
            </w:r>
            <w:r>
              <w:rPr>
                <w:rFonts w:hint="eastAsia" w:ascii="宋体" w:hAnsi="宋体"/>
                <w:color w:val="auto"/>
                <w:szCs w:val="21"/>
                <w:highlight w:val="none"/>
              </w:rPr>
              <w:t>服务</w:t>
            </w:r>
          </w:p>
        </w:tc>
        <w:tc>
          <w:tcPr>
            <w:tcW w:w="323" w:type="dxa"/>
            <w:tcBorders>
              <w:top w:val="single" w:color="auto" w:sz="4" w:space="0"/>
              <w:left w:val="single" w:color="auto" w:sz="4" w:space="0"/>
              <w:bottom w:val="single" w:color="auto" w:sz="4" w:space="0"/>
              <w:right w:val="single" w:color="auto" w:sz="4" w:space="0"/>
            </w:tcBorders>
            <w:noWrap w:val="0"/>
            <w:vAlign w:val="center"/>
          </w:tcPr>
          <w:p w14:paraId="46CF57A9">
            <w:pPr>
              <w:jc w:val="center"/>
              <w:rPr>
                <w:rFonts w:ascii="宋体" w:hAnsi="宋体"/>
                <w:color w:val="auto"/>
                <w:szCs w:val="21"/>
                <w:highlight w:val="none"/>
              </w:rPr>
            </w:pPr>
            <w:r>
              <w:rPr>
                <w:rFonts w:hint="eastAsia" w:ascii="宋体" w:hAnsi="宋体"/>
                <w:color w:val="auto"/>
                <w:szCs w:val="21"/>
                <w:highlight w:val="none"/>
              </w:rPr>
              <w:t>1项</w:t>
            </w:r>
          </w:p>
        </w:tc>
        <w:tc>
          <w:tcPr>
            <w:tcW w:w="532" w:type="dxa"/>
            <w:tcBorders>
              <w:top w:val="single" w:color="auto" w:sz="4" w:space="0"/>
              <w:left w:val="single" w:color="auto" w:sz="4" w:space="0"/>
              <w:bottom w:val="single" w:color="auto" w:sz="4" w:space="0"/>
              <w:right w:val="single" w:color="auto" w:sz="4" w:space="0"/>
            </w:tcBorders>
            <w:noWrap w:val="0"/>
            <w:vAlign w:val="center"/>
          </w:tcPr>
          <w:p w14:paraId="185C93A1">
            <w:pPr>
              <w:jc w:val="both"/>
              <w:rPr>
                <w:rFonts w:ascii="宋体" w:hAnsi="宋体"/>
                <w:color w:val="auto"/>
                <w:szCs w:val="21"/>
                <w:highlight w:val="none"/>
              </w:rPr>
            </w:pPr>
            <w:r>
              <w:rPr>
                <w:rFonts w:hint="eastAsia" w:ascii="宋体" w:hAnsi="宋体"/>
                <w:color w:val="auto"/>
                <w:szCs w:val="21"/>
                <w:highlight w:val="none"/>
                <w:lang w:val="en-US" w:eastAsia="zh-CN"/>
              </w:rPr>
              <w:t>5.8</w:t>
            </w:r>
            <w:r>
              <w:rPr>
                <w:rFonts w:hint="eastAsia" w:ascii="宋体" w:hAnsi="宋体"/>
                <w:color w:val="auto"/>
                <w:szCs w:val="21"/>
                <w:highlight w:val="none"/>
              </w:rPr>
              <w:t>万元</w:t>
            </w:r>
          </w:p>
        </w:tc>
        <w:tc>
          <w:tcPr>
            <w:tcW w:w="8333" w:type="dxa"/>
            <w:tcBorders>
              <w:top w:val="single" w:color="auto" w:sz="4" w:space="0"/>
              <w:left w:val="single" w:color="auto" w:sz="4" w:space="0"/>
              <w:bottom w:val="single" w:color="auto" w:sz="4" w:space="0"/>
              <w:right w:val="single" w:color="auto" w:sz="4" w:space="0"/>
            </w:tcBorders>
            <w:noWrap w:val="0"/>
            <w:vAlign w:val="center"/>
          </w:tcPr>
          <w:p w14:paraId="2E3A93CE">
            <w:pPr>
              <w:widowControl w:val="0"/>
              <w:spacing w:after="120" w:line="240" w:lineRule="auto"/>
              <w:ind w:left="0" w:firstLine="0"/>
              <w:jc w:val="both"/>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1、</w:t>
            </w:r>
            <w:r>
              <w:rPr>
                <w:rFonts w:hint="eastAsia" w:ascii="Times New Roman" w:hAnsi="Times New Roman" w:eastAsia="宋体" w:cs="Times New Roman"/>
                <w:color w:val="auto"/>
                <w:kern w:val="2"/>
                <w:sz w:val="21"/>
                <w:szCs w:val="24"/>
                <w:highlight w:val="none"/>
                <w:lang w:val="en-US" w:eastAsia="zh-CN" w:bidi="ar-SA"/>
              </w:rPr>
              <w:t>提供链接和二维码，献血者</w:t>
            </w:r>
            <w:r>
              <w:rPr>
                <w:rFonts w:hint="eastAsia" w:cs="Times New Roman"/>
                <w:color w:val="auto"/>
                <w:kern w:val="2"/>
                <w:sz w:val="21"/>
                <w:szCs w:val="24"/>
                <w:highlight w:val="none"/>
                <w:lang w:val="en-US" w:eastAsia="zh-CN" w:bidi="ar-SA"/>
              </w:rPr>
              <w:t>可自行</w:t>
            </w:r>
            <w:r>
              <w:rPr>
                <w:rFonts w:hint="eastAsia" w:ascii="Times New Roman" w:hAnsi="Times New Roman" w:eastAsia="宋体" w:cs="Times New Roman"/>
                <w:color w:val="auto"/>
                <w:kern w:val="2"/>
                <w:sz w:val="21"/>
                <w:szCs w:val="24"/>
                <w:highlight w:val="none"/>
                <w:lang w:val="en-US" w:eastAsia="zh-CN" w:bidi="ar-SA"/>
              </w:rPr>
              <w:t>登录快递系统填写能够投递的有效详细地址，并且快递公司自动获取地址信息，无效地址不予投递。</w:t>
            </w:r>
          </w:p>
          <w:p w14:paraId="3A0FA7FC">
            <w:pPr>
              <w:widowControl w:val="0"/>
              <w:spacing w:after="120" w:line="240" w:lineRule="auto"/>
              <w:ind w:left="0" w:firstLine="0"/>
              <w:jc w:val="both"/>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投递要求：在投递过程中保持物件的完好无损，能准确无误的投递到提供的收件人手中，由收件人本人签收。</w:t>
            </w:r>
          </w:p>
          <w:p w14:paraId="2FD1FE42">
            <w:pPr>
              <w:widowControl w:val="0"/>
              <w:spacing w:after="120" w:line="240" w:lineRule="auto"/>
              <w:ind w:left="0" w:firstLine="0"/>
              <w:jc w:val="both"/>
              <w:rPr>
                <w:rFonts w:hint="default"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3、</w:t>
            </w:r>
            <w:r>
              <w:rPr>
                <w:rFonts w:hint="eastAsia" w:cs="Times New Roman"/>
                <w:color w:val="auto"/>
                <w:kern w:val="2"/>
                <w:sz w:val="21"/>
                <w:szCs w:val="24"/>
                <w:highlight w:val="none"/>
                <w:lang w:val="en-US" w:eastAsia="zh-CN" w:bidi="ar-SA"/>
              </w:rPr>
              <w:t>邮寄数量：邮寄总数不超过8000件，供应商需按下表分类报价：</w:t>
            </w:r>
          </w:p>
          <w:tbl>
            <w:tblPr>
              <w:tblStyle w:val="14"/>
              <w:tblpPr w:leftFromText="180" w:rightFromText="180" w:vertAnchor="text" w:horzAnchor="page" w:tblpXSpec="center" w:tblpY="297"/>
              <w:tblOverlap w:val="never"/>
              <w:tblW w:w="81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33"/>
              <w:gridCol w:w="3150"/>
              <w:gridCol w:w="1212"/>
              <w:gridCol w:w="1637"/>
            </w:tblGrid>
            <w:tr w14:paraId="41DF7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57C5B355">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433" w:type="dxa"/>
                  <w:noWrap w:val="0"/>
                  <w:vAlign w:val="center"/>
                </w:tcPr>
                <w:p w14:paraId="054FFEC8">
                  <w:pPr>
                    <w:pStyle w:val="6"/>
                    <w:jc w:val="center"/>
                    <w:rPr>
                      <w:rFonts w:ascii="宋体" w:hAnsi="宋体" w:eastAsia="宋体" w:cs="宋体"/>
                      <w:kern w:val="0"/>
                      <w:sz w:val="20"/>
                      <w:szCs w:val="21"/>
                    </w:rPr>
                  </w:pPr>
                  <w:r>
                    <w:rPr>
                      <w:rFonts w:hint="eastAsia" w:ascii="宋体" w:hAnsi="宋体" w:eastAsia="宋体" w:cs="宋体"/>
                      <w:kern w:val="0"/>
                      <w:sz w:val="20"/>
                      <w:szCs w:val="21"/>
                    </w:rPr>
                    <w:t>邮递地区</w:t>
                  </w:r>
                </w:p>
              </w:tc>
              <w:tc>
                <w:tcPr>
                  <w:tcW w:w="3150" w:type="dxa"/>
                  <w:noWrap w:val="0"/>
                  <w:vAlign w:val="center"/>
                </w:tcPr>
                <w:p w14:paraId="49470B9D">
                  <w:pPr>
                    <w:pStyle w:val="6"/>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邮寄内容</w:t>
                  </w:r>
                </w:p>
              </w:tc>
              <w:tc>
                <w:tcPr>
                  <w:tcW w:w="1212" w:type="dxa"/>
                  <w:noWrap w:val="0"/>
                  <w:vAlign w:val="center"/>
                </w:tcPr>
                <w:p w14:paraId="3AE28A97">
                  <w:pPr>
                    <w:pStyle w:val="6"/>
                    <w:jc w:val="center"/>
                    <w:rPr>
                      <w:rFonts w:ascii="宋体" w:hAnsi="宋体" w:eastAsia="宋体" w:cs="宋体"/>
                      <w:kern w:val="0"/>
                      <w:sz w:val="20"/>
                      <w:szCs w:val="21"/>
                    </w:rPr>
                  </w:pPr>
                  <w:r>
                    <w:rPr>
                      <w:rFonts w:hint="eastAsia" w:ascii="宋体" w:hAnsi="宋体" w:eastAsia="宋体" w:cs="宋体"/>
                      <w:kern w:val="0"/>
                      <w:sz w:val="20"/>
                      <w:szCs w:val="21"/>
                    </w:rPr>
                    <w:t>数量（份）</w:t>
                  </w:r>
                </w:p>
              </w:tc>
              <w:tc>
                <w:tcPr>
                  <w:tcW w:w="1637" w:type="dxa"/>
                  <w:noWrap w:val="0"/>
                  <w:vAlign w:val="center"/>
                </w:tcPr>
                <w:p w14:paraId="4C8D99A0">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3ED32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0F2674BD">
                  <w:pPr>
                    <w:pStyle w:val="6"/>
                    <w:jc w:val="center"/>
                    <w:rPr>
                      <w:rFonts w:ascii="宋体" w:hAnsi="宋体" w:eastAsia="宋体" w:cs="宋体"/>
                      <w:kern w:val="0"/>
                      <w:sz w:val="20"/>
                      <w:szCs w:val="21"/>
                    </w:rPr>
                  </w:pPr>
                  <w:r>
                    <w:rPr>
                      <w:rFonts w:hint="eastAsia" w:ascii="宋体" w:hAnsi="宋体" w:eastAsia="宋体" w:cs="宋体"/>
                      <w:kern w:val="0"/>
                      <w:sz w:val="20"/>
                      <w:szCs w:val="21"/>
                    </w:rPr>
                    <w:t>1</w:t>
                  </w:r>
                </w:p>
              </w:tc>
              <w:tc>
                <w:tcPr>
                  <w:tcW w:w="1433" w:type="dxa"/>
                  <w:vMerge w:val="restart"/>
                  <w:noWrap w:val="0"/>
                  <w:vAlign w:val="center"/>
                </w:tcPr>
                <w:p w14:paraId="73A0D71F">
                  <w:pPr>
                    <w:pStyle w:val="6"/>
                    <w:jc w:val="center"/>
                    <w:rPr>
                      <w:rFonts w:ascii="宋体" w:hAnsi="宋体" w:eastAsia="宋体" w:cs="宋体"/>
                      <w:kern w:val="0"/>
                      <w:sz w:val="20"/>
                      <w:szCs w:val="21"/>
                    </w:rPr>
                  </w:pPr>
                  <w:r>
                    <w:rPr>
                      <w:rFonts w:hint="eastAsia" w:eastAsia="宋体" w:cs="Times New Roman"/>
                      <w:kern w:val="0"/>
                      <w:sz w:val="20"/>
                    </w:rPr>
                    <w:t>广西区内</w:t>
                  </w:r>
                </w:p>
              </w:tc>
              <w:tc>
                <w:tcPr>
                  <w:tcW w:w="3150" w:type="dxa"/>
                  <w:noWrap w:val="0"/>
                  <w:vAlign w:val="center"/>
                </w:tcPr>
                <w:p w14:paraId="604A0688">
                  <w:pPr>
                    <w:pStyle w:val="6"/>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w:t>
                  </w:r>
                </w:p>
              </w:tc>
              <w:tc>
                <w:tcPr>
                  <w:tcW w:w="1212" w:type="dxa"/>
                  <w:noWrap w:val="0"/>
                  <w:vAlign w:val="center"/>
                </w:tcPr>
                <w:p w14:paraId="6FCBC77D">
                  <w:pPr>
                    <w:pStyle w:val="6"/>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约6900</w:t>
                  </w:r>
                </w:p>
              </w:tc>
              <w:tc>
                <w:tcPr>
                  <w:tcW w:w="1637" w:type="dxa"/>
                  <w:noWrap w:val="0"/>
                  <w:vAlign w:val="center"/>
                </w:tcPr>
                <w:p w14:paraId="3EFD83A6">
                  <w:pPr>
                    <w:pStyle w:val="6"/>
                    <w:jc w:val="center"/>
                    <w:rPr>
                      <w:rFonts w:ascii="宋体" w:hAnsi="宋体" w:eastAsia="宋体" w:cs="宋体"/>
                      <w:color w:val="auto"/>
                      <w:kern w:val="0"/>
                      <w:sz w:val="20"/>
                      <w:szCs w:val="21"/>
                    </w:rPr>
                  </w:pPr>
                  <w:r>
                    <w:rPr>
                      <w:rFonts w:hint="eastAsia" w:ascii="Times New Roman" w:hAnsi="Times New Roman" w:cs="Times New Roman"/>
                      <w:color w:val="auto"/>
                      <w:kern w:val="2"/>
                      <w:sz w:val="21"/>
                      <w:szCs w:val="24"/>
                      <w:highlight w:val="none"/>
                      <w:lang w:val="en-US" w:eastAsia="zh-CN" w:bidi="ar-SA"/>
                    </w:rPr>
                    <w:t>整体邮寄重量不超1kg</w:t>
                  </w:r>
                </w:p>
              </w:tc>
            </w:tr>
            <w:tr w14:paraId="2600A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5C6E4B59">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2</w:t>
                  </w:r>
                </w:p>
              </w:tc>
              <w:tc>
                <w:tcPr>
                  <w:tcW w:w="1433" w:type="dxa"/>
                  <w:vMerge w:val="continue"/>
                  <w:noWrap w:val="0"/>
                  <w:vAlign w:val="center"/>
                </w:tcPr>
                <w:p w14:paraId="4A00BBC9">
                  <w:pPr>
                    <w:pStyle w:val="6"/>
                    <w:jc w:val="center"/>
                    <w:rPr>
                      <w:rFonts w:ascii="宋体" w:hAnsi="宋体" w:eastAsia="宋体" w:cs="宋体"/>
                      <w:kern w:val="0"/>
                      <w:sz w:val="20"/>
                      <w:szCs w:val="21"/>
                    </w:rPr>
                  </w:pPr>
                </w:p>
              </w:tc>
              <w:tc>
                <w:tcPr>
                  <w:tcW w:w="3150" w:type="dxa"/>
                  <w:noWrap w:val="0"/>
                  <w:vAlign w:val="center"/>
                </w:tcPr>
                <w:p w14:paraId="3C31347F">
                  <w:pPr>
                    <w:pStyle w:val="6"/>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+证书外壳+水晶牌匾</w:t>
                  </w:r>
                </w:p>
              </w:tc>
              <w:tc>
                <w:tcPr>
                  <w:tcW w:w="1212" w:type="dxa"/>
                  <w:noWrap w:val="0"/>
                  <w:vAlign w:val="center"/>
                </w:tcPr>
                <w:p w14:paraId="7DAA2330">
                  <w:pPr>
                    <w:pStyle w:val="6"/>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约100</w:t>
                  </w:r>
                </w:p>
              </w:tc>
              <w:tc>
                <w:tcPr>
                  <w:tcW w:w="1637" w:type="dxa"/>
                  <w:noWrap w:val="0"/>
                  <w:vAlign w:val="center"/>
                </w:tcPr>
                <w:p w14:paraId="11B71AE5">
                  <w:pPr>
                    <w:pStyle w:val="6"/>
                    <w:jc w:val="center"/>
                    <w:rPr>
                      <w:rFonts w:hint="eastAsia" w:ascii="宋体" w:hAnsi="宋体" w:eastAsia="宋体" w:cs="宋体"/>
                      <w:color w:val="auto"/>
                      <w:kern w:val="0"/>
                      <w:sz w:val="20"/>
                      <w:szCs w:val="21"/>
                      <w:lang w:val="en-US" w:eastAsia="zh-CN"/>
                    </w:rPr>
                  </w:pPr>
                  <w:r>
                    <w:rPr>
                      <w:rFonts w:hint="eastAsia" w:ascii="Times New Roman" w:hAnsi="Times New Roman" w:cs="Times New Roman"/>
                      <w:color w:val="auto"/>
                      <w:kern w:val="2"/>
                      <w:sz w:val="21"/>
                      <w:szCs w:val="24"/>
                      <w:highlight w:val="none"/>
                      <w:lang w:val="en-US" w:eastAsia="zh-CN" w:bidi="ar-SA"/>
                    </w:rPr>
                    <w:t>整体邮寄重量不超2kg</w:t>
                  </w:r>
                </w:p>
              </w:tc>
            </w:tr>
            <w:tr w14:paraId="3D9E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70B76278">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3</w:t>
                  </w:r>
                </w:p>
              </w:tc>
              <w:tc>
                <w:tcPr>
                  <w:tcW w:w="1433" w:type="dxa"/>
                  <w:noWrap w:val="0"/>
                  <w:vAlign w:val="center"/>
                </w:tcPr>
                <w:p w14:paraId="450C9F93">
                  <w:pPr>
                    <w:pStyle w:val="6"/>
                    <w:jc w:val="center"/>
                    <w:rPr>
                      <w:rFonts w:ascii="宋体" w:hAnsi="宋体" w:eastAsia="宋体" w:cs="宋体"/>
                      <w:kern w:val="0"/>
                      <w:sz w:val="20"/>
                      <w:szCs w:val="21"/>
                    </w:rPr>
                  </w:pPr>
                  <w:r>
                    <w:rPr>
                      <w:rFonts w:hint="eastAsia" w:eastAsia="宋体" w:cs="Times New Roman"/>
                      <w:kern w:val="0"/>
                      <w:sz w:val="20"/>
                    </w:rPr>
                    <w:t>广西区外</w:t>
                  </w:r>
                </w:p>
              </w:tc>
              <w:tc>
                <w:tcPr>
                  <w:tcW w:w="3150" w:type="dxa"/>
                  <w:noWrap w:val="0"/>
                  <w:vAlign w:val="center"/>
                </w:tcPr>
                <w:p w14:paraId="76E09BAB">
                  <w:pPr>
                    <w:pStyle w:val="6"/>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w:t>
                  </w:r>
                </w:p>
              </w:tc>
              <w:tc>
                <w:tcPr>
                  <w:tcW w:w="1212" w:type="dxa"/>
                  <w:noWrap w:val="0"/>
                  <w:vAlign w:val="center"/>
                </w:tcPr>
                <w:p w14:paraId="5DD17655">
                  <w:pPr>
                    <w:pStyle w:val="6"/>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约1000</w:t>
                  </w:r>
                </w:p>
              </w:tc>
              <w:tc>
                <w:tcPr>
                  <w:tcW w:w="1637" w:type="dxa"/>
                  <w:noWrap w:val="0"/>
                  <w:vAlign w:val="center"/>
                </w:tcPr>
                <w:p w14:paraId="2B6284FE">
                  <w:pPr>
                    <w:pStyle w:val="6"/>
                    <w:jc w:val="center"/>
                    <w:rPr>
                      <w:rFonts w:ascii="宋体" w:hAnsi="宋体" w:eastAsia="宋体" w:cs="宋体"/>
                      <w:color w:val="auto"/>
                      <w:kern w:val="0"/>
                      <w:sz w:val="20"/>
                      <w:szCs w:val="21"/>
                    </w:rPr>
                  </w:pPr>
                  <w:r>
                    <w:rPr>
                      <w:rFonts w:hint="eastAsia" w:ascii="Times New Roman" w:hAnsi="Times New Roman" w:cs="Times New Roman"/>
                      <w:color w:val="auto"/>
                      <w:kern w:val="2"/>
                      <w:sz w:val="21"/>
                      <w:szCs w:val="24"/>
                      <w:highlight w:val="none"/>
                      <w:lang w:val="en-US" w:eastAsia="zh-CN" w:bidi="ar-SA"/>
                    </w:rPr>
                    <w:t>整体邮寄重量不超1kg</w:t>
                  </w:r>
                </w:p>
              </w:tc>
            </w:tr>
          </w:tbl>
          <w:p w14:paraId="52574F69">
            <w:pPr>
              <w:widowControl w:val="0"/>
              <w:spacing w:after="120" w:line="240" w:lineRule="auto"/>
              <w:ind w:left="0" w:firstLine="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w:t>
            </w:r>
            <w:r>
              <w:rPr>
                <w:rFonts w:hint="eastAsia" w:ascii="Times New Roman" w:hAnsi="Times New Roman"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寄件内容：</w:t>
            </w:r>
          </w:p>
          <w:p w14:paraId="05BE62DC">
            <w:pPr>
              <w:widowControl w:val="0"/>
              <w:spacing w:after="120" w:line="240" w:lineRule="auto"/>
              <w:ind w:left="0" w:firstLine="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（1）证书内页（34*24cm，内页原件只1份，请做好防护，防止损坏及丢失）+证书外壳（25*17.5cm，请做好防护，防止损坏及丢失），不超过8000件。</w:t>
            </w:r>
          </w:p>
          <w:p w14:paraId="405B75E4">
            <w:pPr>
              <w:widowControl w:val="0"/>
              <w:spacing w:after="120" w:line="240" w:lineRule="auto"/>
              <w:ind w:left="0" w:firstLine="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（2）水晶牌匾（</w:t>
            </w:r>
            <w:r>
              <w:rPr>
                <w:rFonts w:hint="eastAsia" w:ascii="Times New Roman" w:hAnsi="Times New Roman" w:cs="Times New Roman"/>
                <w:color w:val="auto"/>
                <w:kern w:val="2"/>
                <w:sz w:val="21"/>
                <w:szCs w:val="24"/>
                <w:highlight w:val="none"/>
                <w:lang w:val="en-US" w:eastAsia="zh-CN" w:bidi="ar-SA"/>
              </w:rPr>
              <w:t>水晶牌匾外包装长35cm*宽</w:t>
            </w:r>
            <w:r>
              <w:rPr>
                <w:rFonts w:hint="eastAsia" w:ascii="Times New Roman" w:hAnsi="Times New Roman" w:eastAsia="宋体" w:cs="Times New Roman"/>
                <w:color w:val="auto"/>
                <w:kern w:val="2"/>
                <w:sz w:val="21"/>
                <w:szCs w:val="24"/>
                <w:highlight w:val="none"/>
                <w:lang w:val="en-US" w:eastAsia="zh-CN" w:bidi="ar-SA"/>
              </w:rPr>
              <w:t>25</w:t>
            </w:r>
            <w:r>
              <w:rPr>
                <w:rFonts w:hint="eastAsia" w:ascii="Times New Roman" w:hAnsi="Times New Roman" w:cs="Times New Roman"/>
                <w:color w:val="auto"/>
                <w:kern w:val="2"/>
                <w:sz w:val="21"/>
                <w:szCs w:val="24"/>
                <w:highlight w:val="none"/>
                <w:lang w:val="en-US" w:eastAsia="zh-CN" w:bidi="ar-SA"/>
              </w:rPr>
              <w:t>cm</w:t>
            </w:r>
            <w:r>
              <w:rPr>
                <w:rFonts w:hint="eastAsia" w:ascii="Times New Roman" w:hAnsi="Times New Roman" w:eastAsia="宋体" w:cs="Times New Roman"/>
                <w:color w:val="auto"/>
                <w:kern w:val="2"/>
                <w:sz w:val="21"/>
                <w:szCs w:val="24"/>
                <w:highlight w:val="none"/>
                <w:lang w:val="en-US" w:eastAsia="zh-CN" w:bidi="ar-SA"/>
              </w:rPr>
              <w:t>*</w:t>
            </w:r>
            <w:r>
              <w:rPr>
                <w:rFonts w:hint="eastAsia" w:ascii="Times New Roman" w:hAnsi="Times New Roman" w:cs="Times New Roman"/>
                <w:color w:val="auto"/>
                <w:kern w:val="2"/>
                <w:sz w:val="21"/>
                <w:szCs w:val="24"/>
                <w:highlight w:val="none"/>
                <w:lang w:val="en-US" w:eastAsia="zh-CN" w:bidi="ar-SA"/>
              </w:rPr>
              <w:t>厚3</w:t>
            </w:r>
            <w:r>
              <w:rPr>
                <w:rFonts w:hint="eastAsia" w:ascii="Times New Roman" w:hAnsi="Times New Roman" w:eastAsia="宋体" w:cs="Times New Roman"/>
                <w:color w:val="auto"/>
                <w:kern w:val="2"/>
                <w:sz w:val="21"/>
                <w:szCs w:val="24"/>
                <w:highlight w:val="none"/>
                <w:lang w:val="en-US" w:eastAsia="zh-CN" w:bidi="ar-SA"/>
              </w:rPr>
              <w:t>cm）+证书内页（34*24cm，内页原件只1份，请做好防护，防止损坏及丢失）+证书外壳（25*17.5cm，外壳为血站定制请做好防护，防止损坏及丢失），不超过100件</w:t>
            </w:r>
            <w:r>
              <w:rPr>
                <w:rFonts w:hint="eastAsia" w:ascii="Times New Roman" w:hAnsi="Times New Roman" w:cs="Times New Roman"/>
                <w:color w:val="auto"/>
                <w:kern w:val="2"/>
                <w:sz w:val="21"/>
                <w:szCs w:val="24"/>
                <w:highlight w:val="none"/>
                <w:lang w:val="en-US" w:eastAsia="zh-CN" w:bidi="ar-SA"/>
              </w:rPr>
              <w:t>，整体邮寄重量不超2kg</w:t>
            </w:r>
            <w:r>
              <w:rPr>
                <w:rFonts w:hint="eastAsia" w:ascii="Times New Roman" w:hAnsi="Times New Roman" w:eastAsia="宋体" w:cs="Times New Roman"/>
                <w:color w:val="auto"/>
                <w:kern w:val="2"/>
                <w:sz w:val="21"/>
                <w:szCs w:val="24"/>
                <w:highlight w:val="none"/>
                <w:lang w:val="en-US" w:eastAsia="zh-CN" w:bidi="ar-SA"/>
              </w:rPr>
              <w:t>。</w:t>
            </w:r>
          </w:p>
          <w:p w14:paraId="7216E2D5">
            <w:pPr>
              <w:pStyle w:val="11"/>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w:t>
            </w:r>
            <w:r>
              <w:rPr>
                <w:rFonts w:hint="eastAsia" w:ascii="Times New Roman" w:hAnsi="Times New Roman"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服务内容：</w:t>
            </w:r>
          </w:p>
          <w:p w14:paraId="171129CD">
            <w:pPr>
              <w:pStyle w:val="11"/>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（1）上门封装、取件，使用采购人提供的定制邮寄文件袋</w:t>
            </w:r>
            <w:r>
              <w:rPr>
                <w:rFonts w:hint="eastAsia" w:ascii="Times New Roman" w:hAnsi="Times New Roman" w:cs="Times New Roman"/>
                <w:color w:val="auto"/>
                <w:kern w:val="2"/>
                <w:sz w:val="21"/>
                <w:szCs w:val="24"/>
                <w:highlight w:val="none"/>
                <w:lang w:val="en-US" w:eastAsia="zh-CN" w:bidi="ar-SA"/>
              </w:rPr>
              <w:t>投递</w:t>
            </w:r>
            <w:r>
              <w:rPr>
                <w:rFonts w:hint="eastAsia" w:ascii="Times New Roman" w:hAnsi="Times New Roman" w:eastAsia="宋体" w:cs="Times New Roman"/>
                <w:color w:val="auto"/>
                <w:kern w:val="2"/>
                <w:sz w:val="21"/>
                <w:szCs w:val="24"/>
                <w:highlight w:val="none"/>
                <w:lang w:val="en-US" w:eastAsia="zh-CN" w:bidi="ar-SA"/>
              </w:rPr>
              <w:t>。</w:t>
            </w:r>
          </w:p>
          <w:p w14:paraId="6DF32022">
            <w:pPr>
              <w:pStyle w:val="11"/>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（2）寄件、收件地址打印粘贴服务。</w:t>
            </w:r>
          </w:p>
          <w:p w14:paraId="759C5EDE">
            <w:pPr>
              <w:pStyle w:val="11"/>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（3）核对需投递的证书姓名与收件人姓名相符并确保无误，寄件按献血者填写的地址投递。</w:t>
            </w:r>
          </w:p>
          <w:p w14:paraId="02044E01">
            <w:pPr>
              <w:pStyle w:val="11"/>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（4）对血站所提供的相关资料保密。</w:t>
            </w:r>
          </w:p>
          <w:p w14:paraId="5112906A">
            <w:pPr>
              <w:pStyle w:val="11"/>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（5）所寄寄件符合规定，水晶牌匾包装妥当，如有在运输过程中发生丢失、损毁或短少的，需按原件补做回丢失件并再次投递（不另外收取费用）。</w:t>
            </w:r>
          </w:p>
          <w:p w14:paraId="3BB926FB">
            <w:pPr>
              <w:pStyle w:val="11"/>
              <w:ind w:left="0" w:leftChars="0" w:firstLine="210" w:firstLineChars="1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（6）</w:t>
            </w:r>
            <w:r>
              <w:rPr>
                <w:rFonts w:hint="eastAsia" w:ascii="Times New Roman" w:hAnsi="Times New Roman" w:eastAsia="宋体" w:cs="Times New Roman"/>
                <w:color w:val="auto"/>
                <w:kern w:val="2"/>
                <w:sz w:val="21"/>
                <w:szCs w:val="24"/>
                <w:highlight w:val="none"/>
                <w:lang w:val="en-US" w:eastAsia="zh-CN" w:bidi="ar-SA"/>
              </w:rPr>
              <w:t>在投递过程中如果遇到献血者提供的地址不准确、不清楚，或者收件人搬离原住所等其它情况的，应及时跟血站联系解决，确实无法投递的，应及时将原件退回血站。</w:t>
            </w:r>
          </w:p>
          <w:p w14:paraId="652C844F">
            <w:pPr>
              <w:pStyle w:val="11"/>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7、</w:t>
            </w:r>
            <w:r>
              <w:rPr>
                <w:rFonts w:hint="eastAsia" w:ascii="Times New Roman" w:hAnsi="Times New Roman" w:eastAsia="宋体" w:cs="Times New Roman"/>
                <w:color w:val="auto"/>
                <w:kern w:val="2"/>
                <w:sz w:val="21"/>
                <w:szCs w:val="24"/>
                <w:highlight w:val="none"/>
                <w:lang w:val="en-US" w:eastAsia="zh-CN" w:bidi="ar-SA"/>
              </w:rPr>
              <w:t>投递期限：自血站交寄之日起5个工作日内寄发完毕，20个工作日内投递完毕。</w:t>
            </w:r>
          </w:p>
          <w:p w14:paraId="33AEB6C4">
            <w:pPr>
              <w:pStyle w:val="11"/>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8、</w:t>
            </w:r>
            <w:r>
              <w:rPr>
                <w:rFonts w:hint="eastAsia" w:ascii="Times New Roman" w:hAnsi="Times New Roman" w:eastAsia="宋体" w:cs="Times New Roman"/>
                <w:color w:val="auto"/>
                <w:kern w:val="2"/>
                <w:sz w:val="21"/>
                <w:szCs w:val="24"/>
                <w:highlight w:val="none"/>
                <w:lang w:val="en-US" w:eastAsia="zh-CN" w:bidi="ar-SA"/>
              </w:rPr>
              <w:t>交投工作结束后，10个工作日内提供妥投清单及退回清单，退回清单应与退回实物一致，并做好交接签收。</w:t>
            </w:r>
          </w:p>
          <w:p w14:paraId="6E2B3989">
            <w:pPr>
              <w:pStyle w:val="11"/>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9</w:t>
            </w:r>
            <w:r>
              <w:rPr>
                <w:rFonts w:hint="eastAsia" w:ascii="Times New Roman" w:hAnsi="Times New Roman" w:eastAsia="宋体" w:cs="Times New Roman"/>
                <w:color w:val="auto"/>
                <w:kern w:val="2"/>
                <w:sz w:val="21"/>
                <w:szCs w:val="24"/>
                <w:highlight w:val="none"/>
                <w:lang w:val="en-US" w:eastAsia="zh-CN" w:bidi="ar-SA"/>
              </w:rPr>
              <w:t>、最终结算价格以实际寄件数量乘以单价的总额为准，且不超过预算总价。</w:t>
            </w:r>
          </w:p>
        </w:tc>
      </w:tr>
      <w:tr w14:paraId="6C943F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21"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14:paraId="71092835">
            <w:pPr>
              <w:jc w:val="center"/>
              <w:rPr>
                <w:rFonts w:ascii="Times New Roman" w:hAnsi="Times New Roman"/>
                <w:color w:val="auto"/>
                <w:szCs w:val="21"/>
                <w:highlight w:val="none"/>
              </w:rPr>
            </w:pPr>
            <w:r>
              <w:rPr>
                <w:rFonts w:hint="eastAsia" w:ascii="Times New Roman" w:hAnsi="Times New Roman"/>
                <w:color w:val="auto"/>
                <w:szCs w:val="21"/>
                <w:highlight w:val="none"/>
              </w:rPr>
              <w:t>商务</w:t>
            </w:r>
            <w:r>
              <w:rPr>
                <w:rFonts w:ascii="Times New Roman" w:hAnsi="Times New Roman"/>
                <w:color w:val="auto"/>
                <w:szCs w:val="21"/>
                <w:highlight w:val="none"/>
              </w:rPr>
              <w:t>条款</w:t>
            </w:r>
          </w:p>
        </w:tc>
        <w:tc>
          <w:tcPr>
            <w:tcW w:w="9930" w:type="dxa"/>
            <w:gridSpan w:val="4"/>
            <w:tcBorders>
              <w:top w:val="single" w:color="auto" w:sz="4" w:space="0"/>
              <w:left w:val="single" w:color="auto" w:sz="4" w:space="0"/>
              <w:bottom w:val="single" w:color="auto" w:sz="4" w:space="0"/>
              <w:right w:val="single" w:color="auto" w:sz="4" w:space="0"/>
            </w:tcBorders>
            <w:noWrap w:val="0"/>
            <w:vAlign w:val="center"/>
          </w:tcPr>
          <w:p w14:paraId="5AABF5C9">
            <w:pPr>
              <w:numPr>
                <w:ilvl w:val="0"/>
                <w:numId w:val="2"/>
              </w:numPr>
              <w:spacing w:line="276" w:lineRule="auto"/>
              <w:rPr>
                <w:rFonts w:ascii="Times New Roman" w:hAnsi="Times New Roman"/>
                <w:color w:val="auto"/>
                <w:szCs w:val="21"/>
                <w:highlight w:val="none"/>
              </w:rPr>
            </w:pPr>
            <w:r>
              <w:rPr>
                <w:rFonts w:ascii="Times New Roman" w:hAnsi="Times New Roman"/>
                <w:color w:val="auto"/>
                <w:szCs w:val="21"/>
                <w:highlight w:val="none"/>
              </w:rPr>
              <w:t>合同签订期：自采购结果公告结束之日起</w:t>
            </w:r>
            <w:r>
              <w:rPr>
                <w:rFonts w:hint="eastAsia"/>
                <w:color w:val="auto"/>
                <w:szCs w:val="21"/>
                <w:highlight w:val="none"/>
                <w:lang w:val="en-US" w:eastAsia="zh-CN"/>
              </w:rPr>
              <w:t>10</w:t>
            </w:r>
            <w:r>
              <w:rPr>
                <w:rFonts w:ascii="Times New Roman" w:hAnsi="Times New Roman"/>
                <w:color w:val="auto"/>
                <w:szCs w:val="21"/>
                <w:highlight w:val="none"/>
              </w:rPr>
              <w:t xml:space="preserve">个工作日内。 </w:t>
            </w:r>
          </w:p>
          <w:p w14:paraId="3955940F">
            <w:pPr>
              <w:spacing w:line="276" w:lineRule="auto"/>
              <w:rPr>
                <w:rFonts w:ascii="Times New Roman" w:hAnsi="Times New Roman"/>
                <w:color w:val="auto"/>
                <w:szCs w:val="21"/>
                <w:highlight w:val="none"/>
              </w:rPr>
            </w:pPr>
            <w:r>
              <w:rPr>
                <w:rFonts w:ascii="Times New Roman" w:hAnsi="Times New Roman"/>
                <w:color w:val="auto"/>
                <w:szCs w:val="21"/>
                <w:highlight w:val="none"/>
              </w:rPr>
              <w:t>二、服务期限：自合同签订之日起至</w:t>
            </w:r>
            <w:r>
              <w:rPr>
                <w:rFonts w:hint="eastAsia" w:ascii="Times New Roman" w:hAnsi="Times New Roman"/>
                <w:color w:val="auto"/>
                <w:szCs w:val="21"/>
                <w:highlight w:val="none"/>
                <w:lang w:eastAsia="zh-CN"/>
              </w:rPr>
              <w:t>投递服务完成</w:t>
            </w:r>
            <w:r>
              <w:rPr>
                <w:rFonts w:ascii="Times New Roman" w:hAnsi="Times New Roman"/>
                <w:color w:val="auto"/>
                <w:szCs w:val="21"/>
                <w:highlight w:val="none"/>
              </w:rPr>
              <w:t xml:space="preserve">。 </w:t>
            </w:r>
          </w:p>
          <w:p w14:paraId="661056D8">
            <w:pPr>
              <w:spacing w:line="276" w:lineRule="auto"/>
              <w:rPr>
                <w:rFonts w:ascii="Times New Roman" w:hAnsi="Times New Roman"/>
                <w:color w:val="auto"/>
                <w:szCs w:val="21"/>
                <w:highlight w:val="none"/>
              </w:rPr>
            </w:pPr>
            <w:r>
              <w:rPr>
                <w:rFonts w:ascii="Times New Roman" w:hAnsi="Times New Roman"/>
                <w:color w:val="auto"/>
                <w:szCs w:val="21"/>
                <w:highlight w:val="none"/>
              </w:rPr>
              <w:t xml:space="preserve">三、服务地点：由采购人指定地点。 </w:t>
            </w:r>
          </w:p>
          <w:p w14:paraId="7687A580">
            <w:pPr>
              <w:spacing w:line="276" w:lineRule="auto"/>
              <w:rPr>
                <w:rFonts w:ascii="Times New Roman" w:hAnsi="Times New Roman"/>
                <w:color w:val="auto"/>
                <w:szCs w:val="21"/>
                <w:highlight w:val="none"/>
              </w:rPr>
            </w:pPr>
            <w:r>
              <w:rPr>
                <w:rFonts w:ascii="Times New Roman" w:hAnsi="Times New Roman"/>
                <w:color w:val="auto"/>
                <w:szCs w:val="21"/>
                <w:highlight w:val="none"/>
              </w:rPr>
              <w:t xml:space="preserve">四、付款方式：全部寄件完成寄送后，成交供应商提交寄送清单，按照实际寄件数乘以单价的总额一次性付款（付款前需提供等额合规的增值税普通发票）。 </w:t>
            </w:r>
          </w:p>
          <w:p w14:paraId="10E15FEB">
            <w:pPr>
              <w:spacing w:line="276" w:lineRule="auto"/>
              <w:rPr>
                <w:rFonts w:ascii="Times New Roman" w:hAnsi="Times New Roman"/>
                <w:color w:val="auto"/>
                <w:szCs w:val="21"/>
                <w:highlight w:val="none"/>
              </w:rPr>
            </w:pPr>
            <w:r>
              <w:rPr>
                <w:rFonts w:ascii="Times New Roman" w:hAnsi="Times New Roman"/>
                <w:color w:val="auto"/>
                <w:szCs w:val="21"/>
                <w:highlight w:val="none"/>
              </w:rPr>
              <w:t xml:space="preserve">五、服务要求： </w:t>
            </w:r>
          </w:p>
          <w:p w14:paraId="6E47A9DB">
            <w:pPr>
              <w:spacing w:line="276" w:lineRule="auto"/>
              <w:rPr>
                <w:rFonts w:ascii="Times New Roman" w:hAnsi="Times New Roman"/>
                <w:color w:val="auto"/>
                <w:szCs w:val="21"/>
                <w:highlight w:val="none"/>
              </w:rPr>
            </w:pPr>
            <w:r>
              <w:rPr>
                <w:rFonts w:ascii="Times New Roman" w:hAnsi="Times New Roman"/>
                <w:color w:val="auto"/>
                <w:szCs w:val="21"/>
                <w:highlight w:val="none"/>
              </w:rPr>
              <w:t xml:space="preserve">1、服务质量保证期：合同签订之日起2个月。 </w:t>
            </w:r>
          </w:p>
          <w:p w14:paraId="4E83B95B">
            <w:pPr>
              <w:spacing w:line="276" w:lineRule="auto"/>
              <w:rPr>
                <w:rFonts w:ascii="Times New Roman" w:hAnsi="Times New Roman"/>
                <w:color w:val="auto"/>
                <w:szCs w:val="21"/>
                <w:highlight w:val="none"/>
              </w:rPr>
            </w:pPr>
            <w:r>
              <w:rPr>
                <w:rFonts w:ascii="Times New Roman" w:hAnsi="Times New Roman"/>
                <w:color w:val="auto"/>
                <w:szCs w:val="21"/>
                <w:highlight w:val="none"/>
              </w:rPr>
              <w:t>2、处理问题响应时间：接到采购人处理问题通知后4小时内到达采购人指定现场。</w:t>
            </w:r>
          </w:p>
          <w:p w14:paraId="68C60F3B">
            <w:pPr>
              <w:spacing w:line="276" w:lineRule="auto"/>
              <w:rPr>
                <w:rFonts w:hint="eastAsia" w:ascii="Times New Roman" w:hAnsi="Times New Roman"/>
                <w:color w:val="auto"/>
                <w:szCs w:val="21"/>
                <w:highlight w:val="none"/>
                <w:lang w:eastAsia="zh-CN"/>
              </w:rPr>
            </w:pPr>
            <w:r>
              <w:rPr>
                <w:rFonts w:hint="eastAsia" w:ascii="Times New Roman" w:hAnsi="Times New Roman"/>
                <w:color w:val="auto"/>
                <w:szCs w:val="21"/>
                <w:highlight w:val="none"/>
                <w:lang w:eastAsia="zh-CN"/>
              </w:rPr>
              <w:t>六、其他要求</w:t>
            </w:r>
          </w:p>
          <w:p w14:paraId="2DA88E4E">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1、报价必须含以下部分，包括：</w:t>
            </w:r>
          </w:p>
          <w:p w14:paraId="6A9CBDCD">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（1）服务的价格；</w:t>
            </w:r>
          </w:p>
          <w:p w14:paraId="3C5D2960">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（2）必要的保险费用和各项税金；</w:t>
            </w:r>
          </w:p>
          <w:p w14:paraId="1566CA73">
            <w:pPr>
              <w:spacing w:line="276" w:lineRule="auto"/>
              <w:rPr>
                <w:rFonts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（3）其他（如人工、包装、运输、装卸、调试、技术支持、售后服务等费用）</w:t>
            </w:r>
            <w:r>
              <w:rPr>
                <w:rFonts w:hint="eastAsia"/>
                <w:color w:val="auto"/>
                <w:szCs w:val="21"/>
                <w:highlight w:val="none"/>
                <w:lang w:val="en-US" w:eastAsia="zh-CN"/>
              </w:rPr>
              <w:t>。</w:t>
            </w:r>
          </w:p>
        </w:tc>
      </w:tr>
    </w:tbl>
    <w:p w14:paraId="134EF087">
      <w:pPr>
        <w:pStyle w:val="6"/>
        <w:spacing w:line="500" w:lineRule="exact"/>
        <w:jc w:val="left"/>
        <w:rPr>
          <w:rFonts w:hint="eastAsia" w:ascii="仿宋" w:hAnsi="仿宋" w:eastAsia="仿宋"/>
          <w:color w:val="auto"/>
          <w:sz w:val="30"/>
          <w:szCs w:val="30"/>
        </w:rPr>
      </w:pPr>
    </w:p>
    <w:p w14:paraId="65F8DC69">
      <w:pPr>
        <w:pStyle w:val="6"/>
        <w:spacing w:line="500" w:lineRule="exact"/>
        <w:jc w:val="left"/>
        <w:rPr>
          <w:rFonts w:hint="eastAsia" w:ascii="仿宋" w:hAnsi="仿宋" w:eastAsia="仿宋"/>
          <w:color w:val="auto"/>
          <w:sz w:val="30"/>
          <w:szCs w:val="30"/>
        </w:rPr>
      </w:pPr>
    </w:p>
    <w:p w14:paraId="1A959AC9">
      <w:pPr>
        <w:pStyle w:val="6"/>
        <w:spacing w:line="500" w:lineRule="exact"/>
        <w:jc w:val="left"/>
        <w:rPr>
          <w:rFonts w:hint="eastAsia" w:ascii="仿宋" w:hAnsi="仿宋" w:eastAsia="仿宋"/>
          <w:color w:val="auto"/>
          <w:sz w:val="30"/>
          <w:szCs w:val="30"/>
        </w:rPr>
      </w:pPr>
    </w:p>
    <w:p w14:paraId="1B6BFC5F">
      <w:pPr>
        <w:pStyle w:val="6"/>
        <w:spacing w:line="500" w:lineRule="exact"/>
        <w:jc w:val="left"/>
        <w:rPr>
          <w:rFonts w:hint="eastAsia" w:ascii="仿宋" w:hAnsi="仿宋" w:eastAsia="仿宋"/>
          <w:color w:val="auto"/>
          <w:sz w:val="30"/>
          <w:szCs w:val="30"/>
        </w:rPr>
      </w:pPr>
    </w:p>
    <w:p w14:paraId="40E7629C">
      <w:pPr>
        <w:pStyle w:val="6"/>
        <w:spacing w:line="500" w:lineRule="exact"/>
        <w:jc w:val="left"/>
        <w:rPr>
          <w:rFonts w:hint="eastAsia" w:ascii="仿宋" w:hAnsi="仿宋" w:eastAsia="仿宋"/>
          <w:color w:val="auto"/>
          <w:sz w:val="30"/>
          <w:szCs w:val="30"/>
        </w:rPr>
      </w:pPr>
    </w:p>
    <w:p w14:paraId="2BC6ED56">
      <w:pPr>
        <w:pStyle w:val="6"/>
        <w:spacing w:line="500" w:lineRule="exact"/>
        <w:jc w:val="left"/>
        <w:rPr>
          <w:rFonts w:hint="eastAsia" w:ascii="仿宋" w:hAnsi="仿宋" w:eastAsia="仿宋"/>
          <w:color w:val="auto"/>
          <w:sz w:val="30"/>
          <w:szCs w:val="30"/>
        </w:rPr>
      </w:pPr>
    </w:p>
    <w:p w14:paraId="25EAB3C1">
      <w:pPr>
        <w:pStyle w:val="6"/>
        <w:spacing w:line="500" w:lineRule="exact"/>
        <w:jc w:val="left"/>
        <w:rPr>
          <w:rFonts w:hint="eastAsia" w:ascii="仿宋" w:hAnsi="仿宋" w:eastAsia="仿宋"/>
          <w:color w:val="auto"/>
          <w:sz w:val="30"/>
          <w:szCs w:val="30"/>
        </w:rPr>
      </w:pPr>
    </w:p>
    <w:p w14:paraId="315D5AB9">
      <w:pPr>
        <w:pStyle w:val="2"/>
        <w:numPr>
          <w:ilvl w:val="3"/>
          <w:numId w:val="0"/>
        </w:numPr>
        <w:ind w:left="1077" w:leftChars="0"/>
        <w:rPr>
          <w:rFonts w:hint="eastAsia"/>
        </w:rPr>
      </w:pPr>
    </w:p>
    <w:p w14:paraId="34C7292E">
      <w:pPr>
        <w:pStyle w:val="6"/>
        <w:spacing w:line="500" w:lineRule="exact"/>
        <w:ind w:firstLine="600" w:firstLineChars="200"/>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南宁中心血站2024年无偿献血荣誉证书</w:t>
      </w:r>
      <w:r>
        <w:rPr>
          <w:rFonts w:hint="eastAsia" w:asciiTheme="minorEastAsia" w:hAnsiTheme="minorEastAsia" w:eastAsiaTheme="minorEastAsia"/>
          <w:color w:val="auto"/>
          <w:sz w:val="21"/>
          <w:szCs w:val="21"/>
          <w:u w:val="single"/>
          <w:lang w:val="en-US" w:eastAsia="zh-CN"/>
        </w:rPr>
        <w:t>及水晶牌匾邮寄</w:t>
      </w:r>
      <w:r>
        <w:rPr>
          <w:rFonts w:hint="eastAsia" w:asciiTheme="minorEastAsia" w:hAnsiTheme="minorEastAsia" w:eastAsiaTheme="minorEastAsia"/>
          <w:color w:val="auto"/>
          <w:sz w:val="21"/>
          <w:szCs w:val="21"/>
          <w:u w:val="single"/>
          <w:lang w:val="zh-TW" w:eastAsia="zh-TW"/>
        </w:rPr>
        <w:t>服务</w:t>
      </w:r>
      <w:r>
        <w:rPr>
          <w:rFonts w:hint="eastAsia" w:asciiTheme="minorEastAsia" w:hAnsiTheme="minorEastAsia" w:eastAsiaTheme="minorEastAsia"/>
          <w:color w:val="auto"/>
          <w:sz w:val="21"/>
          <w:szCs w:val="21"/>
          <w:u w:val="single"/>
          <w:lang w:val="en-US" w:eastAsia="zh-CN"/>
        </w:rPr>
        <w:t>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1"/>
        <w:spacing w:line="360" w:lineRule="auto"/>
        <w:ind w:firstLineChars="200"/>
        <w:rPr>
          <w:color w:val="auto"/>
        </w:rPr>
      </w:pPr>
      <w:r>
        <w:rPr>
          <w:rFonts w:hint="eastAsia"/>
          <w:color w:val="auto"/>
        </w:rPr>
        <w:t>我方对委托代理人的签字事项负全部责任。</w:t>
      </w:r>
    </w:p>
    <w:p w14:paraId="4156E484">
      <w:pPr>
        <w:pStyle w:val="11"/>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1"/>
        <w:spacing w:line="360" w:lineRule="auto"/>
        <w:ind w:firstLineChars="200"/>
        <w:rPr>
          <w:color w:val="auto"/>
        </w:rPr>
      </w:pPr>
      <w:r>
        <w:rPr>
          <w:rFonts w:hint="eastAsia"/>
          <w:color w:val="auto"/>
        </w:rPr>
        <w:t>委托代理人无转委托权，特此委托。</w:t>
      </w:r>
    </w:p>
    <w:p w14:paraId="4AAACB6B">
      <w:pPr>
        <w:pStyle w:val="11"/>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1"/>
        <w:spacing w:line="360" w:lineRule="auto"/>
        <w:ind w:firstLineChars="200"/>
        <w:rPr>
          <w:color w:val="auto"/>
        </w:rPr>
      </w:pPr>
    </w:p>
    <w:p w14:paraId="06C42395">
      <w:pPr>
        <w:pStyle w:val="11"/>
        <w:ind w:firstLineChars="200"/>
        <w:rPr>
          <w:color w:val="auto"/>
        </w:rPr>
      </w:pPr>
    </w:p>
    <w:p w14:paraId="310B8657">
      <w:pPr>
        <w:pStyle w:val="11"/>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1"/>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1"/>
        <w:ind w:firstLineChars="200"/>
        <w:rPr>
          <w:rFonts w:hint="default" w:eastAsiaTheme="minorEastAsia"/>
          <w:color w:val="auto"/>
          <w:lang w:val="en-US" w:eastAsia="zh-CN"/>
        </w:rPr>
      </w:pPr>
    </w:p>
    <w:p w14:paraId="26ABD9C4">
      <w:pPr>
        <w:pStyle w:val="11"/>
        <w:ind w:firstLineChars="200"/>
        <w:rPr>
          <w:color w:val="auto"/>
        </w:rPr>
      </w:pPr>
    </w:p>
    <w:p w14:paraId="1A155D87">
      <w:pPr>
        <w:pStyle w:val="11"/>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1"/>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FE76B44">
      <w:pPr>
        <w:rPr>
          <w:rFonts w:hint="eastAsia"/>
          <w:color w:val="auto"/>
        </w:rPr>
      </w:pPr>
      <w:r>
        <w:rPr>
          <w:rFonts w:hint="eastAsia"/>
          <w:color w:val="auto"/>
        </w:rPr>
        <w:t>3. 法人、其他组织竞标时“我方”是指“我单位”，自然人竞标时“我方”是指“本人”。</w:t>
      </w:r>
    </w:p>
    <w:p w14:paraId="23D5ADDD">
      <w:pPr>
        <w:snapToGrid w:val="0"/>
        <w:spacing w:before="156" w:beforeLines="50" w:after="50" w:line="400" w:lineRule="exact"/>
        <w:ind w:firstLine="600" w:firstLineChars="200"/>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3"/>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3"/>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4"/>
      </w:pPr>
    </w:p>
    <w:p w14:paraId="54CA0204">
      <w:pPr>
        <w:ind w:firstLine="600" w:firstLineChars="200"/>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2"/>
        <w:numPr>
          <w:ilvl w:val="3"/>
          <w:numId w:val="0"/>
        </w:numPr>
        <w:jc w:val="center"/>
        <w:rPr>
          <w:rFonts w:hint="eastAsia"/>
          <w:color w:val="auto"/>
          <w:sz w:val="32"/>
          <w:szCs w:val="32"/>
        </w:rPr>
      </w:pPr>
      <w:r>
        <w:rPr>
          <w:rFonts w:hint="eastAsia"/>
          <w:color w:val="auto"/>
          <w:sz w:val="32"/>
          <w:szCs w:val="32"/>
        </w:rPr>
        <w:t>报价表</w:t>
      </w:r>
    </w:p>
    <w:tbl>
      <w:tblPr>
        <w:tblStyle w:val="14"/>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88"/>
        <w:gridCol w:w="2525"/>
        <w:gridCol w:w="1414"/>
        <w:gridCol w:w="1050"/>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788" w:type="dxa"/>
            <w:noWrap w:val="0"/>
            <w:vAlign w:val="center"/>
          </w:tcPr>
          <w:p w14:paraId="7873B19F">
            <w:pPr>
              <w:pStyle w:val="6"/>
              <w:jc w:val="center"/>
              <w:rPr>
                <w:rFonts w:ascii="宋体" w:hAnsi="宋体" w:eastAsia="宋体" w:cs="宋体"/>
                <w:kern w:val="0"/>
                <w:sz w:val="20"/>
                <w:szCs w:val="21"/>
              </w:rPr>
            </w:pPr>
            <w:r>
              <w:rPr>
                <w:rFonts w:hint="eastAsia" w:ascii="宋体" w:hAnsi="宋体" w:eastAsia="宋体" w:cs="宋体"/>
                <w:kern w:val="0"/>
                <w:sz w:val="20"/>
                <w:szCs w:val="21"/>
              </w:rPr>
              <w:t>邮递地区</w:t>
            </w:r>
          </w:p>
        </w:tc>
        <w:tc>
          <w:tcPr>
            <w:tcW w:w="2525" w:type="dxa"/>
            <w:noWrap w:val="0"/>
            <w:vAlign w:val="center"/>
          </w:tcPr>
          <w:p w14:paraId="66887E66">
            <w:pPr>
              <w:pStyle w:val="6"/>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邮寄内容</w:t>
            </w:r>
          </w:p>
        </w:tc>
        <w:tc>
          <w:tcPr>
            <w:tcW w:w="1414"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数量（份）①</w:t>
            </w:r>
          </w:p>
        </w:tc>
        <w:tc>
          <w:tcPr>
            <w:tcW w:w="1050"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05E48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0F47C6FA">
            <w:pPr>
              <w:pStyle w:val="6"/>
              <w:jc w:val="center"/>
              <w:rPr>
                <w:rFonts w:ascii="宋体" w:hAnsi="宋体" w:eastAsia="宋体" w:cs="宋体"/>
                <w:kern w:val="0"/>
                <w:sz w:val="20"/>
                <w:szCs w:val="21"/>
              </w:rPr>
            </w:pPr>
            <w:r>
              <w:rPr>
                <w:rFonts w:hint="eastAsia" w:ascii="宋体" w:hAnsi="宋体" w:eastAsia="宋体" w:cs="宋体"/>
                <w:kern w:val="0"/>
                <w:sz w:val="20"/>
                <w:szCs w:val="21"/>
              </w:rPr>
              <w:t>1</w:t>
            </w:r>
          </w:p>
        </w:tc>
        <w:tc>
          <w:tcPr>
            <w:tcW w:w="788" w:type="dxa"/>
            <w:vMerge w:val="restart"/>
            <w:noWrap w:val="0"/>
            <w:vAlign w:val="center"/>
          </w:tcPr>
          <w:p w14:paraId="4A59AE88">
            <w:pPr>
              <w:pStyle w:val="6"/>
              <w:jc w:val="center"/>
              <w:rPr>
                <w:rFonts w:ascii="宋体" w:hAnsi="宋体" w:eastAsia="宋体" w:cs="宋体"/>
                <w:kern w:val="0"/>
                <w:sz w:val="20"/>
                <w:szCs w:val="21"/>
              </w:rPr>
            </w:pPr>
            <w:r>
              <w:rPr>
                <w:rFonts w:hint="eastAsia" w:eastAsia="宋体" w:cs="Times New Roman"/>
                <w:kern w:val="0"/>
                <w:sz w:val="20"/>
              </w:rPr>
              <w:t>广西区内</w:t>
            </w:r>
          </w:p>
        </w:tc>
        <w:tc>
          <w:tcPr>
            <w:tcW w:w="2525" w:type="dxa"/>
            <w:noWrap w:val="0"/>
            <w:vAlign w:val="center"/>
          </w:tcPr>
          <w:p w14:paraId="583E418C">
            <w:pPr>
              <w:pStyle w:val="6"/>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w:t>
            </w:r>
          </w:p>
        </w:tc>
        <w:tc>
          <w:tcPr>
            <w:tcW w:w="1414" w:type="dxa"/>
            <w:noWrap w:val="0"/>
            <w:vAlign w:val="center"/>
          </w:tcPr>
          <w:p w14:paraId="67DBCD5D">
            <w:pPr>
              <w:pStyle w:val="6"/>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约6900</w:t>
            </w:r>
          </w:p>
        </w:tc>
        <w:tc>
          <w:tcPr>
            <w:tcW w:w="1050" w:type="dxa"/>
            <w:noWrap w:val="0"/>
            <w:vAlign w:val="center"/>
          </w:tcPr>
          <w:p w14:paraId="7B41C703">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3DFB89A8">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782B49CE">
            <w:pPr>
              <w:pStyle w:val="6"/>
              <w:jc w:val="center"/>
              <w:rPr>
                <w:rFonts w:ascii="宋体" w:hAnsi="宋体" w:eastAsia="宋体" w:cs="宋体"/>
                <w:kern w:val="0"/>
                <w:sz w:val="20"/>
                <w:szCs w:val="21"/>
              </w:rPr>
            </w:pPr>
          </w:p>
        </w:tc>
      </w:tr>
      <w:tr w14:paraId="33C5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3AF77BF0">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2</w:t>
            </w:r>
          </w:p>
        </w:tc>
        <w:tc>
          <w:tcPr>
            <w:tcW w:w="788" w:type="dxa"/>
            <w:vMerge w:val="continue"/>
            <w:noWrap w:val="0"/>
            <w:vAlign w:val="center"/>
          </w:tcPr>
          <w:p w14:paraId="2DE9F689">
            <w:pPr>
              <w:pStyle w:val="6"/>
              <w:jc w:val="center"/>
              <w:rPr>
                <w:rFonts w:ascii="宋体" w:hAnsi="宋体" w:eastAsia="宋体" w:cs="宋体"/>
                <w:kern w:val="0"/>
                <w:sz w:val="20"/>
                <w:szCs w:val="21"/>
              </w:rPr>
            </w:pPr>
          </w:p>
        </w:tc>
        <w:tc>
          <w:tcPr>
            <w:tcW w:w="2525" w:type="dxa"/>
            <w:noWrap w:val="0"/>
            <w:vAlign w:val="center"/>
          </w:tcPr>
          <w:p w14:paraId="128B22D5">
            <w:pPr>
              <w:pStyle w:val="6"/>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+证书外壳+水晶牌匾</w:t>
            </w:r>
          </w:p>
        </w:tc>
        <w:tc>
          <w:tcPr>
            <w:tcW w:w="1414" w:type="dxa"/>
            <w:noWrap w:val="0"/>
            <w:vAlign w:val="center"/>
          </w:tcPr>
          <w:p w14:paraId="1BFB4218">
            <w:pPr>
              <w:pStyle w:val="6"/>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约100</w:t>
            </w:r>
          </w:p>
        </w:tc>
        <w:tc>
          <w:tcPr>
            <w:tcW w:w="1050" w:type="dxa"/>
            <w:noWrap w:val="0"/>
            <w:vAlign w:val="center"/>
          </w:tcPr>
          <w:p w14:paraId="421E300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754A8305">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55B521ED">
            <w:pPr>
              <w:pStyle w:val="6"/>
              <w:jc w:val="center"/>
              <w:rPr>
                <w:rFonts w:hint="eastAsia" w:ascii="宋体" w:hAnsi="宋体" w:eastAsia="宋体" w:cs="宋体"/>
                <w:kern w:val="0"/>
                <w:sz w:val="20"/>
                <w:szCs w:val="21"/>
                <w:lang w:val="en-US" w:eastAsia="zh-CN"/>
              </w:rPr>
            </w:pP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3</w:t>
            </w:r>
          </w:p>
        </w:tc>
        <w:tc>
          <w:tcPr>
            <w:tcW w:w="788" w:type="dxa"/>
            <w:noWrap w:val="0"/>
            <w:vAlign w:val="center"/>
          </w:tcPr>
          <w:p w14:paraId="4E77070B">
            <w:pPr>
              <w:pStyle w:val="6"/>
              <w:jc w:val="center"/>
              <w:rPr>
                <w:rFonts w:ascii="宋体" w:hAnsi="宋体" w:eastAsia="宋体" w:cs="宋体"/>
                <w:kern w:val="0"/>
                <w:sz w:val="20"/>
                <w:szCs w:val="21"/>
              </w:rPr>
            </w:pPr>
            <w:r>
              <w:rPr>
                <w:rFonts w:hint="eastAsia" w:eastAsia="宋体" w:cs="Times New Roman"/>
                <w:kern w:val="0"/>
                <w:sz w:val="20"/>
              </w:rPr>
              <w:t>广西区外</w:t>
            </w:r>
          </w:p>
        </w:tc>
        <w:tc>
          <w:tcPr>
            <w:tcW w:w="2525" w:type="dxa"/>
            <w:noWrap w:val="0"/>
            <w:vAlign w:val="center"/>
          </w:tcPr>
          <w:p w14:paraId="5D18ED89">
            <w:pPr>
              <w:pStyle w:val="6"/>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w:t>
            </w:r>
          </w:p>
        </w:tc>
        <w:tc>
          <w:tcPr>
            <w:tcW w:w="1414"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约1000</w:t>
            </w:r>
          </w:p>
        </w:tc>
        <w:tc>
          <w:tcPr>
            <w:tcW w:w="1050"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7"/>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7"/>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r>
              <w:rPr>
                <w:rFonts w:hint="eastAsia" w:asciiTheme="minorEastAsia" w:hAnsiTheme="minorEastAsia" w:cstheme="minorEastAsia"/>
                <w:b/>
                <w:color w:val="0000FF"/>
                <w:kern w:val="0"/>
                <w:sz w:val="20"/>
                <w:szCs w:val="21"/>
                <w:lang w:val="en-US" w:eastAsia="zh-CN"/>
              </w:rPr>
              <w:t>58000</w:t>
            </w:r>
            <w:r>
              <w:rPr>
                <w:rFonts w:hint="eastAsia" w:asciiTheme="minorEastAsia" w:hAnsiTheme="minorEastAsia" w:cstheme="minorEastAsia"/>
                <w:b/>
                <w:color w:val="0000FF"/>
                <w:kern w:val="0"/>
                <w:sz w:val="20"/>
                <w:szCs w:val="21"/>
              </w:rPr>
              <w:t>元。</w:t>
            </w:r>
          </w:p>
        </w:tc>
      </w:tr>
    </w:tbl>
    <w:p w14:paraId="031CEA9A">
      <w:pPr>
        <w:pStyle w:val="6"/>
        <w:spacing w:line="560" w:lineRule="exact"/>
        <w:rPr>
          <w:rFonts w:hint="eastAsia" w:asciiTheme="minorEastAsia" w:hAnsiTheme="minorEastAsia" w:cstheme="minorEastAsia"/>
          <w:color w:val="auto"/>
          <w:szCs w:val="21"/>
        </w:rPr>
      </w:pPr>
    </w:p>
    <w:p w14:paraId="757F4053">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6"/>
        <w:spacing w:line="560" w:lineRule="exact"/>
        <w:rPr>
          <w:rFonts w:asciiTheme="minorEastAsia" w:hAnsiTheme="minorEastAsia" w:cstheme="minorEastAsia"/>
          <w:color w:val="auto"/>
          <w:szCs w:val="21"/>
          <w:u w:val="single"/>
        </w:rPr>
      </w:pP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10AE0273">
      <w:pPr>
        <w:ind w:firstLine="600" w:firstLineChars="200"/>
        <w:rPr>
          <w:rFonts w:hint="eastAsia" w:ascii="仿宋" w:hAnsi="仿宋" w:eastAsia="仿宋"/>
          <w:color w:val="auto"/>
          <w:sz w:val="30"/>
          <w:szCs w:val="30"/>
          <w:lang w:val="en-US" w:eastAsia="zh-CN"/>
        </w:rPr>
      </w:pPr>
    </w:p>
    <w:p w14:paraId="05645568">
      <w:pPr>
        <w:ind w:firstLine="600" w:firstLineChars="200"/>
        <w:rPr>
          <w:rFonts w:hint="eastAsia" w:ascii="仿宋" w:hAnsi="仿宋" w:eastAsia="仿宋"/>
          <w:color w:val="auto"/>
          <w:sz w:val="30"/>
          <w:szCs w:val="30"/>
          <w:lang w:val="en-US" w:eastAsia="zh-CN"/>
        </w:rPr>
      </w:pPr>
    </w:p>
    <w:p w14:paraId="6D8B4805">
      <w:pPr>
        <w:ind w:firstLine="600" w:firstLineChars="200"/>
        <w:rPr>
          <w:rFonts w:hint="eastAsia" w:ascii="仿宋" w:hAnsi="仿宋" w:eastAsia="仿宋"/>
          <w:color w:val="auto"/>
          <w:sz w:val="30"/>
          <w:szCs w:val="30"/>
          <w:lang w:val="en-US" w:eastAsia="zh-CN"/>
        </w:rPr>
      </w:pPr>
    </w:p>
    <w:p w14:paraId="72074B66">
      <w:pPr>
        <w:ind w:firstLine="600" w:firstLineChars="200"/>
        <w:rPr>
          <w:rFonts w:hint="eastAsia" w:ascii="仿宋" w:hAnsi="仿宋" w:eastAsia="仿宋"/>
          <w:color w:val="auto"/>
          <w:sz w:val="30"/>
          <w:szCs w:val="30"/>
          <w:lang w:val="en-US" w:eastAsia="zh-CN"/>
        </w:rPr>
      </w:pPr>
    </w:p>
    <w:p w14:paraId="53800540">
      <w:pPr>
        <w:ind w:firstLine="600" w:firstLineChars="200"/>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1EDF1802">
      <w:pPr>
        <w:pStyle w:val="6"/>
        <w:spacing w:line="440" w:lineRule="exact"/>
        <w:ind w:firstLine="420" w:firstLineChars="200"/>
        <w:rPr>
          <w:rFonts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0D1ADF2E">
      <w:pPr>
        <w:pStyle w:val="6"/>
        <w:rPr>
          <w:rFonts w:hAnsi="宋体"/>
          <w:color w:val="auto"/>
          <w:szCs w:val="21"/>
        </w:rPr>
      </w:pPr>
    </w:p>
    <w:p w14:paraId="1E88FCC5">
      <w:pPr>
        <w:pStyle w:val="6"/>
        <w:rPr>
          <w:rFonts w:hAnsi="宋体"/>
          <w:color w:val="auto"/>
          <w:szCs w:val="21"/>
        </w:rPr>
      </w:pPr>
      <w:r>
        <w:rPr>
          <w:rFonts w:hint="eastAsia" w:hAnsi="宋体"/>
          <w:color w:val="auto"/>
          <w:szCs w:val="21"/>
          <w:u w:val="single"/>
        </w:rPr>
        <w:t>　　</w:t>
      </w:r>
      <w:r>
        <w:rPr>
          <w:rFonts w:hint="eastAsia" w:hAnsi="宋体"/>
          <w:color w:val="auto"/>
          <w:szCs w:val="21"/>
        </w:rPr>
        <w:t>分项（有分项时填写）</w:t>
      </w:r>
    </w:p>
    <w:tbl>
      <w:tblPr>
        <w:tblStyle w:val="13"/>
        <w:tblW w:w="10065"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
        <w:gridCol w:w="919"/>
        <w:gridCol w:w="4753"/>
        <w:gridCol w:w="1083"/>
        <w:gridCol w:w="2060"/>
        <w:gridCol w:w="771"/>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20"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726"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94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2"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20" w:type="dxa"/>
            <w:vMerge w:val="continue"/>
            <w:vAlign w:val="center"/>
          </w:tcPr>
          <w:p w14:paraId="250F1D49">
            <w:pPr>
              <w:pStyle w:val="6"/>
              <w:jc w:val="center"/>
              <w:rPr>
                <w:rFonts w:hAnsi="宋体"/>
                <w:color w:val="auto"/>
                <w:spacing w:val="-20"/>
                <w:szCs w:val="21"/>
              </w:rPr>
            </w:pPr>
          </w:p>
        </w:tc>
        <w:tc>
          <w:tcPr>
            <w:tcW w:w="1040" w:type="dxa"/>
            <w:vAlign w:val="center"/>
          </w:tcPr>
          <w:p w14:paraId="3B7AC663">
            <w:pPr>
              <w:jc w:val="center"/>
              <w:rPr>
                <w:rFonts w:ascii="宋体"/>
                <w:color w:val="auto"/>
                <w:szCs w:val="21"/>
              </w:rPr>
            </w:pPr>
            <w:r>
              <w:rPr>
                <w:rFonts w:hint="eastAsia" w:ascii="宋体" w:hAnsi="宋体"/>
                <w:color w:val="auto"/>
                <w:szCs w:val="21"/>
              </w:rPr>
              <w:t>货物名称</w:t>
            </w:r>
          </w:p>
        </w:tc>
        <w:tc>
          <w:tcPr>
            <w:tcW w:w="3686" w:type="dxa"/>
            <w:vAlign w:val="center"/>
          </w:tcPr>
          <w:p w14:paraId="34BC4A96">
            <w:pPr>
              <w:jc w:val="center"/>
              <w:rPr>
                <w:rFonts w:ascii="宋体"/>
                <w:color w:val="auto"/>
                <w:szCs w:val="21"/>
              </w:rPr>
            </w:pPr>
            <w:r>
              <w:rPr>
                <w:rFonts w:hint="eastAsia" w:ascii="宋体"/>
                <w:color w:val="auto"/>
                <w:szCs w:val="21"/>
              </w:rPr>
              <w:t>技术参数</w:t>
            </w:r>
          </w:p>
        </w:tc>
        <w:tc>
          <w:tcPr>
            <w:tcW w:w="1275" w:type="dxa"/>
            <w:vAlign w:val="center"/>
          </w:tcPr>
          <w:p w14:paraId="50260F94">
            <w:pPr>
              <w:jc w:val="center"/>
              <w:rPr>
                <w:rFonts w:ascii="宋体"/>
                <w:color w:val="auto"/>
                <w:szCs w:val="21"/>
              </w:rPr>
            </w:pPr>
            <w:r>
              <w:rPr>
                <w:rFonts w:hint="eastAsia" w:ascii="宋体" w:hAnsi="宋体"/>
                <w:color w:val="auto"/>
                <w:szCs w:val="21"/>
              </w:rPr>
              <w:t>货物名称</w:t>
            </w:r>
          </w:p>
        </w:tc>
        <w:tc>
          <w:tcPr>
            <w:tcW w:w="2672"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2"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dxa"/>
            <w:vAlign w:val="center"/>
          </w:tcPr>
          <w:p w14:paraId="009041CD">
            <w:pPr>
              <w:pStyle w:val="6"/>
              <w:jc w:val="center"/>
              <w:rPr>
                <w:rFonts w:ascii="仿宋" w:hAnsi="仿宋" w:eastAsia="仿宋"/>
                <w:color w:val="auto"/>
                <w:spacing w:val="-20"/>
                <w:sz w:val="20"/>
              </w:rPr>
            </w:pPr>
            <w:r>
              <w:rPr>
                <w:rFonts w:ascii="仿宋" w:hAnsi="仿宋" w:eastAsia="仿宋"/>
                <w:color w:val="auto"/>
                <w:spacing w:val="-20"/>
                <w:sz w:val="20"/>
              </w:rPr>
              <w:t>1</w:t>
            </w:r>
          </w:p>
        </w:tc>
        <w:tc>
          <w:tcPr>
            <w:tcW w:w="1040" w:type="dxa"/>
            <w:vAlign w:val="center"/>
          </w:tcPr>
          <w:p w14:paraId="23A9C877">
            <w:pPr>
              <w:rPr>
                <w:rFonts w:ascii="仿宋" w:hAnsi="仿宋" w:eastAsia="仿宋" w:cs="宋体"/>
                <w:color w:val="auto"/>
                <w:szCs w:val="21"/>
              </w:rPr>
            </w:pPr>
            <w:r>
              <w:rPr>
                <w:rFonts w:hint="eastAsia" w:ascii="宋体" w:hAnsi="宋体"/>
                <w:color w:val="auto"/>
                <w:szCs w:val="21"/>
                <w:highlight w:val="none"/>
              </w:rPr>
              <w:t>南宁中心血站2024年无偿献血荣誉证书</w:t>
            </w:r>
            <w:r>
              <w:rPr>
                <w:rFonts w:hint="eastAsia" w:ascii="宋体" w:hAnsi="宋体"/>
                <w:color w:val="auto"/>
                <w:szCs w:val="21"/>
                <w:highlight w:val="none"/>
                <w:lang w:val="en-US" w:eastAsia="zh-CN"/>
              </w:rPr>
              <w:t>及水晶牌匾邮寄</w:t>
            </w:r>
            <w:r>
              <w:rPr>
                <w:rFonts w:hint="eastAsia" w:ascii="宋体" w:hAnsi="宋体"/>
                <w:color w:val="auto"/>
                <w:szCs w:val="21"/>
                <w:highlight w:val="none"/>
              </w:rPr>
              <w:t>服务</w:t>
            </w:r>
          </w:p>
        </w:tc>
        <w:tc>
          <w:tcPr>
            <w:tcW w:w="3686" w:type="dxa"/>
            <w:vAlign w:val="center"/>
          </w:tcPr>
          <w:p w14:paraId="263C2E30">
            <w:pPr>
              <w:widowControl w:val="0"/>
              <w:spacing w:after="120" w:line="240" w:lineRule="auto"/>
              <w:ind w:left="0" w:firstLine="0"/>
              <w:jc w:val="both"/>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1、</w:t>
            </w:r>
            <w:r>
              <w:rPr>
                <w:rFonts w:hint="eastAsia" w:ascii="Times New Roman" w:hAnsi="Times New Roman" w:eastAsia="宋体" w:cs="Times New Roman"/>
                <w:color w:val="auto"/>
                <w:kern w:val="2"/>
                <w:sz w:val="21"/>
                <w:szCs w:val="24"/>
                <w:highlight w:val="none"/>
                <w:lang w:val="en-US" w:eastAsia="zh-CN" w:bidi="ar-SA"/>
              </w:rPr>
              <w:t>提供链接和二维码，献血者</w:t>
            </w:r>
            <w:r>
              <w:rPr>
                <w:rFonts w:hint="eastAsia" w:cs="Times New Roman"/>
                <w:color w:val="auto"/>
                <w:kern w:val="2"/>
                <w:sz w:val="21"/>
                <w:szCs w:val="24"/>
                <w:highlight w:val="none"/>
                <w:lang w:val="en-US" w:eastAsia="zh-CN" w:bidi="ar-SA"/>
              </w:rPr>
              <w:t>可自行</w:t>
            </w:r>
            <w:r>
              <w:rPr>
                <w:rFonts w:hint="eastAsia" w:ascii="Times New Roman" w:hAnsi="Times New Roman" w:eastAsia="宋体" w:cs="Times New Roman"/>
                <w:color w:val="auto"/>
                <w:kern w:val="2"/>
                <w:sz w:val="21"/>
                <w:szCs w:val="24"/>
                <w:highlight w:val="none"/>
                <w:lang w:val="en-US" w:eastAsia="zh-CN" w:bidi="ar-SA"/>
              </w:rPr>
              <w:t>登录快递系统填写能够投递的有效详细地址，并且快递公司自动获取地址信息，无效地址不予投递。</w:t>
            </w:r>
          </w:p>
          <w:p w14:paraId="4C3F7000">
            <w:pPr>
              <w:widowControl w:val="0"/>
              <w:spacing w:after="120" w:line="240" w:lineRule="auto"/>
              <w:ind w:left="0" w:firstLine="0"/>
              <w:jc w:val="both"/>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投递要求：在投递过程中保持物件的完好无损，能准确无误的投递到提供的收件人手中，由收件人本人签收。</w:t>
            </w:r>
          </w:p>
          <w:tbl>
            <w:tblPr>
              <w:tblStyle w:val="14"/>
              <w:tblpPr w:leftFromText="180" w:rightFromText="180" w:vertAnchor="text" w:horzAnchor="page" w:tblpX="162" w:tblpY="710"/>
              <w:tblOverlap w:val="never"/>
              <w:tblW w:w="4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9"/>
              <w:gridCol w:w="625"/>
              <w:gridCol w:w="1300"/>
              <w:gridCol w:w="971"/>
              <w:gridCol w:w="1032"/>
            </w:tblGrid>
            <w:tr w14:paraId="30F95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599" w:type="dxa"/>
                  <w:noWrap w:val="0"/>
                  <w:vAlign w:val="center"/>
                </w:tcPr>
                <w:p w14:paraId="4C1669B8">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625" w:type="dxa"/>
                  <w:noWrap w:val="0"/>
                  <w:vAlign w:val="center"/>
                </w:tcPr>
                <w:p w14:paraId="402B05A3">
                  <w:pPr>
                    <w:pStyle w:val="6"/>
                    <w:jc w:val="center"/>
                    <w:rPr>
                      <w:rFonts w:ascii="宋体" w:hAnsi="宋体" w:eastAsia="宋体" w:cs="宋体"/>
                      <w:kern w:val="0"/>
                      <w:sz w:val="20"/>
                      <w:szCs w:val="21"/>
                    </w:rPr>
                  </w:pPr>
                  <w:r>
                    <w:rPr>
                      <w:rFonts w:hint="eastAsia" w:ascii="宋体" w:hAnsi="宋体" w:eastAsia="宋体" w:cs="宋体"/>
                      <w:kern w:val="0"/>
                      <w:sz w:val="20"/>
                      <w:szCs w:val="21"/>
                    </w:rPr>
                    <w:t>邮递地区</w:t>
                  </w:r>
                </w:p>
              </w:tc>
              <w:tc>
                <w:tcPr>
                  <w:tcW w:w="1300" w:type="dxa"/>
                  <w:noWrap w:val="0"/>
                  <w:vAlign w:val="center"/>
                </w:tcPr>
                <w:p w14:paraId="5CCF076B">
                  <w:pPr>
                    <w:pStyle w:val="6"/>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邮寄内容</w:t>
                  </w:r>
                </w:p>
              </w:tc>
              <w:tc>
                <w:tcPr>
                  <w:tcW w:w="971" w:type="dxa"/>
                  <w:noWrap w:val="0"/>
                  <w:vAlign w:val="center"/>
                </w:tcPr>
                <w:p w14:paraId="71EEDB29">
                  <w:pPr>
                    <w:pStyle w:val="6"/>
                    <w:jc w:val="center"/>
                    <w:rPr>
                      <w:rFonts w:ascii="宋体" w:hAnsi="宋体" w:eastAsia="宋体" w:cs="宋体"/>
                      <w:kern w:val="0"/>
                      <w:sz w:val="20"/>
                      <w:szCs w:val="21"/>
                    </w:rPr>
                  </w:pPr>
                  <w:r>
                    <w:rPr>
                      <w:rFonts w:hint="eastAsia" w:ascii="宋体" w:hAnsi="宋体" w:eastAsia="宋体" w:cs="宋体"/>
                      <w:kern w:val="0"/>
                      <w:sz w:val="20"/>
                      <w:szCs w:val="21"/>
                    </w:rPr>
                    <w:t>数量（份）</w:t>
                  </w:r>
                </w:p>
              </w:tc>
              <w:tc>
                <w:tcPr>
                  <w:tcW w:w="1032" w:type="dxa"/>
                  <w:noWrap w:val="0"/>
                  <w:vAlign w:val="center"/>
                </w:tcPr>
                <w:p w14:paraId="50B9A689">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0CDA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599" w:type="dxa"/>
                  <w:noWrap w:val="0"/>
                  <w:vAlign w:val="center"/>
                </w:tcPr>
                <w:p w14:paraId="795A8749">
                  <w:pPr>
                    <w:pStyle w:val="6"/>
                    <w:jc w:val="center"/>
                    <w:rPr>
                      <w:rFonts w:ascii="宋体" w:hAnsi="宋体" w:eastAsia="宋体" w:cs="宋体"/>
                      <w:kern w:val="0"/>
                      <w:sz w:val="20"/>
                      <w:szCs w:val="21"/>
                    </w:rPr>
                  </w:pPr>
                  <w:r>
                    <w:rPr>
                      <w:rFonts w:hint="eastAsia" w:ascii="宋体" w:hAnsi="宋体" w:eastAsia="宋体" w:cs="宋体"/>
                      <w:kern w:val="0"/>
                      <w:sz w:val="20"/>
                      <w:szCs w:val="21"/>
                    </w:rPr>
                    <w:t>1</w:t>
                  </w:r>
                </w:p>
              </w:tc>
              <w:tc>
                <w:tcPr>
                  <w:tcW w:w="625" w:type="dxa"/>
                  <w:vMerge w:val="restart"/>
                  <w:noWrap w:val="0"/>
                  <w:vAlign w:val="center"/>
                </w:tcPr>
                <w:p w14:paraId="28556359">
                  <w:pPr>
                    <w:pStyle w:val="6"/>
                    <w:jc w:val="center"/>
                    <w:rPr>
                      <w:rFonts w:ascii="宋体" w:hAnsi="宋体" w:eastAsia="宋体" w:cs="宋体"/>
                      <w:kern w:val="0"/>
                      <w:sz w:val="20"/>
                      <w:szCs w:val="21"/>
                    </w:rPr>
                  </w:pPr>
                  <w:r>
                    <w:rPr>
                      <w:rFonts w:hint="eastAsia" w:eastAsia="宋体" w:cs="Times New Roman"/>
                      <w:kern w:val="0"/>
                      <w:sz w:val="20"/>
                    </w:rPr>
                    <w:t>广西区内</w:t>
                  </w:r>
                </w:p>
              </w:tc>
              <w:tc>
                <w:tcPr>
                  <w:tcW w:w="1300" w:type="dxa"/>
                  <w:noWrap w:val="0"/>
                  <w:vAlign w:val="center"/>
                </w:tcPr>
                <w:p w14:paraId="04332449">
                  <w:pPr>
                    <w:pStyle w:val="6"/>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w:t>
                  </w:r>
                </w:p>
              </w:tc>
              <w:tc>
                <w:tcPr>
                  <w:tcW w:w="971" w:type="dxa"/>
                  <w:noWrap w:val="0"/>
                  <w:vAlign w:val="center"/>
                </w:tcPr>
                <w:p w14:paraId="0A63F07D">
                  <w:pPr>
                    <w:pStyle w:val="6"/>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约6900</w:t>
                  </w:r>
                </w:p>
              </w:tc>
              <w:tc>
                <w:tcPr>
                  <w:tcW w:w="1032" w:type="dxa"/>
                  <w:noWrap w:val="0"/>
                  <w:vAlign w:val="center"/>
                </w:tcPr>
                <w:p w14:paraId="309BAE4B">
                  <w:pPr>
                    <w:pStyle w:val="6"/>
                    <w:jc w:val="center"/>
                    <w:rPr>
                      <w:rFonts w:ascii="宋体" w:hAnsi="宋体" w:eastAsia="宋体" w:cs="宋体"/>
                      <w:color w:val="auto"/>
                      <w:kern w:val="0"/>
                      <w:sz w:val="20"/>
                      <w:szCs w:val="21"/>
                    </w:rPr>
                  </w:pPr>
                  <w:r>
                    <w:rPr>
                      <w:rFonts w:hint="eastAsia" w:ascii="Times New Roman" w:hAnsi="Times New Roman" w:cs="Times New Roman"/>
                      <w:color w:val="auto"/>
                      <w:kern w:val="2"/>
                      <w:sz w:val="21"/>
                      <w:szCs w:val="24"/>
                      <w:highlight w:val="none"/>
                      <w:lang w:val="en-US" w:eastAsia="zh-CN" w:bidi="ar-SA"/>
                    </w:rPr>
                    <w:t>整体邮寄重量不超1kg</w:t>
                  </w:r>
                </w:p>
              </w:tc>
            </w:tr>
            <w:tr w14:paraId="7DE6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599" w:type="dxa"/>
                  <w:noWrap w:val="0"/>
                  <w:vAlign w:val="center"/>
                </w:tcPr>
                <w:p w14:paraId="6779988C">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2</w:t>
                  </w:r>
                </w:p>
              </w:tc>
              <w:tc>
                <w:tcPr>
                  <w:tcW w:w="625" w:type="dxa"/>
                  <w:vMerge w:val="continue"/>
                  <w:noWrap w:val="0"/>
                  <w:vAlign w:val="center"/>
                </w:tcPr>
                <w:p w14:paraId="07F254C2">
                  <w:pPr>
                    <w:pStyle w:val="6"/>
                    <w:jc w:val="center"/>
                    <w:rPr>
                      <w:rFonts w:ascii="宋体" w:hAnsi="宋体" w:eastAsia="宋体" w:cs="宋体"/>
                      <w:kern w:val="0"/>
                      <w:sz w:val="20"/>
                      <w:szCs w:val="21"/>
                    </w:rPr>
                  </w:pPr>
                </w:p>
              </w:tc>
              <w:tc>
                <w:tcPr>
                  <w:tcW w:w="1300" w:type="dxa"/>
                  <w:noWrap w:val="0"/>
                  <w:vAlign w:val="center"/>
                </w:tcPr>
                <w:p w14:paraId="1F5A485E">
                  <w:pPr>
                    <w:pStyle w:val="6"/>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+证书外壳+水晶牌匾</w:t>
                  </w:r>
                </w:p>
              </w:tc>
              <w:tc>
                <w:tcPr>
                  <w:tcW w:w="971" w:type="dxa"/>
                  <w:noWrap w:val="0"/>
                  <w:vAlign w:val="center"/>
                </w:tcPr>
                <w:p w14:paraId="02A24D97">
                  <w:pPr>
                    <w:pStyle w:val="6"/>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约100</w:t>
                  </w:r>
                </w:p>
              </w:tc>
              <w:tc>
                <w:tcPr>
                  <w:tcW w:w="1032" w:type="dxa"/>
                  <w:noWrap w:val="0"/>
                  <w:vAlign w:val="center"/>
                </w:tcPr>
                <w:p w14:paraId="24E58F99">
                  <w:pPr>
                    <w:pStyle w:val="6"/>
                    <w:jc w:val="center"/>
                    <w:rPr>
                      <w:rFonts w:hint="eastAsia" w:ascii="宋体" w:hAnsi="宋体" w:eastAsia="宋体" w:cs="宋体"/>
                      <w:color w:val="auto"/>
                      <w:kern w:val="0"/>
                      <w:sz w:val="20"/>
                      <w:szCs w:val="21"/>
                      <w:lang w:val="en-US" w:eastAsia="zh-CN"/>
                    </w:rPr>
                  </w:pPr>
                  <w:r>
                    <w:rPr>
                      <w:rFonts w:hint="eastAsia" w:ascii="Times New Roman" w:hAnsi="Times New Roman" w:cs="Times New Roman"/>
                      <w:color w:val="auto"/>
                      <w:kern w:val="2"/>
                      <w:sz w:val="21"/>
                      <w:szCs w:val="24"/>
                      <w:highlight w:val="none"/>
                      <w:lang w:val="en-US" w:eastAsia="zh-CN" w:bidi="ar-SA"/>
                    </w:rPr>
                    <w:t>整体邮寄重量不超2kg</w:t>
                  </w:r>
                </w:p>
              </w:tc>
            </w:tr>
            <w:tr w14:paraId="7568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599" w:type="dxa"/>
                  <w:noWrap w:val="0"/>
                  <w:vAlign w:val="center"/>
                </w:tcPr>
                <w:p w14:paraId="5C2E66F5">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3</w:t>
                  </w:r>
                </w:p>
              </w:tc>
              <w:tc>
                <w:tcPr>
                  <w:tcW w:w="625" w:type="dxa"/>
                  <w:noWrap w:val="0"/>
                  <w:vAlign w:val="center"/>
                </w:tcPr>
                <w:p w14:paraId="42FC3BDF">
                  <w:pPr>
                    <w:pStyle w:val="6"/>
                    <w:jc w:val="center"/>
                    <w:rPr>
                      <w:rFonts w:ascii="宋体" w:hAnsi="宋体" w:eastAsia="宋体" w:cs="宋体"/>
                      <w:kern w:val="0"/>
                      <w:sz w:val="20"/>
                      <w:szCs w:val="21"/>
                    </w:rPr>
                  </w:pPr>
                  <w:r>
                    <w:rPr>
                      <w:rFonts w:hint="eastAsia" w:eastAsia="宋体" w:cs="Times New Roman"/>
                      <w:kern w:val="0"/>
                      <w:sz w:val="20"/>
                    </w:rPr>
                    <w:t>广西区外</w:t>
                  </w:r>
                </w:p>
              </w:tc>
              <w:tc>
                <w:tcPr>
                  <w:tcW w:w="1300" w:type="dxa"/>
                  <w:noWrap w:val="0"/>
                  <w:vAlign w:val="center"/>
                </w:tcPr>
                <w:p w14:paraId="1E83DFAE">
                  <w:pPr>
                    <w:pStyle w:val="6"/>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w:t>
                  </w:r>
                </w:p>
              </w:tc>
              <w:tc>
                <w:tcPr>
                  <w:tcW w:w="971" w:type="dxa"/>
                  <w:noWrap w:val="0"/>
                  <w:vAlign w:val="center"/>
                </w:tcPr>
                <w:p w14:paraId="658D241D">
                  <w:pPr>
                    <w:pStyle w:val="6"/>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约1000</w:t>
                  </w:r>
                </w:p>
              </w:tc>
              <w:tc>
                <w:tcPr>
                  <w:tcW w:w="1032" w:type="dxa"/>
                  <w:noWrap w:val="0"/>
                  <w:vAlign w:val="center"/>
                </w:tcPr>
                <w:p w14:paraId="19C8D286">
                  <w:pPr>
                    <w:pStyle w:val="6"/>
                    <w:jc w:val="center"/>
                    <w:rPr>
                      <w:rFonts w:ascii="宋体" w:hAnsi="宋体" w:eastAsia="宋体" w:cs="宋体"/>
                      <w:color w:val="auto"/>
                      <w:kern w:val="0"/>
                      <w:sz w:val="20"/>
                      <w:szCs w:val="21"/>
                    </w:rPr>
                  </w:pPr>
                  <w:r>
                    <w:rPr>
                      <w:rFonts w:hint="eastAsia" w:ascii="Times New Roman" w:hAnsi="Times New Roman" w:cs="Times New Roman"/>
                      <w:color w:val="auto"/>
                      <w:kern w:val="2"/>
                      <w:sz w:val="21"/>
                      <w:szCs w:val="24"/>
                      <w:highlight w:val="none"/>
                      <w:lang w:val="en-US" w:eastAsia="zh-CN" w:bidi="ar-SA"/>
                    </w:rPr>
                    <w:t>整体邮寄重量不超1kg</w:t>
                  </w:r>
                </w:p>
              </w:tc>
            </w:tr>
          </w:tbl>
          <w:p w14:paraId="0764CE35">
            <w:pPr>
              <w:widowControl w:val="0"/>
              <w:spacing w:after="120" w:line="240" w:lineRule="auto"/>
              <w:ind w:left="0" w:firstLine="0"/>
              <w:jc w:val="both"/>
              <w:rPr>
                <w:rFonts w:ascii="仿宋" w:hAnsi="仿宋" w:eastAsia="仿宋" w:cs="宋体"/>
                <w:b/>
                <w:color w:val="auto"/>
                <w:kern w:val="0"/>
                <w:sz w:val="20"/>
                <w:szCs w:val="20"/>
              </w:rPr>
            </w:pPr>
            <w:r>
              <w:rPr>
                <w:rFonts w:ascii="Times New Roman" w:hAnsi="Times New Roman" w:eastAsia="宋体" w:cs="Times New Roman"/>
                <w:color w:val="auto"/>
                <w:kern w:val="2"/>
                <w:sz w:val="21"/>
                <w:szCs w:val="24"/>
                <w:highlight w:val="none"/>
                <w:lang w:val="en-US" w:eastAsia="zh-CN" w:bidi="ar-SA"/>
              </w:rPr>
              <w:t>3、</w:t>
            </w:r>
            <w:r>
              <w:rPr>
                <w:rFonts w:hint="eastAsia" w:cs="Times New Roman"/>
                <w:color w:val="auto"/>
                <w:kern w:val="2"/>
                <w:sz w:val="21"/>
                <w:szCs w:val="24"/>
                <w:highlight w:val="none"/>
                <w:lang w:val="en-US" w:eastAsia="zh-CN" w:bidi="ar-SA"/>
              </w:rPr>
              <w:t>邮寄数量：邮寄总数不超过8000件，供应商需按下表分类报价：</w:t>
            </w:r>
          </w:p>
          <w:p w14:paraId="57595CD3">
            <w:pPr>
              <w:widowControl w:val="0"/>
              <w:spacing w:after="120" w:line="240" w:lineRule="auto"/>
              <w:ind w:left="0" w:firstLine="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w:t>
            </w:r>
            <w:r>
              <w:rPr>
                <w:rFonts w:hint="eastAsia" w:ascii="Times New Roman" w:hAnsi="Times New Roman"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寄件内容：</w:t>
            </w:r>
          </w:p>
          <w:p w14:paraId="4D659D1F">
            <w:pPr>
              <w:widowControl w:val="0"/>
              <w:spacing w:after="120" w:line="240" w:lineRule="auto"/>
              <w:ind w:left="0" w:firstLine="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（1）证书内页（34*24cm，内页原件只1份，请做好防护，防止损坏及丢失）+证书外壳（25*17.5cm，请做好防护，防止损坏及丢失），不超过8000件。</w:t>
            </w:r>
          </w:p>
          <w:p w14:paraId="0B91A904">
            <w:pPr>
              <w:widowControl w:val="0"/>
              <w:spacing w:after="120" w:line="240" w:lineRule="auto"/>
              <w:ind w:left="0" w:firstLine="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（2）水晶牌匾（</w:t>
            </w:r>
            <w:r>
              <w:rPr>
                <w:rFonts w:hint="eastAsia" w:ascii="Times New Roman" w:hAnsi="Times New Roman" w:cs="Times New Roman"/>
                <w:color w:val="auto"/>
                <w:kern w:val="2"/>
                <w:sz w:val="21"/>
                <w:szCs w:val="24"/>
                <w:highlight w:val="none"/>
                <w:lang w:val="en-US" w:eastAsia="zh-CN" w:bidi="ar-SA"/>
              </w:rPr>
              <w:t>水晶牌匾外包装长35cm*宽</w:t>
            </w:r>
            <w:r>
              <w:rPr>
                <w:rFonts w:hint="eastAsia" w:ascii="Times New Roman" w:hAnsi="Times New Roman" w:eastAsia="宋体" w:cs="Times New Roman"/>
                <w:color w:val="auto"/>
                <w:kern w:val="2"/>
                <w:sz w:val="21"/>
                <w:szCs w:val="24"/>
                <w:highlight w:val="none"/>
                <w:lang w:val="en-US" w:eastAsia="zh-CN" w:bidi="ar-SA"/>
              </w:rPr>
              <w:t>25</w:t>
            </w:r>
            <w:r>
              <w:rPr>
                <w:rFonts w:hint="eastAsia" w:ascii="Times New Roman" w:hAnsi="Times New Roman" w:cs="Times New Roman"/>
                <w:color w:val="auto"/>
                <w:kern w:val="2"/>
                <w:sz w:val="21"/>
                <w:szCs w:val="24"/>
                <w:highlight w:val="none"/>
                <w:lang w:val="en-US" w:eastAsia="zh-CN" w:bidi="ar-SA"/>
              </w:rPr>
              <w:t>cm</w:t>
            </w:r>
            <w:r>
              <w:rPr>
                <w:rFonts w:hint="eastAsia" w:ascii="Times New Roman" w:hAnsi="Times New Roman" w:eastAsia="宋体" w:cs="Times New Roman"/>
                <w:color w:val="auto"/>
                <w:kern w:val="2"/>
                <w:sz w:val="21"/>
                <w:szCs w:val="24"/>
                <w:highlight w:val="none"/>
                <w:lang w:val="en-US" w:eastAsia="zh-CN" w:bidi="ar-SA"/>
              </w:rPr>
              <w:t>*</w:t>
            </w:r>
            <w:r>
              <w:rPr>
                <w:rFonts w:hint="eastAsia" w:ascii="Times New Roman" w:hAnsi="Times New Roman" w:cs="Times New Roman"/>
                <w:color w:val="auto"/>
                <w:kern w:val="2"/>
                <w:sz w:val="21"/>
                <w:szCs w:val="24"/>
                <w:highlight w:val="none"/>
                <w:lang w:val="en-US" w:eastAsia="zh-CN" w:bidi="ar-SA"/>
              </w:rPr>
              <w:t>厚3</w:t>
            </w:r>
            <w:r>
              <w:rPr>
                <w:rFonts w:hint="eastAsia" w:ascii="Times New Roman" w:hAnsi="Times New Roman" w:eastAsia="宋体" w:cs="Times New Roman"/>
                <w:color w:val="auto"/>
                <w:kern w:val="2"/>
                <w:sz w:val="21"/>
                <w:szCs w:val="24"/>
                <w:highlight w:val="none"/>
                <w:lang w:val="en-US" w:eastAsia="zh-CN" w:bidi="ar-SA"/>
              </w:rPr>
              <w:t>cm）+证书内页（34*24cm，内页原件只1份，请做好防护，防止损坏及丢失）+证书外壳（25*17.5cm，外壳为血站定制请做好防护，防止损坏及丢失），不超过100件</w:t>
            </w:r>
            <w:r>
              <w:rPr>
                <w:rFonts w:hint="eastAsia" w:ascii="Times New Roman" w:hAnsi="Times New Roman" w:cs="Times New Roman"/>
                <w:color w:val="auto"/>
                <w:kern w:val="2"/>
                <w:sz w:val="21"/>
                <w:szCs w:val="24"/>
                <w:highlight w:val="none"/>
                <w:lang w:val="en-US" w:eastAsia="zh-CN" w:bidi="ar-SA"/>
              </w:rPr>
              <w:t>，整体邮寄重量不超2kg</w:t>
            </w:r>
            <w:r>
              <w:rPr>
                <w:rFonts w:hint="eastAsia" w:ascii="Times New Roman" w:hAnsi="Times New Roman" w:eastAsia="宋体" w:cs="Times New Roman"/>
                <w:color w:val="auto"/>
                <w:kern w:val="2"/>
                <w:sz w:val="21"/>
                <w:szCs w:val="24"/>
                <w:highlight w:val="none"/>
                <w:lang w:val="en-US" w:eastAsia="zh-CN" w:bidi="ar-SA"/>
              </w:rPr>
              <w:t>。</w:t>
            </w:r>
          </w:p>
          <w:p w14:paraId="67A3EB7D">
            <w:pPr>
              <w:pStyle w:val="11"/>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w:t>
            </w:r>
            <w:r>
              <w:rPr>
                <w:rFonts w:hint="eastAsia" w:ascii="Times New Roman" w:hAnsi="Times New Roman"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服务内容：</w:t>
            </w:r>
          </w:p>
          <w:p w14:paraId="5F360383">
            <w:pPr>
              <w:pStyle w:val="11"/>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（1）上门封装、取件，使用采购人提供的定制邮寄文件袋</w:t>
            </w:r>
            <w:r>
              <w:rPr>
                <w:rFonts w:hint="eastAsia" w:ascii="Times New Roman" w:hAnsi="Times New Roman" w:cs="Times New Roman"/>
                <w:color w:val="auto"/>
                <w:kern w:val="2"/>
                <w:sz w:val="21"/>
                <w:szCs w:val="24"/>
                <w:highlight w:val="none"/>
                <w:lang w:val="en-US" w:eastAsia="zh-CN" w:bidi="ar-SA"/>
              </w:rPr>
              <w:t>投递</w:t>
            </w:r>
            <w:r>
              <w:rPr>
                <w:rFonts w:hint="eastAsia" w:ascii="Times New Roman" w:hAnsi="Times New Roman" w:eastAsia="宋体" w:cs="Times New Roman"/>
                <w:color w:val="auto"/>
                <w:kern w:val="2"/>
                <w:sz w:val="21"/>
                <w:szCs w:val="24"/>
                <w:highlight w:val="none"/>
                <w:lang w:val="en-US" w:eastAsia="zh-CN" w:bidi="ar-SA"/>
              </w:rPr>
              <w:t>。</w:t>
            </w:r>
          </w:p>
          <w:p w14:paraId="6C011C7D">
            <w:pPr>
              <w:pStyle w:val="11"/>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（2）寄件、收件地址打印粘贴服务。</w:t>
            </w:r>
          </w:p>
          <w:p w14:paraId="77E439A4">
            <w:pPr>
              <w:pStyle w:val="11"/>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（3）核对需投递的证书姓名与收件人姓名相符并确保无误，寄件按献血者填写的地址投递。</w:t>
            </w:r>
          </w:p>
          <w:p w14:paraId="4E146F74">
            <w:pPr>
              <w:pStyle w:val="11"/>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（4）对血站所提供的相关资料保密。</w:t>
            </w:r>
          </w:p>
          <w:p w14:paraId="68B9BE27">
            <w:pPr>
              <w:pStyle w:val="11"/>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（5）所寄寄件符合规定，水晶牌匾包装妥当，如有在运输过程中发生丢失、损毁或短少的，需按原件补做回丢失件并再次投递（不另外收取费用）。</w:t>
            </w:r>
          </w:p>
          <w:p w14:paraId="78CE2DAC">
            <w:pPr>
              <w:pStyle w:val="11"/>
              <w:ind w:left="0" w:leftChars="0" w:firstLine="210" w:firstLineChars="1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（6）</w:t>
            </w:r>
            <w:r>
              <w:rPr>
                <w:rFonts w:hint="eastAsia" w:ascii="Times New Roman" w:hAnsi="Times New Roman" w:eastAsia="宋体" w:cs="Times New Roman"/>
                <w:color w:val="auto"/>
                <w:kern w:val="2"/>
                <w:sz w:val="21"/>
                <w:szCs w:val="24"/>
                <w:highlight w:val="none"/>
                <w:lang w:val="en-US" w:eastAsia="zh-CN" w:bidi="ar-SA"/>
              </w:rPr>
              <w:t>在投递过程中如果遇到献血者提供的地址不准确、不清楚，或者收件人搬离原住所等其它情况的，应及时跟血站联系解决，确实无法投递的，应及时将原件退回血站。</w:t>
            </w:r>
          </w:p>
          <w:p w14:paraId="78070980">
            <w:pPr>
              <w:pStyle w:val="11"/>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7、</w:t>
            </w:r>
            <w:r>
              <w:rPr>
                <w:rFonts w:hint="eastAsia" w:ascii="Times New Roman" w:hAnsi="Times New Roman" w:eastAsia="宋体" w:cs="Times New Roman"/>
                <w:color w:val="auto"/>
                <w:kern w:val="2"/>
                <w:sz w:val="21"/>
                <w:szCs w:val="24"/>
                <w:highlight w:val="none"/>
                <w:lang w:val="en-US" w:eastAsia="zh-CN" w:bidi="ar-SA"/>
              </w:rPr>
              <w:t>投递期限：自血站交寄之日起5个工作日内寄发完毕，20个工作日内投递完毕。</w:t>
            </w:r>
          </w:p>
          <w:p w14:paraId="4BF8C596">
            <w:pPr>
              <w:pStyle w:val="11"/>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8、</w:t>
            </w:r>
            <w:r>
              <w:rPr>
                <w:rFonts w:hint="eastAsia" w:ascii="Times New Roman" w:hAnsi="Times New Roman" w:eastAsia="宋体" w:cs="Times New Roman"/>
                <w:color w:val="auto"/>
                <w:kern w:val="2"/>
                <w:sz w:val="21"/>
                <w:szCs w:val="24"/>
                <w:highlight w:val="none"/>
                <w:lang w:val="en-US" w:eastAsia="zh-CN" w:bidi="ar-SA"/>
              </w:rPr>
              <w:t>交投工作结束后，10个工作日内提供妥投清单及退回清单，退回清单应与退回实物一致，并做好交接签收。</w:t>
            </w:r>
          </w:p>
          <w:p w14:paraId="204DA0D2">
            <w:pPr>
              <w:pStyle w:val="11"/>
              <w:ind w:left="0" w:leftChars="0" w:firstLine="0" w:firstLineChars="0"/>
            </w:pPr>
            <w:r>
              <w:rPr>
                <w:rFonts w:hint="eastAsia" w:ascii="Times New Roman" w:hAnsi="Times New Roman" w:eastAsia="宋体" w:cs="Times New Roman"/>
                <w:color w:val="auto"/>
                <w:kern w:val="2"/>
                <w:sz w:val="21"/>
                <w:szCs w:val="24"/>
                <w:highlight w:val="none"/>
                <w:lang w:val="en-US" w:eastAsia="zh-CN" w:bidi="ar-SA"/>
              </w:rPr>
              <w:t>9、最终结算价格以实际寄件数量乘以单价的总额为准，且不超过预算总价。</w:t>
            </w:r>
          </w:p>
        </w:tc>
        <w:tc>
          <w:tcPr>
            <w:tcW w:w="1275" w:type="dxa"/>
            <w:vAlign w:val="center"/>
          </w:tcPr>
          <w:p w14:paraId="4ADE18A6">
            <w:pPr>
              <w:rPr>
                <w:rFonts w:ascii="仿宋" w:hAnsi="仿宋" w:eastAsia="仿宋" w:cs="宋体"/>
                <w:color w:val="auto"/>
                <w:szCs w:val="21"/>
              </w:rPr>
            </w:pPr>
            <w:r>
              <w:rPr>
                <w:rFonts w:hint="eastAsia" w:ascii="宋体" w:hAnsi="宋体"/>
                <w:color w:val="auto"/>
                <w:szCs w:val="21"/>
                <w:highlight w:val="none"/>
              </w:rPr>
              <w:t>南宁中心血站2024年无偿献血荣誉证书</w:t>
            </w:r>
            <w:r>
              <w:rPr>
                <w:rFonts w:hint="eastAsia" w:ascii="宋体" w:hAnsi="宋体"/>
                <w:color w:val="auto"/>
                <w:szCs w:val="21"/>
                <w:highlight w:val="none"/>
                <w:lang w:val="en-US" w:eastAsia="zh-CN"/>
              </w:rPr>
              <w:t>及水晶牌匾邮寄</w:t>
            </w:r>
            <w:r>
              <w:rPr>
                <w:rFonts w:hint="eastAsia" w:ascii="宋体" w:hAnsi="宋体"/>
                <w:color w:val="auto"/>
                <w:szCs w:val="21"/>
                <w:highlight w:val="none"/>
              </w:rPr>
              <w:t>服务</w:t>
            </w:r>
          </w:p>
        </w:tc>
        <w:tc>
          <w:tcPr>
            <w:tcW w:w="2672"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2" w:type="dxa"/>
            <w:vAlign w:val="center"/>
          </w:tcPr>
          <w:p w14:paraId="6E15C104">
            <w:pPr>
              <w:rPr>
                <w:rFonts w:ascii="宋体" w:hAnsi="宋体"/>
                <w:color w:val="auto"/>
                <w:sz w:val="16"/>
                <w:szCs w:val="16"/>
              </w:rPr>
            </w:pPr>
            <w:r>
              <w:rPr>
                <w:rFonts w:ascii="宋体" w:hAnsi="宋体"/>
                <w:color w:val="auto"/>
                <w:sz w:val="16"/>
                <w:szCs w:val="16"/>
              </w:rPr>
              <w:t>正偏离（负偏离或无偏离）</w:t>
            </w:r>
          </w:p>
        </w:tc>
      </w:tr>
    </w:tbl>
    <w:p w14:paraId="57E62672">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6"/>
        <w:ind w:firstLine="420" w:firstLineChars="200"/>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7B1C278C">
      <w:pPr>
        <w:pStyle w:val="6"/>
        <w:rPr>
          <w:rFonts w:hAnsi="宋体"/>
          <w:color w:val="auto"/>
          <w:szCs w:val="21"/>
        </w:rPr>
      </w:pPr>
      <w:r>
        <w:rPr>
          <w:rFonts w:hint="eastAsia" w:hAnsi="宋体"/>
          <w:color w:val="auto"/>
          <w:szCs w:val="21"/>
          <w:u w:val="single"/>
        </w:rPr>
        <w:t xml:space="preserve">    </w:t>
      </w:r>
      <w:r>
        <w:rPr>
          <w:rFonts w:hint="eastAsia" w:hAnsi="宋体"/>
          <w:color w:val="auto"/>
          <w:szCs w:val="21"/>
        </w:rPr>
        <w:t>分标（有分项时填写）</w:t>
      </w:r>
    </w:p>
    <w:tbl>
      <w:tblPr>
        <w:tblStyle w:val="13"/>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94"/>
        <w:gridCol w:w="29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794" w:type="dxa"/>
            <w:vAlign w:val="center"/>
          </w:tcPr>
          <w:p w14:paraId="756067CB">
            <w:pPr>
              <w:adjustRightInd w:val="0"/>
              <w:snapToGrid w:val="0"/>
              <w:spacing w:line="400" w:lineRule="exact"/>
              <w:jc w:val="center"/>
              <w:outlineLvl w:val="0"/>
              <w:rPr>
                <w:rFonts w:ascii="宋体" w:hAnsi="宋体"/>
                <w:color w:val="auto"/>
                <w:szCs w:val="21"/>
              </w:rPr>
            </w:pPr>
            <w:bookmarkStart w:id="4" w:name="_Toc113"/>
            <w:bookmarkStart w:id="5" w:name="_Toc1122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92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33"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16246"/>
            <w:bookmarkStart w:id="9" w:name="_Toc20348"/>
            <w:r>
              <w:rPr>
                <w:rFonts w:hint="eastAsia" w:ascii="宋体" w:hAnsi="宋体"/>
                <w:color w:val="auto"/>
                <w:szCs w:val="21"/>
              </w:rPr>
              <w:t>1</w:t>
            </w:r>
            <w:bookmarkEnd w:id="8"/>
            <w:bookmarkEnd w:id="9"/>
          </w:p>
        </w:tc>
        <w:tc>
          <w:tcPr>
            <w:tcW w:w="3794" w:type="dxa"/>
            <w:vAlign w:val="center"/>
          </w:tcPr>
          <w:p w14:paraId="49200D12">
            <w:pPr>
              <w:spacing w:line="276" w:lineRule="auto"/>
              <w:rPr>
                <w:rFonts w:ascii="仿宋" w:hAnsi="仿宋" w:eastAsia="仿宋"/>
                <w:color w:val="auto"/>
                <w:sz w:val="20"/>
                <w:szCs w:val="20"/>
              </w:rPr>
            </w:pPr>
            <w:r>
              <w:rPr>
                <w:rFonts w:ascii="Times New Roman" w:hAnsi="Times New Roman"/>
                <w:color w:val="auto"/>
                <w:szCs w:val="21"/>
                <w:highlight w:val="none"/>
              </w:rPr>
              <w:t>合同签订期：自采购结果公告结束之日起</w:t>
            </w:r>
            <w:r>
              <w:rPr>
                <w:rFonts w:hint="eastAsia"/>
                <w:color w:val="auto"/>
                <w:szCs w:val="21"/>
                <w:highlight w:val="none"/>
                <w:lang w:val="en-US" w:eastAsia="zh-CN"/>
              </w:rPr>
              <w:t>10</w:t>
            </w:r>
            <w:r>
              <w:rPr>
                <w:rFonts w:ascii="Times New Roman" w:hAnsi="Times New Roman"/>
                <w:color w:val="auto"/>
                <w:szCs w:val="21"/>
                <w:highlight w:val="none"/>
              </w:rPr>
              <w:t>个工作日内。</w:t>
            </w:r>
          </w:p>
        </w:tc>
        <w:tc>
          <w:tcPr>
            <w:tcW w:w="29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58"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3794" w:type="dxa"/>
            <w:vAlign w:val="center"/>
          </w:tcPr>
          <w:p w14:paraId="306D63A1">
            <w:pPr>
              <w:spacing w:line="276" w:lineRule="auto"/>
              <w:rPr>
                <w:rFonts w:ascii="仿宋" w:hAnsi="仿宋" w:eastAsia="仿宋" w:cs="宋体"/>
                <w:color w:val="auto"/>
                <w:sz w:val="20"/>
                <w:szCs w:val="20"/>
              </w:rPr>
            </w:pPr>
            <w:r>
              <w:rPr>
                <w:rFonts w:ascii="Times New Roman" w:hAnsi="Times New Roman"/>
                <w:color w:val="auto"/>
                <w:szCs w:val="21"/>
                <w:highlight w:val="none"/>
              </w:rPr>
              <w:t>服务期限：自合同签订之日起至</w:t>
            </w:r>
            <w:r>
              <w:rPr>
                <w:rFonts w:hint="eastAsia" w:ascii="Times New Roman" w:hAnsi="Times New Roman"/>
                <w:color w:val="auto"/>
                <w:szCs w:val="21"/>
                <w:highlight w:val="none"/>
                <w:lang w:eastAsia="zh-CN"/>
              </w:rPr>
              <w:t>投递服务完成</w:t>
            </w:r>
            <w:r>
              <w:rPr>
                <w:rFonts w:ascii="Times New Roman" w:hAnsi="Times New Roman"/>
                <w:color w:val="auto"/>
                <w:szCs w:val="21"/>
                <w:highlight w:val="none"/>
              </w:rPr>
              <w:t xml:space="preserve">。 </w:t>
            </w:r>
          </w:p>
        </w:tc>
        <w:tc>
          <w:tcPr>
            <w:tcW w:w="29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85"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5989"/>
            <w:bookmarkStart w:id="13" w:name="_Toc25531"/>
            <w:r>
              <w:rPr>
                <w:rFonts w:hint="eastAsia" w:ascii="宋体" w:hAnsi="宋体"/>
                <w:color w:val="auto"/>
                <w:szCs w:val="21"/>
              </w:rPr>
              <w:t>3</w:t>
            </w:r>
            <w:bookmarkEnd w:id="12"/>
            <w:bookmarkEnd w:id="13"/>
          </w:p>
        </w:tc>
        <w:tc>
          <w:tcPr>
            <w:tcW w:w="3794" w:type="dxa"/>
            <w:vAlign w:val="center"/>
          </w:tcPr>
          <w:p w14:paraId="0C880BD6">
            <w:pPr>
              <w:spacing w:line="276" w:lineRule="auto"/>
              <w:rPr>
                <w:rFonts w:ascii="仿宋" w:hAnsi="仿宋" w:eastAsia="仿宋"/>
                <w:color w:val="auto"/>
                <w:sz w:val="20"/>
                <w:szCs w:val="20"/>
              </w:rPr>
            </w:pPr>
            <w:r>
              <w:rPr>
                <w:rFonts w:ascii="Times New Roman" w:hAnsi="Times New Roman"/>
                <w:color w:val="auto"/>
                <w:szCs w:val="21"/>
                <w:highlight w:val="none"/>
              </w:rPr>
              <w:t xml:space="preserve">服务地点：由采购人指定地点。 </w:t>
            </w:r>
          </w:p>
        </w:tc>
        <w:tc>
          <w:tcPr>
            <w:tcW w:w="29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5"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4579"/>
            <w:bookmarkStart w:id="15" w:name="_Toc29620"/>
            <w:r>
              <w:rPr>
                <w:rFonts w:hint="eastAsia" w:ascii="宋体" w:hAnsi="宋体"/>
                <w:color w:val="auto"/>
                <w:szCs w:val="21"/>
              </w:rPr>
              <w:t>4</w:t>
            </w:r>
            <w:bookmarkEnd w:id="14"/>
            <w:bookmarkEnd w:id="15"/>
          </w:p>
        </w:tc>
        <w:tc>
          <w:tcPr>
            <w:tcW w:w="3794" w:type="dxa"/>
            <w:vAlign w:val="center"/>
          </w:tcPr>
          <w:p w14:paraId="5033BAA9">
            <w:pPr>
              <w:spacing w:line="276" w:lineRule="auto"/>
              <w:rPr>
                <w:rFonts w:ascii="仿宋" w:hAnsi="仿宋" w:eastAsia="仿宋"/>
                <w:bCs/>
                <w:color w:val="auto"/>
                <w:sz w:val="20"/>
                <w:szCs w:val="20"/>
              </w:rPr>
            </w:pPr>
            <w:r>
              <w:rPr>
                <w:rFonts w:ascii="Times New Roman" w:hAnsi="Times New Roman"/>
                <w:color w:val="auto"/>
                <w:szCs w:val="21"/>
                <w:highlight w:val="none"/>
              </w:rPr>
              <w:t xml:space="preserve">付款方式：全部寄件完成寄送后，成交供应商提交寄送清单，按照实际寄件数乘以单价的总额一次性付款（付款前需提供等额合规的增值税普通发票）。 </w:t>
            </w:r>
          </w:p>
        </w:tc>
        <w:tc>
          <w:tcPr>
            <w:tcW w:w="29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8228"/>
            <w:bookmarkStart w:id="17" w:name="_Toc24401"/>
            <w:r>
              <w:rPr>
                <w:rFonts w:hint="eastAsia" w:ascii="宋体" w:hAnsi="宋体"/>
                <w:color w:val="auto"/>
                <w:szCs w:val="21"/>
              </w:rPr>
              <w:t>5</w:t>
            </w:r>
            <w:bookmarkEnd w:id="16"/>
            <w:bookmarkEnd w:id="17"/>
          </w:p>
        </w:tc>
        <w:tc>
          <w:tcPr>
            <w:tcW w:w="3794" w:type="dxa"/>
            <w:vAlign w:val="center"/>
          </w:tcPr>
          <w:p w14:paraId="03E41A19">
            <w:pPr>
              <w:spacing w:line="276" w:lineRule="auto"/>
              <w:rPr>
                <w:rFonts w:ascii="Times New Roman" w:hAnsi="Times New Roman"/>
                <w:color w:val="auto"/>
                <w:szCs w:val="21"/>
                <w:highlight w:val="none"/>
              </w:rPr>
            </w:pPr>
            <w:r>
              <w:rPr>
                <w:rFonts w:ascii="Times New Roman" w:hAnsi="Times New Roman"/>
                <w:color w:val="auto"/>
                <w:szCs w:val="21"/>
                <w:highlight w:val="none"/>
              </w:rPr>
              <w:t xml:space="preserve">服务要求： </w:t>
            </w:r>
          </w:p>
          <w:p w14:paraId="463FFF53">
            <w:pPr>
              <w:spacing w:line="276" w:lineRule="auto"/>
              <w:rPr>
                <w:rFonts w:ascii="Times New Roman" w:hAnsi="Times New Roman"/>
                <w:color w:val="auto"/>
                <w:szCs w:val="21"/>
                <w:highlight w:val="none"/>
              </w:rPr>
            </w:pPr>
            <w:r>
              <w:rPr>
                <w:rFonts w:ascii="Times New Roman" w:hAnsi="Times New Roman"/>
                <w:color w:val="auto"/>
                <w:szCs w:val="21"/>
                <w:highlight w:val="none"/>
              </w:rPr>
              <w:t xml:space="preserve">1、服务质量保证期：合同签订之日起2个月。 </w:t>
            </w:r>
          </w:p>
          <w:p w14:paraId="19752539">
            <w:pPr>
              <w:spacing w:line="276" w:lineRule="auto"/>
              <w:rPr>
                <w:rFonts w:ascii="仿宋" w:hAnsi="仿宋" w:eastAsia="仿宋"/>
                <w:bCs/>
                <w:color w:val="auto"/>
                <w:sz w:val="20"/>
                <w:szCs w:val="20"/>
              </w:rPr>
            </w:pPr>
            <w:r>
              <w:rPr>
                <w:rFonts w:ascii="Times New Roman" w:hAnsi="Times New Roman"/>
                <w:color w:val="auto"/>
                <w:szCs w:val="21"/>
                <w:highlight w:val="none"/>
              </w:rPr>
              <w:t>2、处理问题响应时间：接到采购人处理问题通知后4小时内到达采购人指定现场。</w:t>
            </w:r>
          </w:p>
        </w:tc>
        <w:tc>
          <w:tcPr>
            <w:tcW w:w="29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4" w:type="dxa"/>
            <w:vAlign w:val="center"/>
          </w:tcPr>
          <w:p w14:paraId="3DDC3AF1">
            <w:pPr>
              <w:spacing w:line="276" w:lineRule="auto"/>
              <w:rPr>
                <w:rFonts w:hint="eastAsia" w:ascii="Times New Roman" w:hAnsi="Times New Roman"/>
                <w:color w:val="auto"/>
                <w:szCs w:val="21"/>
                <w:highlight w:val="none"/>
                <w:lang w:eastAsia="zh-CN"/>
              </w:rPr>
            </w:pPr>
            <w:r>
              <w:rPr>
                <w:rFonts w:hint="eastAsia" w:ascii="Times New Roman" w:hAnsi="Times New Roman"/>
                <w:color w:val="auto"/>
                <w:szCs w:val="21"/>
                <w:highlight w:val="none"/>
                <w:lang w:eastAsia="zh-CN"/>
              </w:rPr>
              <w:t>其他要求</w:t>
            </w:r>
          </w:p>
          <w:p w14:paraId="7DF354D3">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1、报价必须含以下部分，包括：</w:t>
            </w:r>
          </w:p>
          <w:p w14:paraId="09F563F8">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（1）服务的价格；</w:t>
            </w:r>
          </w:p>
          <w:p w14:paraId="6DB027A3">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（2）必要的保险费用和各项税金；</w:t>
            </w:r>
          </w:p>
          <w:p w14:paraId="77570EEB">
            <w:pPr>
              <w:rPr>
                <w:rFonts w:ascii="仿宋" w:hAnsi="仿宋" w:eastAsia="仿宋"/>
                <w:color w:val="auto"/>
                <w:sz w:val="20"/>
                <w:szCs w:val="20"/>
              </w:rPr>
            </w:pPr>
            <w:r>
              <w:rPr>
                <w:rFonts w:hint="eastAsia" w:ascii="Times New Roman" w:hAnsi="Times New Roman"/>
                <w:color w:val="auto"/>
                <w:szCs w:val="21"/>
                <w:highlight w:val="none"/>
                <w:lang w:val="en-US" w:eastAsia="zh-CN"/>
              </w:rPr>
              <w:t>（3）其他（如人工、包装、运输、装卸、调试、技术支持、售后服务等费用）</w:t>
            </w:r>
            <w:r>
              <w:rPr>
                <w:rFonts w:hint="eastAsia"/>
                <w:color w:val="auto"/>
                <w:szCs w:val="21"/>
                <w:highlight w:val="none"/>
                <w:lang w:val="en-US" w:eastAsia="zh-CN"/>
              </w:rPr>
              <w:t>。</w:t>
            </w:r>
          </w:p>
        </w:tc>
        <w:tc>
          <w:tcPr>
            <w:tcW w:w="2925"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52C6BEB">
      <w:pPr>
        <w:pStyle w:val="6"/>
        <w:spacing w:line="400" w:lineRule="exact"/>
        <w:rPr>
          <w:rFonts w:hAnsi="宋体" w:cs="宋体"/>
          <w:color w:val="auto"/>
        </w:rPr>
      </w:pPr>
    </w:p>
    <w:p w14:paraId="5D1D9BE4">
      <w:pPr>
        <w:pStyle w:val="6"/>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6"/>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2"/>
        <w:numPr>
          <w:ilvl w:val="3"/>
          <w:numId w:val="0"/>
        </w:numPr>
        <w:ind w:left="1077" w:leftChars="0"/>
      </w:pPr>
    </w:p>
    <w:p w14:paraId="7F80F59B">
      <w:pPr>
        <w:pStyle w:val="6"/>
        <w:spacing w:line="400" w:lineRule="exact"/>
        <w:rPr>
          <w:rFonts w:hAnsi="宋体" w:cs="宋体"/>
          <w:color w:val="auto"/>
        </w:rPr>
      </w:pPr>
      <w:r>
        <w:rPr>
          <w:rFonts w:hint="eastAsia" w:hAnsi="宋体" w:cs="宋体"/>
          <w:color w:val="auto"/>
        </w:rPr>
        <w:t>响应人（盖单位公章）：</w:t>
      </w:r>
    </w:p>
    <w:p w14:paraId="4379BA0A">
      <w:pPr>
        <w:pStyle w:val="6"/>
        <w:spacing w:line="400" w:lineRule="exact"/>
        <w:rPr>
          <w:rFonts w:hAnsi="宋体" w:cs="宋体"/>
          <w:color w:val="auto"/>
        </w:rPr>
      </w:pPr>
      <w:r>
        <w:rPr>
          <w:rFonts w:hint="eastAsia" w:hAnsi="宋体" w:cs="宋体"/>
          <w:color w:val="auto"/>
        </w:rPr>
        <w:t>法定代表人或其委托代理人（签字或盖章）：</w:t>
      </w:r>
    </w:p>
    <w:p w14:paraId="5B16F573">
      <w:pPr>
        <w:rPr>
          <w:rFonts w:hint="eastAsia" w:ascii="仿宋" w:hAnsi="仿宋" w:eastAsia="仿宋"/>
          <w:color w:val="auto"/>
          <w:sz w:val="30"/>
          <w:szCs w:val="30"/>
        </w:rPr>
      </w:pPr>
    </w:p>
    <w:p w14:paraId="6D963BF1">
      <w:pPr>
        <w:rPr>
          <w:rFonts w:hint="eastAsia" w:ascii="仿宋" w:hAnsi="仿宋" w:eastAsia="仿宋"/>
          <w:color w:val="auto"/>
          <w:sz w:val="30"/>
          <w:szCs w:val="30"/>
        </w:rPr>
      </w:pPr>
    </w:p>
    <w:p w14:paraId="0E4F31F9">
      <w:pPr>
        <w:rPr>
          <w:rFonts w:hint="eastAsia" w:ascii="仿宋" w:hAnsi="仿宋" w:eastAsia="仿宋"/>
          <w:color w:val="auto"/>
          <w:sz w:val="30"/>
          <w:szCs w:val="30"/>
        </w:rPr>
      </w:pPr>
    </w:p>
    <w:p w14:paraId="1080B051">
      <w:pPr>
        <w:rPr>
          <w:rFonts w:hint="eastAsia" w:ascii="仿宋" w:hAnsi="仿宋" w:eastAsia="仿宋"/>
          <w:color w:val="auto"/>
          <w:sz w:val="30"/>
          <w:szCs w:val="30"/>
        </w:rPr>
      </w:pPr>
    </w:p>
    <w:p w14:paraId="158E12F3">
      <w:pPr>
        <w:rPr>
          <w:rFonts w:hint="eastAsia" w:ascii="仿宋" w:hAnsi="仿宋" w:eastAsia="仿宋"/>
          <w:color w:val="auto"/>
          <w:sz w:val="30"/>
          <w:szCs w:val="30"/>
        </w:rPr>
      </w:pPr>
    </w:p>
    <w:p w14:paraId="3A718621">
      <w:pPr>
        <w:rPr>
          <w:rFonts w:hint="eastAsia" w:ascii="仿宋" w:hAnsi="仿宋" w:eastAsia="仿宋"/>
          <w:color w:val="auto"/>
          <w:sz w:val="30"/>
          <w:szCs w:val="30"/>
        </w:rPr>
      </w:pPr>
    </w:p>
    <w:p w14:paraId="6CFA7AAC">
      <w:pPr>
        <w:rPr>
          <w:rFonts w:hint="eastAsia" w:ascii="仿宋" w:hAnsi="仿宋" w:eastAsia="仿宋"/>
          <w:color w:val="auto"/>
          <w:sz w:val="30"/>
          <w:szCs w:val="30"/>
        </w:rPr>
      </w:pPr>
    </w:p>
    <w:p w14:paraId="0E23A476">
      <w:pPr>
        <w:rPr>
          <w:rFonts w:hint="eastAsia" w:ascii="仿宋" w:hAnsi="仿宋" w:eastAsia="仿宋"/>
          <w:color w:val="auto"/>
          <w:sz w:val="30"/>
          <w:szCs w:val="30"/>
        </w:rPr>
      </w:pPr>
    </w:p>
    <w:p w14:paraId="3837D172">
      <w:pPr>
        <w:rPr>
          <w:rFonts w:hint="eastAsia" w:ascii="仿宋" w:hAnsi="仿宋" w:eastAsia="仿宋"/>
          <w:color w:val="auto"/>
          <w:sz w:val="30"/>
          <w:szCs w:val="30"/>
        </w:rPr>
      </w:pPr>
    </w:p>
    <w:p w14:paraId="1712CEFD">
      <w:pPr>
        <w:rPr>
          <w:rFonts w:hint="eastAsia" w:ascii="仿宋" w:hAnsi="仿宋" w:eastAsia="仿宋"/>
          <w:color w:val="auto"/>
          <w:sz w:val="30"/>
          <w:szCs w:val="30"/>
        </w:rPr>
      </w:pPr>
    </w:p>
    <w:p w14:paraId="319072D0">
      <w:pPr>
        <w:rPr>
          <w:rFonts w:hint="eastAsia" w:ascii="仿宋" w:hAnsi="仿宋" w:eastAsia="仿宋"/>
          <w:color w:val="auto"/>
          <w:sz w:val="30"/>
          <w:szCs w:val="30"/>
        </w:rPr>
      </w:pPr>
    </w:p>
    <w:p w14:paraId="0E0D097D">
      <w:pPr>
        <w:rPr>
          <w:rFonts w:hint="eastAsia" w:ascii="仿宋" w:hAnsi="仿宋" w:eastAsia="仿宋"/>
          <w:color w:val="auto"/>
          <w:sz w:val="30"/>
          <w:szCs w:val="30"/>
        </w:rPr>
      </w:pPr>
    </w:p>
    <w:p w14:paraId="43FD1A2B">
      <w:pPr>
        <w:rPr>
          <w:rFonts w:hint="eastAsia" w:ascii="仿宋" w:hAnsi="仿宋" w:eastAsia="仿宋"/>
          <w:color w:val="auto"/>
          <w:sz w:val="30"/>
          <w:szCs w:val="30"/>
        </w:rPr>
      </w:pPr>
    </w:p>
    <w:p w14:paraId="6AA0485B">
      <w:pPr>
        <w:rPr>
          <w:rFonts w:hint="eastAsia" w:ascii="仿宋" w:hAnsi="仿宋" w:eastAsia="仿宋"/>
          <w:color w:val="auto"/>
          <w:sz w:val="30"/>
          <w:szCs w:val="30"/>
        </w:rPr>
      </w:pPr>
    </w:p>
    <w:p w14:paraId="4C0CB342">
      <w:pPr>
        <w:rPr>
          <w:rFonts w:hint="eastAsia" w:ascii="仿宋" w:hAnsi="仿宋" w:eastAsia="仿宋"/>
          <w:color w:val="auto"/>
          <w:sz w:val="30"/>
          <w:szCs w:val="30"/>
        </w:rPr>
      </w:pPr>
    </w:p>
    <w:p w14:paraId="71B9303F">
      <w:pPr>
        <w:pStyle w:val="6"/>
        <w:spacing w:line="560" w:lineRule="exact"/>
        <w:ind w:firstLine="560" w:firstLineChars="200"/>
        <w:rPr>
          <w:rFonts w:hint="eastAsia" w:ascii="方正公文小标宋" w:hAnsi="方正公文小标宋" w:eastAsia="方正公文小标宋" w:cs="方正公文小标宋"/>
          <w:b w:val="0"/>
          <w:bCs/>
          <w:color w:val="000000"/>
          <w:sz w:val="44"/>
          <w:szCs w:val="44"/>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南宁中心血站2024年无偿献血荣誉证书</w:t>
      </w:r>
      <w:r>
        <w:rPr>
          <w:rFonts w:hint="eastAsia" w:ascii="仿宋_GB2312" w:eastAsia="仿宋_GB2312"/>
          <w:color w:val="000000"/>
          <w:sz w:val="28"/>
          <w:szCs w:val="28"/>
          <w:u w:val="single"/>
          <w:lang w:val="en-US" w:eastAsia="zh-CN"/>
        </w:rPr>
        <w:t>及水晶牌匾邮寄</w:t>
      </w:r>
      <w:r>
        <w:rPr>
          <w:rFonts w:hint="eastAsia" w:ascii="仿宋_GB2312" w:eastAsia="仿宋_GB2312"/>
          <w:color w:val="000000"/>
          <w:sz w:val="28"/>
          <w:szCs w:val="28"/>
          <w:u w:val="single"/>
          <w:lang w:val="zh-TW" w:eastAsia="zh-TW"/>
        </w:rPr>
        <w:t>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411BBA73">
      <w:pPr>
        <w:pStyle w:val="11"/>
        <w:ind w:left="0" w:leftChars="0" w:firstLine="0" w:firstLineChars="0"/>
        <w:jc w:val="both"/>
        <w:rPr>
          <w:rFonts w:hint="eastAsia" w:ascii="宋体" w:hAnsi="宋体"/>
          <w:color w:val="auto"/>
          <w:kern w:val="44"/>
          <w:sz w:val="44"/>
          <w:szCs w:val="44"/>
        </w:rPr>
      </w:pPr>
    </w:p>
    <w:p w14:paraId="1DCE1284">
      <w:pPr>
        <w:pStyle w:val="11"/>
        <w:ind w:firstLine="840" w:firstLineChars="30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1"/>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1"/>
        <w:rPr>
          <w:rFonts w:hint="eastAsia" w:ascii="宋体" w:hAnsi="宋体" w:cs="宋体"/>
          <w:b/>
          <w:sz w:val="30"/>
          <w:szCs w:val="30"/>
        </w:rPr>
      </w:pPr>
    </w:p>
    <w:p w14:paraId="2B8C9D53">
      <w:pPr>
        <w:pStyle w:val="11"/>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A5EEE5-CA31-42F9-80E7-16552ABF485D}"/>
  </w:font>
  <w:font w:name="Courier New">
    <w:panose1 w:val="02070309020205020404"/>
    <w:charset w:val="01"/>
    <w:family w:val="modern"/>
    <w:pitch w:val="default"/>
    <w:sig w:usb0="E0002EFF" w:usb1="C0007843" w:usb2="00000009" w:usb3="00000000" w:csb0="400001FF" w:csb1="FFFF0000"/>
    <w:embedRegular r:id="rId2" w:fontKey="{C7AEC82D-E2CD-4EDA-8A38-51B49C6D251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B220AD4-5B17-4CBF-8842-654AEF4E80B5}"/>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2A9AF56A-8791-4B95-8563-E7C1949AF029}"/>
  </w:font>
  <w:font w:name="仿宋_GB2312">
    <w:panose1 w:val="02010609030101010101"/>
    <w:charset w:val="86"/>
    <w:family w:val="modern"/>
    <w:pitch w:val="default"/>
    <w:sig w:usb0="00000001" w:usb1="080E0000" w:usb2="00000000" w:usb3="00000000" w:csb0="00040000" w:csb1="00000000"/>
    <w:embedRegular r:id="rId5" w:fontKey="{B21BF1FF-491C-4EAE-8702-2AC3E2C7C682}"/>
  </w:font>
  <w:font w:name="Lucida Sans Unicode">
    <w:panose1 w:val="020B0602030504020204"/>
    <w:charset w:val="00"/>
    <w:family w:val="swiss"/>
    <w:pitch w:val="default"/>
    <w:sig w:usb0="80001AFF" w:usb1="0000396B" w:usb2="00000000" w:usb3="00000000" w:csb0="200000BF" w:csb1="D7F70000"/>
    <w:embedRegular r:id="rId6" w:fontKey="{C68B1F32-53DC-4A08-8CB9-6CFE9E64BAC6}"/>
  </w:font>
  <w:font w:name="方正楷体_GB2312">
    <w:panose1 w:val="02000000000000000000"/>
    <w:charset w:val="86"/>
    <w:family w:val="auto"/>
    <w:pitch w:val="default"/>
    <w:sig w:usb0="A00002BF" w:usb1="184F6CFA" w:usb2="00000012" w:usb3="00000000" w:csb0="00040001" w:csb1="00000000"/>
    <w:embedRegular r:id="rId7" w:fontKey="{E16A01C6-C602-4453-BF35-D1607973ED4D}"/>
  </w:font>
  <w:font w:name="仿宋">
    <w:panose1 w:val="02010609060101010101"/>
    <w:charset w:val="86"/>
    <w:family w:val="modern"/>
    <w:pitch w:val="default"/>
    <w:sig w:usb0="800002BF" w:usb1="38CF7CFA" w:usb2="00000016" w:usb3="00000000" w:csb0="00040001" w:csb1="00000000"/>
    <w:embedRegular r:id="rId8" w:fontKey="{F4BBE8D4-A703-4582-9A61-432F7C1CCD3F}"/>
  </w:font>
  <w:font w:name="Wingdings 2">
    <w:panose1 w:val="05020102010507070707"/>
    <w:charset w:val="02"/>
    <w:family w:val="roman"/>
    <w:pitch w:val="default"/>
    <w:sig w:usb0="00000000" w:usb1="00000000" w:usb2="00000000" w:usb3="00000000" w:csb0="80000000" w:csb1="00000000"/>
    <w:embedRegular r:id="rId9" w:fontKey="{3082EF6E-8808-4EBA-959C-9ADFEA2A1EED}"/>
  </w:font>
  <w:font w:name="方正公文小标宋">
    <w:panose1 w:val="02000500000000000000"/>
    <w:charset w:val="86"/>
    <w:family w:val="auto"/>
    <w:pitch w:val="default"/>
    <w:sig w:usb0="A00002BF" w:usb1="38CF7CFA" w:usb2="00000016" w:usb3="00000000" w:csb0="00040001" w:csb1="00000000"/>
    <w:embedRegular r:id="rId10" w:fontKey="{E14919AE-F270-4767-B9ED-D3803F83A3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12C0D00"/>
    <w:multiLevelType w:val="singleLevel"/>
    <w:tmpl w:val="412C0D00"/>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3670C57"/>
    <w:rsid w:val="0C0A5403"/>
    <w:rsid w:val="12C67FE1"/>
    <w:rsid w:val="15D77522"/>
    <w:rsid w:val="19A5109C"/>
    <w:rsid w:val="1B1F4E7E"/>
    <w:rsid w:val="1B5C39DD"/>
    <w:rsid w:val="1E4824ED"/>
    <w:rsid w:val="1E6848B0"/>
    <w:rsid w:val="20EC5803"/>
    <w:rsid w:val="23DF7159"/>
    <w:rsid w:val="24C95406"/>
    <w:rsid w:val="25030284"/>
    <w:rsid w:val="2BAB4636"/>
    <w:rsid w:val="39254A49"/>
    <w:rsid w:val="3A155D47"/>
    <w:rsid w:val="3F794BDA"/>
    <w:rsid w:val="41717D14"/>
    <w:rsid w:val="44942BEF"/>
    <w:rsid w:val="45D636A5"/>
    <w:rsid w:val="495E2059"/>
    <w:rsid w:val="49CF5B75"/>
    <w:rsid w:val="4A2E27D8"/>
    <w:rsid w:val="4BE930B0"/>
    <w:rsid w:val="4DF267BC"/>
    <w:rsid w:val="50901C87"/>
    <w:rsid w:val="53DA23BC"/>
    <w:rsid w:val="53E47AF0"/>
    <w:rsid w:val="54714A29"/>
    <w:rsid w:val="55731FB9"/>
    <w:rsid w:val="5745560C"/>
    <w:rsid w:val="59401951"/>
    <w:rsid w:val="5B2D3245"/>
    <w:rsid w:val="60884935"/>
    <w:rsid w:val="61F52ED8"/>
    <w:rsid w:val="63267838"/>
    <w:rsid w:val="667523D3"/>
    <w:rsid w:val="66F31915"/>
    <w:rsid w:val="674A2C89"/>
    <w:rsid w:val="703B4AE4"/>
    <w:rsid w:val="71C86016"/>
    <w:rsid w:val="745C607B"/>
    <w:rsid w:val="75CC2D87"/>
    <w:rsid w:val="78CC1807"/>
    <w:rsid w:val="792579EC"/>
    <w:rsid w:val="7B5E6224"/>
    <w:rsid w:val="7C4223E5"/>
    <w:rsid w:val="7C812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5"/>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qFormat/>
    <w:uiPriority w:val="0"/>
    <w:pPr>
      <w:jc w:val="left"/>
    </w:pPr>
    <w:rPr>
      <w:rFonts w:ascii="Calibri" w:hAnsi="Calibri" w:eastAsia="宋体" w:cs="Times New Roman"/>
    </w:rPr>
  </w:style>
  <w:style w:type="paragraph" w:styleId="4">
    <w:name w:val="Body Text"/>
    <w:basedOn w:val="1"/>
    <w:next w:val="1"/>
    <w:link w:val="19"/>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28"/>
    <w:semiHidden/>
    <w:unhideWhenUsed/>
    <w:qFormat/>
    <w:uiPriority w:val="99"/>
    <w:pPr>
      <w:spacing w:after="120"/>
      <w:ind w:left="420" w:leftChars="200"/>
    </w:pPr>
  </w:style>
  <w:style w:type="paragraph" w:styleId="6">
    <w:name w:val="Plain Text"/>
    <w:basedOn w:val="1"/>
    <w:next w:val="2"/>
    <w:link w:val="21"/>
    <w:unhideWhenUsed/>
    <w:qFormat/>
    <w:uiPriority w:val="0"/>
    <w:rPr>
      <w:rFonts w:ascii="宋体" w:hAnsi="Courier New" w:eastAsia="宋体" w:cs="Times New Roman"/>
      <w:szCs w:val="20"/>
    </w:rPr>
  </w:style>
  <w:style w:type="paragraph" w:styleId="7">
    <w:name w:val="Date"/>
    <w:basedOn w:val="1"/>
    <w:next w:val="1"/>
    <w:link w:val="30"/>
    <w:semiHidden/>
    <w:unhideWhenUsed/>
    <w:qFormat/>
    <w:uiPriority w:val="99"/>
    <w:pPr>
      <w:ind w:left="100" w:leftChars="2500"/>
    </w:pPr>
  </w:style>
  <w:style w:type="paragraph" w:styleId="8">
    <w:name w:val="Balloon Text"/>
    <w:basedOn w:val="1"/>
    <w:link w:val="24"/>
    <w:semiHidden/>
    <w:unhideWhenUsed/>
    <w:qFormat/>
    <w:uiPriority w:val="99"/>
    <w:rPr>
      <w:sz w:val="18"/>
      <w:szCs w:val="18"/>
    </w:rPr>
  </w:style>
  <w:style w:type="paragraph" w:styleId="9">
    <w:name w:val="footer"/>
    <w:basedOn w:val="1"/>
    <w:link w:val="22"/>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First Indent"/>
    <w:basedOn w:val="4"/>
    <w:link w:val="31"/>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2">
    <w:name w:val="Body Text First Indent 2"/>
    <w:basedOn w:val="5"/>
    <w:link w:val="29"/>
    <w:semiHidden/>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Hyperlink"/>
    <w:basedOn w:val="15"/>
    <w:qFormat/>
    <w:uiPriority w:val="0"/>
    <w:rPr>
      <w:color w:val="0000FF" w:themeColor="hyperlink"/>
      <w:u w:val="single"/>
      <w14:textFill>
        <w14:solidFill>
          <w14:schemeClr w14:val="hlink"/>
        </w14:solidFill>
      </w14:textFill>
    </w:rPr>
  </w:style>
  <w:style w:type="character" w:styleId="18">
    <w:name w:val="annotation reference"/>
    <w:basedOn w:val="15"/>
    <w:qFormat/>
    <w:uiPriority w:val="0"/>
    <w:rPr>
      <w:sz w:val="21"/>
      <w:szCs w:val="21"/>
    </w:rPr>
  </w:style>
  <w:style w:type="character" w:customStyle="1" w:styleId="19">
    <w:name w:val="正文文本 Char"/>
    <w:basedOn w:val="15"/>
    <w:link w:val="4"/>
    <w:semiHidden/>
    <w:qFormat/>
    <w:uiPriority w:val="99"/>
    <w:rPr>
      <w:rFonts w:ascii="宋体" w:hAnsi="宋体" w:eastAsia="宋体" w:cs="宋体"/>
      <w:kern w:val="0"/>
      <w:sz w:val="24"/>
      <w:szCs w:val="24"/>
    </w:rPr>
  </w:style>
  <w:style w:type="paragraph" w:styleId="20">
    <w:name w:val="List Paragraph"/>
    <w:basedOn w:val="1"/>
    <w:qFormat/>
    <w:uiPriority w:val="34"/>
    <w:pPr>
      <w:ind w:firstLine="420" w:firstLineChars="200"/>
    </w:pPr>
  </w:style>
  <w:style w:type="character" w:customStyle="1" w:styleId="21">
    <w:name w:val="纯文本 Char"/>
    <w:basedOn w:val="15"/>
    <w:link w:val="6"/>
    <w:qFormat/>
    <w:uiPriority w:val="99"/>
    <w:rPr>
      <w:rFonts w:ascii="宋体" w:hAnsi="Courier New" w:eastAsia="宋体" w:cs="Times New Roman"/>
      <w:szCs w:val="20"/>
    </w:rPr>
  </w:style>
  <w:style w:type="character" w:customStyle="1" w:styleId="22">
    <w:name w:val="页脚 Char"/>
    <w:basedOn w:val="15"/>
    <w:link w:val="9"/>
    <w:qFormat/>
    <w:uiPriority w:val="0"/>
    <w:rPr>
      <w:rFonts w:ascii="Calibri" w:hAnsi="Calibri" w:eastAsia="宋体" w:cs="Times New Roman"/>
      <w:sz w:val="18"/>
      <w:szCs w:val="18"/>
    </w:rPr>
  </w:style>
  <w:style w:type="character" w:customStyle="1" w:styleId="23">
    <w:name w:val="批注文字 Char"/>
    <w:basedOn w:val="15"/>
    <w:link w:val="3"/>
    <w:qFormat/>
    <w:uiPriority w:val="0"/>
    <w:rPr>
      <w:rFonts w:ascii="Calibri" w:hAnsi="Calibri" w:eastAsia="宋体" w:cs="Times New Roman"/>
    </w:rPr>
  </w:style>
  <w:style w:type="character" w:customStyle="1" w:styleId="24">
    <w:name w:val="批注框文本 Char"/>
    <w:basedOn w:val="15"/>
    <w:link w:val="8"/>
    <w:semiHidden/>
    <w:qFormat/>
    <w:uiPriority w:val="99"/>
    <w:rPr>
      <w:sz w:val="18"/>
      <w:szCs w:val="18"/>
    </w:rPr>
  </w:style>
  <w:style w:type="character" w:customStyle="1" w:styleId="25">
    <w:name w:val="标题 4 Char"/>
    <w:basedOn w:val="15"/>
    <w:link w:val="2"/>
    <w:qFormat/>
    <w:uiPriority w:val="0"/>
    <w:rPr>
      <w:rFonts w:ascii="Arial" w:eastAsia="黑体"/>
      <w:kern w:val="0"/>
      <w:sz w:val="28"/>
      <w:szCs w:val="20"/>
    </w:rPr>
  </w:style>
  <w:style w:type="character" w:customStyle="1" w:styleId="26">
    <w:name w:val="font171"/>
    <w:basedOn w:val="15"/>
    <w:qFormat/>
    <w:uiPriority w:val="0"/>
    <w:rPr>
      <w:rFonts w:ascii="Arial" w:hAnsi="Arial" w:cs="Arial"/>
      <w:color w:val="000000"/>
      <w:sz w:val="16"/>
      <w:szCs w:val="16"/>
      <w:u w:val="none"/>
    </w:rPr>
  </w:style>
  <w:style w:type="character" w:customStyle="1" w:styleId="27">
    <w:name w:val="font191"/>
    <w:basedOn w:val="15"/>
    <w:qFormat/>
    <w:uiPriority w:val="0"/>
    <w:rPr>
      <w:rFonts w:hint="eastAsia" w:ascii="微软雅黑" w:hAnsi="微软雅黑" w:eastAsia="微软雅黑" w:cs="微软雅黑"/>
      <w:color w:val="000000"/>
      <w:sz w:val="16"/>
      <w:szCs w:val="16"/>
      <w:u w:val="none"/>
    </w:rPr>
  </w:style>
  <w:style w:type="character" w:customStyle="1" w:styleId="28">
    <w:name w:val="正文文本缩进 Char"/>
    <w:basedOn w:val="15"/>
    <w:link w:val="5"/>
    <w:semiHidden/>
    <w:qFormat/>
    <w:uiPriority w:val="99"/>
  </w:style>
  <w:style w:type="character" w:customStyle="1" w:styleId="29">
    <w:name w:val="正文首行缩进 2 Char"/>
    <w:basedOn w:val="28"/>
    <w:link w:val="12"/>
    <w:semiHidden/>
    <w:qFormat/>
    <w:uiPriority w:val="99"/>
  </w:style>
  <w:style w:type="character" w:customStyle="1" w:styleId="30">
    <w:name w:val="日期 Char"/>
    <w:basedOn w:val="15"/>
    <w:link w:val="7"/>
    <w:semiHidden/>
    <w:qFormat/>
    <w:uiPriority w:val="99"/>
  </w:style>
  <w:style w:type="character" w:customStyle="1" w:styleId="31">
    <w:name w:val="正文首行缩进 Char"/>
    <w:basedOn w:val="19"/>
    <w:link w:val="11"/>
    <w:qFormat/>
    <w:uiPriority w:val="0"/>
    <w:rPr>
      <w:rFonts w:ascii="Times New Roman" w:hAnsi="Times New Roman" w:eastAsia="宋体" w:cs="宋体"/>
      <w:kern w:val="0"/>
      <w:sz w:val="24"/>
      <w:szCs w:val="24"/>
    </w:rPr>
  </w:style>
  <w:style w:type="paragraph" w:customStyle="1" w:styleId="32">
    <w:name w:val="Table Paragraph"/>
    <w:basedOn w:val="1"/>
    <w:unhideWhenUsed/>
    <w:qFormat/>
    <w:uiPriority w:val="1"/>
    <w:rPr>
      <w:rFonts w:hint="eastAsia"/>
      <w:sz w:val="24"/>
      <w:szCs w:val="24"/>
    </w:rPr>
  </w:style>
  <w:style w:type="character" w:customStyle="1" w:styleId="33">
    <w:name w:val="页眉 Char"/>
    <w:basedOn w:val="15"/>
    <w:link w:val="10"/>
    <w:qFormat/>
    <w:uiPriority w:val="99"/>
    <w:rPr>
      <w:kern w:val="2"/>
      <w:sz w:val="18"/>
      <w:szCs w:val="18"/>
    </w:rPr>
  </w:style>
  <w:style w:type="paragraph" w:customStyle="1" w:styleId="34">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24</Pages>
  <Words>9567</Words>
  <Characters>10121</Characters>
  <Lines>39</Lines>
  <Paragraphs>11</Paragraphs>
  <TotalTime>14</TotalTime>
  <ScaleCrop>false</ScaleCrop>
  <LinksUpToDate>false</LinksUpToDate>
  <CharactersWithSpaces>11492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2024-08-13T04:01:09Z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D17A6724B052480980115F7B28906245_13</vt:lpwstr>
  </property>
</Properties>
</file>