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762F763C">
      <w:pPr>
        <w:spacing w:line="360" w:lineRule="auto"/>
        <w:jc w:val="center"/>
        <w:rPr>
          <w:rFonts w:ascii="宋体" w:hAnsi="宋体"/>
          <w:b/>
          <w:color w:val="auto"/>
          <w:sz w:val="32"/>
          <w:szCs w:val="32"/>
        </w:rPr>
      </w:pPr>
    </w:p>
    <w:p w14:paraId="5B9E10D7">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项目名称：南宁中心血站2024年应急招募纪念品采购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项目编号：NNBCHW2024013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23</w:t>
      </w:r>
      <w:r>
        <w:rPr>
          <w:rFonts w:hint="eastAsia" w:ascii="仿宋_GB2312" w:hAnsi="Courier New" w:eastAsia="仿宋_GB2312" w:cs="Courier New"/>
          <w:b/>
          <w:bCs/>
          <w:color w:val="000000"/>
          <w:kern w:val="0"/>
          <w:sz w:val="32"/>
          <w:szCs w:val="32"/>
          <w:lang w:val="zh-TW" w:eastAsia="zh-TW"/>
        </w:rPr>
        <w:t>日</w:t>
      </w:r>
    </w:p>
    <w:p w14:paraId="6D225CCA">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5ED29E2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南宁中心血站2024年应急招募纪念品</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南宁中心血站按照采购计划，对南宁中心血站2024年应急招募纪念品进行采购，现就该项目邀请具有资质的单位进行响应，采购信息如下：</w:t>
      </w:r>
    </w:p>
    <w:p w14:paraId="6A3E00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zh-TW" w:eastAsia="zh-TW"/>
        </w:rPr>
        <w:t>一、项目编号：NNBCHW2024013</w:t>
      </w:r>
    </w:p>
    <w:p w14:paraId="24C50F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项目名称：南宁中心血站2024年应急招募纪念品采购</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    项目预算：</w:t>
      </w:r>
      <w:r>
        <w:rPr>
          <w:rFonts w:hint="eastAsia" w:ascii="仿宋_GB2312" w:hAnsi="Courier New" w:eastAsia="仿宋_GB2312" w:cs="Courier New"/>
          <w:color w:val="000000"/>
          <w:kern w:val="0"/>
          <w:sz w:val="32"/>
          <w:szCs w:val="32"/>
          <w:lang w:val="en-US" w:eastAsia="zh-CN"/>
        </w:rPr>
        <w:t>陆</w:t>
      </w:r>
      <w:r>
        <w:rPr>
          <w:rFonts w:hint="eastAsia" w:ascii="仿宋_GB2312" w:hAnsi="Courier New" w:eastAsia="仿宋_GB2312" w:cs="Courier New"/>
          <w:color w:val="000000"/>
          <w:kern w:val="0"/>
          <w:sz w:val="32"/>
          <w:szCs w:val="32"/>
          <w:lang w:val="zh-TW" w:eastAsia="zh-TW"/>
        </w:rPr>
        <w:t>万元整（￥</w:t>
      </w:r>
      <w:r>
        <w:rPr>
          <w:rFonts w:hint="eastAsia" w:ascii="仿宋_GB2312" w:hAnsi="Courier New" w:eastAsia="仿宋_GB2312" w:cs="Courier New"/>
          <w:color w:val="000000"/>
          <w:kern w:val="0"/>
          <w:sz w:val="32"/>
          <w:szCs w:val="32"/>
          <w:lang w:val="en-US" w:eastAsia="zh-CN"/>
        </w:rPr>
        <w:t>60</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    最高限价：</w:t>
      </w:r>
      <w:r>
        <w:rPr>
          <w:rFonts w:hint="eastAsia" w:ascii="仿宋_GB2312" w:hAnsi="Courier New" w:eastAsia="仿宋_GB2312" w:cs="Courier New"/>
          <w:color w:val="000000"/>
          <w:kern w:val="0"/>
          <w:sz w:val="32"/>
          <w:szCs w:val="32"/>
          <w:lang w:val="en-US" w:eastAsia="zh-CN"/>
        </w:rPr>
        <w:t>陆</w:t>
      </w:r>
      <w:r>
        <w:rPr>
          <w:rFonts w:hint="eastAsia" w:ascii="仿宋_GB2312" w:hAnsi="Courier New" w:eastAsia="仿宋_GB2312" w:cs="Courier New"/>
          <w:color w:val="000000"/>
          <w:kern w:val="0"/>
          <w:sz w:val="32"/>
          <w:szCs w:val="32"/>
          <w:lang w:val="zh-TW" w:eastAsia="zh-TW"/>
        </w:rPr>
        <w:t>万元整（￥</w:t>
      </w:r>
      <w:r>
        <w:rPr>
          <w:rFonts w:hint="eastAsia" w:ascii="仿宋_GB2312" w:hAnsi="Courier New" w:eastAsia="仿宋_GB2312" w:cs="Courier New"/>
          <w:color w:val="000000"/>
          <w:kern w:val="0"/>
          <w:sz w:val="32"/>
          <w:szCs w:val="32"/>
          <w:lang w:val="en-US" w:eastAsia="zh-CN"/>
        </w:rPr>
        <w:t>60</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019F26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0D654D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承诺函及供货产品图片</w:t>
      </w:r>
      <w:r>
        <w:rPr>
          <w:rFonts w:hint="eastAsia" w:ascii="仿宋_GB2312" w:hAnsi="Courier New" w:eastAsia="仿宋_GB2312" w:cs="Courier New"/>
          <w:color w:val="000000"/>
          <w:kern w:val="0"/>
          <w:sz w:val="32"/>
          <w:szCs w:val="32"/>
          <w:lang w:val="zh-TW" w:eastAsia="zh-TW"/>
        </w:rPr>
        <w:t>。</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两</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803209B">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24DCA04B">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02DAD21A">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48FE1ADA">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0315A9E1">
      <w:pPr>
        <w:pStyle w:val="1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6E2A2662">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58332A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329049">
      <w:pPr>
        <w:ind w:firstLine="600" w:firstLineChars="200"/>
        <w:rPr>
          <w:rFonts w:hint="eastAsia" w:ascii="仿宋" w:hAnsi="仿宋" w:eastAsia="仿宋"/>
          <w:color w:val="auto"/>
          <w:sz w:val="30"/>
          <w:szCs w:val="30"/>
        </w:rPr>
      </w:pPr>
    </w:p>
    <w:p w14:paraId="35DE613F">
      <w:pPr>
        <w:ind w:firstLine="600" w:firstLineChars="200"/>
        <w:rPr>
          <w:rFonts w:ascii="仿宋" w:hAnsi="仿宋" w:eastAsia="仿宋"/>
          <w:color w:val="auto"/>
          <w:sz w:val="30"/>
          <w:szCs w:val="30"/>
        </w:rPr>
      </w:pPr>
      <w:r>
        <w:rPr>
          <w:rFonts w:hint="eastAsia" w:ascii="仿宋" w:hAnsi="仿宋" w:eastAsia="仿宋"/>
          <w:color w:val="auto"/>
          <w:sz w:val="30"/>
          <w:szCs w:val="30"/>
        </w:rPr>
        <w:t>附件1</w:t>
      </w:r>
    </w:p>
    <w:p w14:paraId="3222BADA">
      <w:pPr>
        <w:pStyle w:val="5"/>
        <w:jc w:val="center"/>
        <w:rPr>
          <w:rFonts w:hint="eastAsia" w:hAnsi="宋体" w:cs="宋体"/>
          <w:b/>
          <w:sz w:val="36"/>
        </w:rPr>
      </w:pPr>
      <w:r>
        <w:rPr>
          <w:rFonts w:hint="eastAsia" w:hAnsi="宋体" w:cs="宋体"/>
          <w:b/>
          <w:sz w:val="36"/>
        </w:rPr>
        <w:t>采购需求一览表</w:t>
      </w:r>
    </w:p>
    <w:p w14:paraId="61E77BF8">
      <w:pPr>
        <w:pStyle w:val="3"/>
        <w:numPr>
          <w:ilvl w:val="0"/>
          <w:numId w:val="0"/>
        </w:numPr>
        <w:ind w:left="0" w:firstLine="0"/>
        <w:rPr>
          <w:rFonts w:hint="eastAsia" w:hAnsi="宋体" w:cs="宋体"/>
          <w:b/>
          <w:sz w:val="36"/>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3"/>
        <w:tblW w:w="512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29"/>
        <w:gridCol w:w="1033"/>
        <w:gridCol w:w="930"/>
        <w:gridCol w:w="5472"/>
        <w:gridCol w:w="1222"/>
      </w:tblGrid>
      <w:tr w14:paraId="3AEC5A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88"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7599045">
            <w:pPr>
              <w:jc w:val="center"/>
              <w:rPr>
                <w:rFonts w:ascii="宋体" w:hAnsi="宋体" w:eastAsia="宋体" w:cs="Times New Roman"/>
                <w:b/>
                <w:szCs w:val="21"/>
              </w:rPr>
            </w:pPr>
            <w:r>
              <w:rPr>
                <w:rFonts w:hint="eastAsia" w:ascii="宋体" w:hAnsi="宋体" w:eastAsia="宋体" w:cs="Times New Roman"/>
                <w:b/>
                <w:szCs w:val="21"/>
              </w:rPr>
              <w:t>项号</w:t>
            </w:r>
          </w:p>
        </w:tc>
        <w:tc>
          <w:tcPr>
            <w:tcW w:w="562" w:type="pct"/>
            <w:tcBorders>
              <w:top w:val="single" w:color="auto" w:sz="4" w:space="0"/>
              <w:left w:val="single" w:color="auto" w:sz="4" w:space="0"/>
              <w:bottom w:val="single" w:color="auto" w:sz="4" w:space="0"/>
              <w:right w:val="single" w:color="auto" w:sz="4" w:space="0"/>
            </w:tcBorders>
            <w:noWrap w:val="0"/>
            <w:vAlign w:val="center"/>
          </w:tcPr>
          <w:p w14:paraId="329BC7CC">
            <w:pPr>
              <w:jc w:val="center"/>
              <w:rPr>
                <w:rFonts w:ascii="宋体" w:hAnsi="宋体" w:eastAsia="宋体" w:cs="Times New Roman"/>
                <w:b/>
                <w:szCs w:val="21"/>
              </w:rPr>
            </w:pPr>
            <w:r>
              <w:rPr>
                <w:rFonts w:hint="eastAsia" w:ascii="宋体" w:hAnsi="宋体" w:eastAsia="宋体" w:cs="Times New Roman"/>
                <w:b/>
                <w:szCs w:val="21"/>
              </w:rPr>
              <w:t>货物名称</w:t>
            </w:r>
          </w:p>
        </w:tc>
        <w:tc>
          <w:tcPr>
            <w:tcW w:w="506" w:type="pct"/>
            <w:tcBorders>
              <w:top w:val="single" w:color="auto" w:sz="4" w:space="0"/>
              <w:left w:val="single" w:color="auto" w:sz="4" w:space="0"/>
              <w:bottom w:val="single" w:color="auto" w:sz="4" w:space="0"/>
              <w:right w:val="single" w:color="auto" w:sz="4" w:space="0"/>
            </w:tcBorders>
            <w:noWrap w:val="0"/>
            <w:vAlign w:val="center"/>
          </w:tcPr>
          <w:p w14:paraId="25BBF46E">
            <w:pPr>
              <w:jc w:val="center"/>
              <w:rPr>
                <w:rFonts w:ascii="宋体" w:hAnsi="宋体" w:eastAsia="宋体" w:cs="Times New Roman"/>
                <w:b/>
                <w:szCs w:val="21"/>
              </w:rPr>
            </w:pPr>
            <w:r>
              <w:rPr>
                <w:rFonts w:hint="eastAsia" w:ascii="宋体" w:hAnsi="宋体" w:eastAsia="宋体" w:cs="Times New Roman"/>
                <w:b/>
                <w:szCs w:val="21"/>
              </w:rPr>
              <w:t>数量</w:t>
            </w:r>
          </w:p>
        </w:tc>
        <w:tc>
          <w:tcPr>
            <w:tcW w:w="2978" w:type="pct"/>
            <w:tcBorders>
              <w:top w:val="single" w:color="auto" w:sz="4" w:space="0"/>
              <w:left w:val="single" w:color="auto" w:sz="4" w:space="0"/>
              <w:bottom w:val="single" w:color="auto" w:sz="4" w:space="0"/>
              <w:right w:val="single" w:color="auto" w:sz="4" w:space="0"/>
            </w:tcBorders>
            <w:noWrap w:val="0"/>
            <w:vAlign w:val="center"/>
          </w:tcPr>
          <w:p w14:paraId="3FA81417">
            <w:pPr>
              <w:jc w:val="center"/>
              <w:rPr>
                <w:rFonts w:ascii="宋体" w:hAnsi="宋体" w:eastAsia="宋体" w:cs="Times New Roman"/>
                <w:b/>
                <w:szCs w:val="21"/>
              </w:rPr>
            </w:pPr>
            <w:r>
              <w:rPr>
                <w:rFonts w:hint="eastAsia" w:ascii="宋体" w:hAnsi="宋体" w:eastAsia="宋体" w:cs="Times New Roman"/>
                <w:b/>
                <w:szCs w:val="21"/>
              </w:rPr>
              <w:t>技术参数</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7C3B93AC">
            <w:pPr>
              <w:jc w:val="center"/>
              <w:rPr>
                <w:rFonts w:ascii="宋体" w:hAnsi="宋体" w:eastAsia="宋体" w:cs="Times New Roman"/>
                <w:b/>
                <w:szCs w:val="21"/>
              </w:rPr>
            </w:pPr>
            <w:r>
              <w:rPr>
                <w:rFonts w:hint="eastAsia" w:ascii="宋体" w:hAnsi="宋体" w:eastAsia="宋体" w:cs="Times New Roman"/>
                <w:b/>
                <w:szCs w:val="21"/>
              </w:rPr>
              <w:t>预算合价（元）</w:t>
            </w:r>
          </w:p>
        </w:tc>
      </w:tr>
      <w:tr w14:paraId="69D539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88"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96A8831">
            <w:pPr>
              <w:jc w:val="center"/>
              <w:rPr>
                <w:rFonts w:ascii="宋体" w:hAnsi="宋体" w:eastAsia="宋体" w:cs="宋体"/>
                <w:szCs w:val="21"/>
              </w:rPr>
            </w:pPr>
            <w:r>
              <w:rPr>
                <w:rFonts w:hint="eastAsia" w:ascii="宋体" w:hAnsi="宋体" w:eastAsia="宋体" w:cs="宋体"/>
                <w:szCs w:val="21"/>
              </w:rPr>
              <w:t>1</w:t>
            </w:r>
          </w:p>
        </w:tc>
        <w:tc>
          <w:tcPr>
            <w:tcW w:w="562" w:type="pct"/>
            <w:tcBorders>
              <w:top w:val="single" w:color="auto" w:sz="4" w:space="0"/>
              <w:left w:val="single" w:color="auto" w:sz="4" w:space="0"/>
              <w:bottom w:val="single" w:color="auto" w:sz="4" w:space="0"/>
              <w:right w:val="single" w:color="auto" w:sz="4" w:space="0"/>
            </w:tcBorders>
            <w:noWrap w:val="0"/>
            <w:vAlign w:val="center"/>
          </w:tcPr>
          <w:p w14:paraId="36F53749">
            <w:pPr>
              <w:widowControl/>
              <w:spacing w:line="400" w:lineRule="exact"/>
              <w:jc w:val="center"/>
              <w:textAlignment w:val="center"/>
              <w:rPr>
                <w:rFonts w:hint="default" w:ascii="宋体" w:hAnsi="宋体" w:eastAsia="宋体" w:cs="宋体"/>
                <w:szCs w:val="21"/>
                <w:lang w:val="en-US" w:eastAsia="zh-CN"/>
              </w:rPr>
            </w:pPr>
            <w:r>
              <w:rPr>
                <w:rFonts w:hint="eastAsia" w:ascii="宋体" w:hAnsi="宋体" w:eastAsia="宋体" w:cs="宋体"/>
                <w:szCs w:val="21"/>
                <w:lang w:val="en-US" w:eastAsia="zh-CN"/>
              </w:rPr>
              <w:t>花生油</w:t>
            </w:r>
          </w:p>
        </w:tc>
        <w:tc>
          <w:tcPr>
            <w:tcW w:w="506" w:type="pct"/>
            <w:tcBorders>
              <w:top w:val="single" w:color="auto" w:sz="4" w:space="0"/>
              <w:left w:val="single" w:color="auto" w:sz="4" w:space="0"/>
              <w:bottom w:val="single" w:color="auto" w:sz="4" w:space="0"/>
              <w:right w:val="single" w:color="auto" w:sz="4" w:space="0"/>
            </w:tcBorders>
            <w:noWrap w:val="0"/>
            <w:vAlign w:val="center"/>
          </w:tcPr>
          <w:p w14:paraId="19E0614A">
            <w:pPr>
              <w:widowControl/>
              <w:jc w:val="center"/>
              <w:textAlignment w:val="center"/>
              <w:rPr>
                <w:rFonts w:hint="default" w:ascii="宋体" w:hAnsi="宋体" w:eastAsia="宋体" w:cs="宋体"/>
                <w:szCs w:val="21"/>
                <w:lang w:val="en-US"/>
              </w:rPr>
            </w:pPr>
            <w:r>
              <w:rPr>
                <w:rFonts w:hint="eastAsia" w:ascii="宋体" w:hAnsi="宋体" w:eastAsia="宋体" w:cs="宋体"/>
                <w:szCs w:val="21"/>
                <w:lang w:val="en-US" w:eastAsia="zh-CN"/>
              </w:rPr>
              <w:t>300桶</w:t>
            </w:r>
          </w:p>
        </w:tc>
        <w:tc>
          <w:tcPr>
            <w:tcW w:w="2978" w:type="pct"/>
            <w:tcBorders>
              <w:top w:val="single" w:color="auto" w:sz="4" w:space="0"/>
              <w:left w:val="single" w:color="auto" w:sz="4" w:space="0"/>
              <w:bottom w:val="single" w:color="auto" w:sz="4" w:space="0"/>
              <w:right w:val="single" w:color="auto" w:sz="4" w:space="0"/>
            </w:tcBorders>
            <w:noWrap w:val="0"/>
            <w:vAlign w:val="center"/>
          </w:tcPr>
          <w:p w14:paraId="1F4436D4">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1、配料表：花生油；</w:t>
            </w:r>
          </w:p>
          <w:p w14:paraId="7462A0D2">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2、压榨工艺：压榨；</w:t>
            </w:r>
          </w:p>
          <w:p w14:paraId="4C9249C3">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3、产品规格：≥5L/桶；</w:t>
            </w:r>
          </w:p>
          <w:p w14:paraId="68CBD177">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4、执行标准：不低于国家标准GB/T 1534-2017；</w:t>
            </w:r>
          </w:p>
          <w:p w14:paraId="582A4BEA">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5、保质期：≥18个月；</w:t>
            </w:r>
          </w:p>
          <w:p w14:paraId="5B378403">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6、质量等级：一级；</w:t>
            </w:r>
          </w:p>
          <w:p w14:paraId="0F0613D0">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7、提供的产品</w:t>
            </w:r>
            <w:r>
              <w:rPr>
                <w:rFonts w:hint="eastAsia" w:ascii="宋体" w:hAnsi="宋体" w:eastAsia="宋体" w:cs="宋体"/>
                <w:kern w:val="2"/>
                <w:sz w:val="21"/>
                <w:szCs w:val="24"/>
                <w:highlight w:val="none"/>
                <w:vertAlign w:val="baseline"/>
                <w:lang w:val="en-US" w:eastAsia="zh-CN" w:bidi="ar-SA"/>
              </w:rPr>
              <w:t>具有有效的食品生产许可证编号；</w:t>
            </w:r>
          </w:p>
          <w:p w14:paraId="282824F0">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kern w:val="2"/>
                <w:sz w:val="21"/>
                <w:szCs w:val="24"/>
                <w:highlight w:val="none"/>
                <w:vertAlign w:val="baseline"/>
                <w:lang w:val="en-US" w:eastAsia="zh-CN" w:bidi="ar-SA"/>
              </w:rPr>
              <w:t>8、外包装要求：名牌标识清楚，外包装须符合第 75号《定量包</w:t>
            </w:r>
            <w:r>
              <w:rPr>
                <w:rFonts w:hint="eastAsia" w:ascii="Times New Roman" w:hAnsi="Times New Roman" w:eastAsia="宋体" w:cs="Times New Roman"/>
                <w:color w:val="auto"/>
                <w:kern w:val="0"/>
                <w:sz w:val="21"/>
                <w:szCs w:val="21"/>
                <w:highlight w:val="none"/>
                <w:lang w:val="en-US" w:eastAsia="zh-CN" w:bidi="ar-SA"/>
              </w:rPr>
              <w:t>装商品计量监督管理办法》的要求；</w:t>
            </w:r>
          </w:p>
          <w:p w14:paraId="0E35B2E0">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9、交货时，花生油保质期不少于产品标注保质期的三分之二；</w:t>
            </w:r>
          </w:p>
          <w:p w14:paraId="6CAA9411">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10、提供响应产品检测报告：验收时提供2022年以后具有CNAS或CMA资质的第三方检测机构出具的检测报告复印件（检测标准不低于第4点产品国标执行标准）；</w:t>
            </w:r>
            <w:r>
              <w:rPr>
                <w:rFonts w:hint="eastAsia" w:ascii="Times New Roman" w:hAnsi="Times New Roman" w:eastAsia="宋体" w:cs="Times New Roman"/>
                <w:b/>
                <w:bCs/>
                <w:color w:val="auto"/>
                <w:kern w:val="0"/>
                <w:sz w:val="21"/>
                <w:szCs w:val="21"/>
                <w:highlight w:val="none"/>
                <w:lang w:val="en-US" w:eastAsia="zh-CN" w:bidi="ar-SA"/>
              </w:rPr>
              <w:t>竞标人须在响应文件中对提供的第三方检测报告真实性以书面形式进行承诺，响应文件中提供承诺函</w:t>
            </w:r>
            <w:r>
              <w:rPr>
                <w:rFonts w:hint="eastAsia" w:ascii="Times New Roman" w:hAnsi="Times New Roman" w:eastAsia="宋体" w:cs="Times New Roman"/>
                <w:color w:val="auto"/>
                <w:kern w:val="0"/>
                <w:sz w:val="21"/>
                <w:szCs w:val="21"/>
                <w:highlight w:val="none"/>
                <w:lang w:val="en-US" w:eastAsia="zh-CN" w:bidi="ar-SA"/>
              </w:rPr>
              <w:t>（格式自拟）。</w:t>
            </w:r>
          </w:p>
          <w:p w14:paraId="19910D64">
            <w:pPr>
              <w:widowControl w:val="0"/>
              <w:numPr>
                <w:ilvl w:val="0"/>
                <w:numId w:val="0"/>
              </w:numPr>
              <w:spacing w:after="120"/>
              <w:jc w:val="both"/>
              <w:rPr>
                <w:rFonts w:hint="default" w:ascii="宋体" w:hAnsi="宋体" w:eastAsia="宋体" w:cs="宋体"/>
                <w:kern w:val="2"/>
                <w:sz w:val="21"/>
                <w:szCs w:val="24"/>
                <w:highlight w:val="none"/>
                <w:vertAlign w:val="baseli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11、响应供应商须提供</w:t>
            </w:r>
            <w:r>
              <w:rPr>
                <w:rFonts w:hint="eastAsia" w:ascii="Times New Roman" w:hAnsi="Times New Roman" w:eastAsia="宋体" w:cs="Times New Roman"/>
                <w:b/>
                <w:bCs/>
                <w:color w:val="auto"/>
                <w:kern w:val="0"/>
                <w:sz w:val="21"/>
                <w:szCs w:val="21"/>
                <w:highlight w:val="none"/>
                <w:lang w:val="en-US" w:eastAsia="zh-CN" w:bidi="ar-SA"/>
              </w:rPr>
              <w:t>响应产品图片</w:t>
            </w:r>
            <w:r>
              <w:rPr>
                <w:rFonts w:hint="eastAsia" w:ascii="Times New Roman" w:hAnsi="Times New Roman" w:eastAsia="宋体" w:cs="Times New Roman"/>
                <w:color w:val="auto"/>
                <w:kern w:val="0"/>
                <w:sz w:val="21"/>
                <w:szCs w:val="21"/>
                <w:highlight w:val="none"/>
                <w:lang w:val="en-US" w:eastAsia="zh-CN" w:bidi="ar-SA"/>
              </w:rPr>
              <w:t>，用于项目评审，也作为最终交货产品。</w:t>
            </w:r>
          </w:p>
        </w:tc>
        <w:tc>
          <w:tcPr>
            <w:tcW w:w="663" w:type="pct"/>
            <w:vMerge w:val="restart"/>
            <w:tcBorders>
              <w:top w:val="single" w:color="auto" w:sz="4" w:space="0"/>
              <w:left w:val="single" w:color="auto" w:sz="4" w:space="0"/>
              <w:right w:val="single" w:color="auto" w:sz="4" w:space="0"/>
            </w:tcBorders>
            <w:noWrap w:val="0"/>
            <w:vAlign w:val="center"/>
          </w:tcPr>
          <w:p w14:paraId="39D3D44B">
            <w:pPr>
              <w:widowControl w:val="0"/>
              <w:spacing w:after="12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60000.00</w:t>
            </w:r>
          </w:p>
        </w:tc>
      </w:tr>
      <w:tr w14:paraId="07E84F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88"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523B3D6">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562" w:type="pct"/>
            <w:tcBorders>
              <w:top w:val="single" w:color="auto" w:sz="4" w:space="0"/>
              <w:left w:val="single" w:color="auto" w:sz="4" w:space="0"/>
              <w:bottom w:val="single" w:color="auto" w:sz="4" w:space="0"/>
              <w:right w:val="single" w:color="auto" w:sz="4" w:space="0"/>
            </w:tcBorders>
            <w:noWrap w:val="0"/>
            <w:vAlign w:val="center"/>
          </w:tcPr>
          <w:p w14:paraId="28E467F7">
            <w:pPr>
              <w:widowControl/>
              <w:spacing w:line="400" w:lineRule="exact"/>
              <w:jc w:val="center"/>
              <w:textAlignment w:val="center"/>
              <w:rPr>
                <w:rFonts w:hint="default" w:ascii="宋体" w:hAnsi="宋体" w:eastAsia="宋体" w:cs="宋体"/>
                <w:szCs w:val="21"/>
                <w:lang w:val="en-US" w:eastAsia="zh-CN"/>
              </w:rPr>
            </w:pPr>
            <w:r>
              <w:rPr>
                <w:rFonts w:hint="eastAsia" w:ascii="宋体" w:hAnsi="宋体" w:eastAsia="宋体" w:cs="宋体"/>
                <w:szCs w:val="21"/>
                <w:highlight w:val="none"/>
                <w:lang w:val="en-US" w:eastAsia="zh-CN"/>
              </w:rPr>
              <w:t>象牙米</w:t>
            </w:r>
          </w:p>
        </w:tc>
        <w:tc>
          <w:tcPr>
            <w:tcW w:w="506" w:type="pct"/>
            <w:tcBorders>
              <w:top w:val="single" w:color="auto" w:sz="4" w:space="0"/>
              <w:left w:val="single" w:color="auto" w:sz="4" w:space="0"/>
              <w:bottom w:val="single" w:color="auto" w:sz="4" w:space="0"/>
              <w:right w:val="single" w:color="auto" w:sz="4" w:space="0"/>
            </w:tcBorders>
            <w:noWrap w:val="0"/>
            <w:vAlign w:val="center"/>
          </w:tcPr>
          <w:p w14:paraId="5C5F22A6">
            <w:pPr>
              <w:widowControl/>
              <w:jc w:val="center"/>
              <w:textAlignment w:val="center"/>
              <w:rPr>
                <w:rFonts w:hint="default" w:ascii="宋体" w:hAnsi="宋体" w:eastAsia="宋体" w:cs="宋体"/>
                <w:szCs w:val="21"/>
                <w:lang w:val="en-US" w:eastAsia="zh-CN"/>
              </w:rPr>
            </w:pPr>
            <w:r>
              <w:rPr>
                <w:rFonts w:hint="eastAsia" w:ascii="宋体" w:hAnsi="宋体" w:eastAsia="宋体" w:cs="宋体"/>
                <w:szCs w:val="21"/>
                <w:lang w:val="en-US" w:eastAsia="zh-CN"/>
              </w:rPr>
              <w:t>300袋</w:t>
            </w:r>
          </w:p>
        </w:tc>
        <w:tc>
          <w:tcPr>
            <w:tcW w:w="2978" w:type="pct"/>
            <w:tcBorders>
              <w:top w:val="single" w:color="auto" w:sz="4" w:space="0"/>
              <w:left w:val="single" w:color="auto" w:sz="4" w:space="0"/>
              <w:bottom w:val="single" w:color="auto" w:sz="4" w:space="0"/>
              <w:right w:val="single" w:color="auto" w:sz="4" w:space="0"/>
            </w:tcBorders>
            <w:noWrap w:val="0"/>
            <w:vAlign w:val="center"/>
          </w:tcPr>
          <w:p w14:paraId="366BC344">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1、产品规格：≥5kg/袋；</w:t>
            </w:r>
          </w:p>
          <w:p w14:paraId="4C6C93B3">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2、执行标准：不低于国标执行标准 GB/T1354；</w:t>
            </w:r>
          </w:p>
          <w:p w14:paraId="22AC0EB0">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3、货物要求：无掺杂、无黄粒米、无沙石等异物，无异常色泽和异味</w:t>
            </w:r>
          </w:p>
          <w:p w14:paraId="40BE207D">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4、保质期：≥12个月；</w:t>
            </w:r>
          </w:p>
          <w:p w14:paraId="1303FDA1">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5、质量等级：一级；</w:t>
            </w:r>
          </w:p>
          <w:p w14:paraId="34A30405">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6、提供产品</w:t>
            </w:r>
            <w:r>
              <w:rPr>
                <w:rFonts w:hint="eastAsia" w:ascii="宋体" w:hAnsi="宋体" w:eastAsia="宋体" w:cs="宋体"/>
                <w:kern w:val="2"/>
                <w:sz w:val="21"/>
                <w:szCs w:val="24"/>
                <w:highlight w:val="none"/>
                <w:vertAlign w:val="baseline"/>
                <w:lang w:val="en-US" w:eastAsia="zh-CN" w:bidi="ar-SA"/>
              </w:rPr>
              <w:t>具有有效的食品生产许可证编号；</w:t>
            </w:r>
          </w:p>
          <w:p w14:paraId="2FE1DFA5">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kern w:val="2"/>
                <w:sz w:val="21"/>
                <w:szCs w:val="24"/>
                <w:highlight w:val="none"/>
                <w:vertAlign w:val="baseline"/>
                <w:lang w:val="en-US" w:eastAsia="zh-CN" w:bidi="ar-SA"/>
              </w:rPr>
              <w:t>7、包装</w:t>
            </w:r>
            <w:r>
              <w:rPr>
                <w:rFonts w:hint="eastAsia" w:ascii="Times New Roman" w:hAnsi="Times New Roman" w:eastAsia="宋体" w:cs="Times New Roman"/>
                <w:color w:val="auto"/>
                <w:kern w:val="0"/>
                <w:sz w:val="21"/>
                <w:szCs w:val="21"/>
                <w:highlight w:val="none"/>
                <w:lang w:val="en-US" w:eastAsia="zh-CN" w:bidi="ar-SA"/>
              </w:rPr>
              <w:t>要求：真空密封包装；</w:t>
            </w:r>
          </w:p>
          <w:p w14:paraId="620791BA">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8、外包装要求：名牌标识清楚，外包装须符合第 75号《定量包装商品计量监督管理办法》的要求；</w:t>
            </w:r>
          </w:p>
          <w:p w14:paraId="64A8E429">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9、配送时产品剩余保质期≥9个月（特殊情况下经采购人同意可调整为≥8个月）；</w:t>
            </w:r>
          </w:p>
          <w:p w14:paraId="0F2FAB4D">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10、提供响应产品检测报告：验收时提供2022年以后具有CNAS或CMA资质的第三方检测机构出具的检测报告复印件（检测标准不低于第4点产品国标执行标准）；</w:t>
            </w:r>
            <w:r>
              <w:rPr>
                <w:rFonts w:hint="eastAsia" w:ascii="Times New Roman" w:hAnsi="Times New Roman" w:eastAsia="宋体" w:cs="Times New Roman"/>
                <w:b/>
                <w:bCs/>
                <w:color w:val="auto"/>
                <w:kern w:val="0"/>
                <w:sz w:val="21"/>
                <w:szCs w:val="21"/>
                <w:highlight w:val="none"/>
                <w:lang w:val="en-US" w:eastAsia="zh-CN" w:bidi="ar-SA"/>
              </w:rPr>
              <w:t>竞标人须在响应文件中对提供的第三方检测报告真实性以书面形式进行承诺，响应文件中提供承诺函</w:t>
            </w:r>
            <w:r>
              <w:rPr>
                <w:rFonts w:hint="eastAsia" w:ascii="Times New Roman" w:hAnsi="Times New Roman" w:eastAsia="宋体" w:cs="Times New Roman"/>
                <w:color w:val="auto"/>
                <w:kern w:val="0"/>
                <w:sz w:val="21"/>
                <w:szCs w:val="21"/>
                <w:highlight w:val="none"/>
                <w:lang w:val="en-US" w:eastAsia="zh-CN" w:bidi="ar-SA"/>
              </w:rPr>
              <w:t>（格式自拟）；</w:t>
            </w:r>
          </w:p>
          <w:p w14:paraId="76AAC1B6">
            <w:pPr>
              <w:widowControl w:val="0"/>
              <w:numPr>
                <w:ilvl w:val="0"/>
                <w:numId w:val="0"/>
              </w:numPr>
              <w:spacing w:after="120"/>
              <w:jc w:val="both"/>
              <w:rPr>
                <w:rFonts w:hint="default" w:ascii="宋体" w:hAnsi="宋体" w:eastAsia="宋体" w:cs="宋体"/>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11、响应供应商须</w:t>
            </w:r>
            <w:r>
              <w:rPr>
                <w:rFonts w:hint="eastAsia" w:ascii="Times New Roman" w:hAnsi="Times New Roman" w:eastAsia="宋体" w:cs="Times New Roman"/>
                <w:b/>
                <w:bCs/>
                <w:color w:val="auto"/>
                <w:kern w:val="0"/>
                <w:sz w:val="21"/>
                <w:szCs w:val="21"/>
                <w:highlight w:val="none"/>
                <w:lang w:val="en-US" w:eastAsia="zh-CN" w:bidi="ar-SA"/>
              </w:rPr>
              <w:t>提供供货产品图片</w:t>
            </w:r>
            <w:r>
              <w:rPr>
                <w:rFonts w:hint="eastAsia" w:ascii="Times New Roman" w:hAnsi="Times New Roman" w:eastAsia="宋体" w:cs="Times New Roman"/>
                <w:color w:val="auto"/>
                <w:kern w:val="0"/>
                <w:sz w:val="21"/>
                <w:szCs w:val="21"/>
                <w:highlight w:val="none"/>
                <w:lang w:val="en-US" w:eastAsia="zh-CN" w:bidi="ar-SA"/>
              </w:rPr>
              <w:t>，用于项目评审，也作为最终交货产品。</w:t>
            </w:r>
          </w:p>
        </w:tc>
        <w:tc>
          <w:tcPr>
            <w:tcW w:w="663" w:type="pct"/>
            <w:vMerge w:val="continue"/>
            <w:tcBorders>
              <w:left w:val="single" w:color="auto" w:sz="4" w:space="0"/>
              <w:right w:val="single" w:color="auto" w:sz="4" w:space="0"/>
            </w:tcBorders>
            <w:noWrap w:val="0"/>
            <w:vAlign w:val="center"/>
          </w:tcPr>
          <w:p w14:paraId="772638E3">
            <w:pPr>
              <w:widowControl w:val="0"/>
              <w:spacing w:after="120"/>
              <w:jc w:val="center"/>
              <w:rPr>
                <w:rFonts w:hint="default" w:ascii="宋体" w:hAnsi="宋体" w:eastAsia="宋体" w:cs="宋体"/>
                <w:kern w:val="2"/>
                <w:sz w:val="21"/>
                <w:szCs w:val="21"/>
                <w:lang w:val="en-US" w:eastAsia="zh-CN" w:bidi="ar-SA"/>
              </w:rPr>
            </w:pPr>
          </w:p>
        </w:tc>
      </w:tr>
      <w:tr w14:paraId="679F1E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88" w:type="pc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720FD7D">
            <w:pPr>
              <w:jc w:val="center"/>
              <w:rPr>
                <w:rFonts w:ascii="宋体" w:hAnsi="宋体" w:eastAsia="宋体" w:cs="宋体"/>
                <w:szCs w:val="21"/>
              </w:rPr>
            </w:pPr>
            <w:r>
              <w:rPr>
                <w:rFonts w:hint="eastAsia" w:ascii="宋体" w:hAnsi="宋体" w:eastAsia="宋体" w:cs="宋体"/>
                <w:szCs w:val="21"/>
              </w:rPr>
              <w:t>商务条款</w:t>
            </w:r>
          </w:p>
        </w:tc>
        <w:tc>
          <w:tcPr>
            <w:tcW w:w="4711" w:type="pct"/>
            <w:gridSpan w:val="4"/>
            <w:tcBorders>
              <w:top w:val="single" w:color="auto" w:sz="4" w:space="0"/>
              <w:left w:val="single" w:color="auto" w:sz="4" w:space="0"/>
              <w:bottom w:val="single" w:color="auto" w:sz="4" w:space="0"/>
              <w:right w:val="single" w:color="auto" w:sz="4" w:space="0"/>
            </w:tcBorders>
            <w:noWrap w:val="0"/>
            <w:vAlign w:val="top"/>
          </w:tcPr>
          <w:p w14:paraId="35582584">
            <w:pPr>
              <w:widowControl/>
              <w:shd w:val="clear" w:color="auto" w:fill="FFFFFF"/>
              <w:spacing w:line="360" w:lineRule="auto"/>
              <w:rPr>
                <w:rFonts w:ascii="宋体" w:hAnsi="宋体" w:eastAsia="宋体" w:cs="Times New Roman"/>
                <w:szCs w:val="21"/>
              </w:rPr>
            </w:pPr>
            <w:r>
              <w:rPr>
                <w:rFonts w:hint="eastAsia" w:ascii="宋体" w:hAnsi="宋体" w:eastAsia="宋体" w:cs="Times New Roman"/>
                <w:szCs w:val="21"/>
              </w:rPr>
              <w:t xml:space="preserve">一、合同签订期：自采购结果公告结束之日起 </w:t>
            </w:r>
            <w:r>
              <w:rPr>
                <w:rFonts w:hint="eastAsia" w:ascii="宋体" w:hAnsi="宋体" w:eastAsia="宋体" w:cs="Times New Roman"/>
                <w:szCs w:val="21"/>
                <w:lang w:val="en-US" w:eastAsia="zh-CN"/>
              </w:rPr>
              <w:t>5</w:t>
            </w:r>
            <w:r>
              <w:rPr>
                <w:rFonts w:hint="eastAsia" w:ascii="宋体" w:hAnsi="宋体" w:eastAsia="宋体" w:cs="Times New Roman"/>
                <w:szCs w:val="21"/>
              </w:rPr>
              <w:t>个工作日内。</w:t>
            </w:r>
          </w:p>
          <w:p w14:paraId="6A5E1D53">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szCs w:val="21"/>
              </w:rPr>
              <w:t>二、交货期</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交货时间暂定在9月13日上午8:30将纪念品送至南宁市宾阳县体育馆，按采购人要求搬运至指定位置（具体送货时间采购人提前2个工作日通知成交供应商）</w:t>
            </w:r>
            <w:r>
              <w:rPr>
                <w:rFonts w:hint="eastAsia" w:ascii="宋体" w:hAnsi="宋体" w:eastAsia="宋体" w:cs="Times New Roman"/>
                <w:color w:val="auto"/>
                <w:szCs w:val="21"/>
                <w:highlight w:val="none"/>
              </w:rPr>
              <w:t>。</w:t>
            </w:r>
          </w:p>
          <w:p w14:paraId="3107FAFA">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三、交货地点：</w:t>
            </w:r>
            <w:r>
              <w:rPr>
                <w:rFonts w:hint="eastAsia" w:ascii="宋体" w:hAnsi="宋体" w:eastAsia="宋体" w:cs="Times New Roman"/>
                <w:color w:val="auto"/>
                <w:szCs w:val="21"/>
                <w:highlight w:val="none"/>
                <w:lang w:val="en-US" w:eastAsia="zh-CN"/>
              </w:rPr>
              <w:t>南宁市宾阳县体育馆内（具体按采购人要求指定）</w:t>
            </w:r>
            <w:r>
              <w:rPr>
                <w:rFonts w:hint="eastAsia" w:ascii="宋体" w:hAnsi="宋体" w:eastAsia="宋体" w:cs="Times New Roman"/>
                <w:color w:val="auto"/>
                <w:szCs w:val="21"/>
                <w:highlight w:val="none"/>
              </w:rPr>
              <w:t xml:space="preserve">。 </w:t>
            </w:r>
          </w:p>
          <w:p w14:paraId="1986BAA6">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四、交货方式及要求：</w:t>
            </w:r>
          </w:p>
          <w:p w14:paraId="684F73DF">
            <w:pPr>
              <w:widowControl/>
              <w:shd w:val="clear" w:color="auto" w:fill="FFFFFF"/>
              <w:spacing w:line="36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1、交货方式：</w:t>
            </w:r>
            <w:r>
              <w:rPr>
                <w:rFonts w:hint="eastAsia" w:ascii="宋体" w:hAnsi="宋体" w:eastAsia="宋体" w:cs="Times New Roman"/>
                <w:color w:val="auto"/>
                <w:szCs w:val="21"/>
                <w:highlight w:val="none"/>
                <w:lang w:val="en-US" w:eastAsia="zh-CN"/>
              </w:rPr>
              <w:t>采购人指定地点一次性</w:t>
            </w:r>
            <w:r>
              <w:rPr>
                <w:rFonts w:hint="eastAsia" w:ascii="宋体" w:hAnsi="宋体" w:eastAsia="宋体" w:cs="Times New Roman"/>
                <w:color w:val="auto"/>
                <w:szCs w:val="21"/>
                <w:highlight w:val="none"/>
              </w:rPr>
              <w:t>交货</w:t>
            </w:r>
            <w:r>
              <w:rPr>
                <w:rFonts w:hint="eastAsia" w:ascii="宋体" w:hAnsi="宋体" w:eastAsia="宋体" w:cs="Times New Roman"/>
                <w:color w:val="auto"/>
                <w:szCs w:val="21"/>
                <w:highlight w:val="none"/>
                <w:lang w:eastAsia="zh-CN"/>
              </w:rPr>
              <w:t>；</w:t>
            </w:r>
          </w:p>
          <w:p w14:paraId="333A9314">
            <w:pPr>
              <w:widowControl/>
              <w:shd w:val="clear" w:color="auto" w:fill="FFFFFF"/>
              <w:spacing w:line="360" w:lineRule="auto"/>
              <w:rPr>
                <w:rFonts w:hint="default" w:ascii="宋体" w:hAnsi="宋体" w:eastAsia="宋体" w:cs="Times New Roman"/>
                <w:color w:val="auto"/>
                <w:szCs w:val="21"/>
                <w:highlight w:val="none"/>
                <w:lang w:val="en-US"/>
              </w:rPr>
            </w:pPr>
            <w:r>
              <w:rPr>
                <w:rFonts w:hint="eastAsia" w:ascii="宋体" w:hAnsi="宋体" w:eastAsia="宋体" w:cs="Times New Roman"/>
                <w:color w:val="auto"/>
                <w:szCs w:val="21"/>
                <w:highlight w:val="none"/>
              </w:rPr>
              <w:t>2、交货要求：</w:t>
            </w:r>
            <w:r>
              <w:rPr>
                <w:rFonts w:hint="eastAsia" w:ascii="宋体" w:hAnsi="宋体" w:eastAsia="宋体" w:cs="Times New Roman"/>
                <w:color w:val="auto"/>
                <w:szCs w:val="21"/>
                <w:highlight w:val="none"/>
                <w:lang w:val="en-US" w:eastAsia="zh-CN"/>
              </w:rPr>
              <w:t>因采购的产品为应急招募活动所必备物资，要求成交供应商应在采购人要求时间内交付货物，供应商须提前备货保障活动当天按时供货，如逾期供货视为成交供应商违约，每逾期10分钟按300元计收供应商违约金，并按合同约定追究成交供应商相关违约责任（本条款与合同约定不一致的，按本采购需求执行）。</w:t>
            </w:r>
          </w:p>
          <w:p w14:paraId="61240759">
            <w:pPr>
              <w:widowControl/>
              <w:shd w:val="clear" w:color="auto" w:fill="FFFFFF"/>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货物到达</w:t>
            </w:r>
            <w:r>
              <w:rPr>
                <w:rFonts w:hint="eastAsia" w:ascii="宋体" w:hAnsi="宋体" w:eastAsia="宋体" w:cs="Times New Roman"/>
                <w:color w:val="auto"/>
                <w:szCs w:val="21"/>
                <w:highlight w:val="none"/>
                <w:lang w:val="en-US" w:eastAsia="zh-CN"/>
              </w:rPr>
              <w:t>指定交货地点</w:t>
            </w:r>
            <w:r>
              <w:rPr>
                <w:rFonts w:hint="eastAsia" w:ascii="宋体" w:hAnsi="宋体" w:eastAsia="宋体" w:cs="Times New Roman"/>
                <w:color w:val="auto"/>
                <w:szCs w:val="21"/>
                <w:highlight w:val="none"/>
              </w:rPr>
              <w:t>后，</w:t>
            </w:r>
            <w:r>
              <w:rPr>
                <w:rFonts w:hint="eastAsia" w:ascii="宋体" w:hAnsi="宋体" w:eastAsia="宋体" w:cs="Times New Roman"/>
                <w:color w:val="auto"/>
                <w:szCs w:val="21"/>
                <w:highlight w:val="none"/>
                <w:lang w:val="en-US" w:eastAsia="zh-CN"/>
              </w:rPr>
              <w:t>成交供应商</w:t>
            </w:r>
            <w:r>
              <w:rPr>
                <w:rFonts w:hint="eastAsia" w:ascii="宋体" w:hAnsi="宋体" w:eastAsia="宋体" w:cs="Times New Roman"/>
                <w:color w:val="auto"/>
                <w:szCs w:val="21"/>
                <w:highlight w:val="none"/>
              </w:rPr>
              <w:t>和采购人应在现场进行清点</w:t>
            </w:r>
            <w:r>
              <w:rPr>
                <w:rFonts w:hint="eastAsia" w:ascii="宋体" w:hAnsi="宋体" w:eastAsia="宋体" w:cs="Times New Roman"/>
                <w:color w:val="auto"/>
                <w:szCs w:val="21"/>
                <w:highlight w:val="none"/>
                <w:lang w:val="en-US" w:eastAsia="zh-CN"/>
              </w:rPr>
              <w:t>核对</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核对配送产品与验收合格样品是否一致</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清点过程中如果发现因包装或运输不当引起的产品外观或内部的损坏，</w:t>
            </w:r>
            <w:r>
              <w:rPr>
                <w:rFonts w:hint="eastAsia" w:ascii="宋体" w:hAnsi="宋体" w:eastAsia="宋体" w:cs="Times New Roman"/>
                <w:color w:val="auto"/>
                <w:szCs w:val="21"/>
                <w:highlight w:val="none"/>
                <w:lang w:val="en-US" w:eastAsia="zh-CN"/>
              </w:rPr>
              <w:t>成交供应商</w:t>
            </w:r>
            <w:r>
              <w:rPr>
                <w:rFonts w:hint="eastAsia" w:ascii="宋体" w:hAnsi="宋体" w:eastAsia="宋体" w:cs="Times New Roman"/>
                <w:color w:val="auto"/>
                <w:szCs w:val="21"/>
                <w:highlight w:val="none"/>
              </w:rPr>
              <w:t>应负责更换，若发现错发/漏发情况，</w:t>
            </w:r>
            <w:r>
              <w:rPr>
                <w:rFonts w:hint="eastAsia" w:ascii="宋体" w:hAnsi="宋体" w:eastAsia="宋体" w:cs="Times New Roman"/>
                <w:color w:val="auto"/>
                <w:szCs w:val="21"/>
                <w:highlight w:val="none"/>
                <w:lang w:val="en-US" w:eastAsia="zh-CN"/>
              </w:rPr>
              <w:t>成交供应商</w:t>
            </w:r>
            <w:r>
              <w:rPr>
                <w:rFonts w:hint="eastAsia" w:ascii="宋体" w:hAnsi="宋体" w:eastAsia="宋体" w:cs="Times New Roman"/>
                <w:color w:val="auto"/>
                <w:szCs w:val="21"/>
                <w:highlight w:val="none"/>
              </w:rPr>
              <w:t>应负责更换和补发。</w:t>
            </w:r>
          </w:p>
          <w:p w14:paraId="596F6F89">
            <w:pPr>
              <w:widowControl/>
              <w:shd w:val="clear" w:color="auto" w:fill="FFFFFF"/>
              <w:spacing w:line="36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w:t>
            </w:r>
            <w:r>
              <w:rPr>
                <w:rFonts w:hint="eastAsia" w:ascii="Calibri" w:hAnsi="Calibri" w:eastAsia="宋体" w:cs="Times New Roman"/>
                <w:color w:val="auto"/>
                <w:szCs w:val="24"/>
                <w:highlight w:val="none"/>
                <w:lang w:val="en-US" w:eastAsia="zh-CN"/>
              </w:rPr>
              <w:t>成交供应商</w:t>
            </w:r>
            <w:r>
              <w:rPr>
                <w:rFonts w:hint="eastAsia" w:ascii="Calibri" w:hAnsi="Calibri" w:eastAsia="宋体" w:cs="Times New Roman"/>
                <w:color w:val="auto"/>
                <w:szCs w:val="24"/>
                <w:highlight w:val="none"/>
              </w:rPr>
              <w:t>必须保证提供原产、全新的品牌正品，不得采用假冒及伪劣产品替代，如出现上述情形，采购人有权退货；造成社会不良影响的，采购人有权要求成交供应商通过各种途径积极消除不良影响，包括通过媒体公开道歉等，如同时造成经济损失的，成交供应商负责予以赔偿，采购人同时保留追诉相关法律责任的权利。</w:t>
            </w:r>
          </w:p>
          <w:p w14:paraId="37817A48">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五、验收方式及要求：</w:t>
            </w:r>
          </w:p>
          <w:p w14:paraId="513A6628">
            <w:pPr>
              <w:widowControl/>
              <w:shd w:val="clear" w:color="auto" w:fill="FFFFFF"/>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1、验收方式：</w:t>
            </w:r>
            <w:r>
              <w:rPr>
                <w:rFonts w:hint="eastAsia" w:ascii="宋体" w:hAnsi="宋体" w:eastAsia="宋体" w:cs="Times New Roman"/>
                <w:color w:val="auto"/>
                <w:szCs w:val="21"/>
                <w:highlight w:val="none"/>
                <w:lang w:val="en-US" w:eastAsia="zh-CN"/>
              </w:rPr>
              <w:t>交货前五个工作日供应商须提供交付产品同生产批次的部分产品（如同一产品有多个生产批次，则每一批次均需提供部分产品验收，具体验收数量由采购人确定）供采购人验收</w:t>
            </w:r>
            <w:r>
              <w:rPr>
                <w:rFonts w:hint="eastAsia" w:ascii="宋体" w:hAnsi="宋体" w:eastAsia="宋体" w:cs="Times New Roman"/>
                <w:color w:val="auto"/>
                <w:szCs w:val="21"/>
                <w:highlight w:val="none"/>
              </w:rPr>
              <w:t>，因验收产生的纪念品损耗由成交供应商承担。</w:t>
            </w:r>
          </w:p>
          <w:p w14:paraId="0CA473C4">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交货时，所有产品均严格按采购文件上的技术参数要求，采购人按</w:t>
            </w:r>
            <w:r>
              <w:rPr>
                <w:rFonts w:hint="eastAsia" w:ascii="宋体" w:hAnsi="宋体" w:eastAsia="宋体" w:cs="Times New Roman"/>
                <w:color w:val="auto"/>
                <w:szCs w:val="21"/>
                <w:highlight w:val="none"/>
                <w:lang w:val="en-US" w:eastAsia="zh-CN"/>
              </w:rPr>
              <w:t>成交供应商</w:t>
            </w:r>
            <w:r>
              <w:rPr>
                <w:rFonts w:hint="eastAsia" w:ascii="宋体" w:hAnsi="宋体" w:eastAsia="宋体" w:cs="Times New Roman"/>
                <w:color w:val="auto"/>
                <w:szCs w:val="21"/>
                <w:highlight w:val="none"/>
              </w:rPr>
              <w:t>响应和承诺的技术参数及性能和国家有关标准进行验收，达不到要求的不予验收，视为产品验收不合格，并且保留追究成交供应商虚假响应的法律责任。</w:t>
            </w:r>
          </w:p>
          <w:p w14:paraId="57CFBAD9">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、按</w:t>
            </w:r>
            <w:r>
              <w:rPr>
                <w:rFonts w:hint="eastAsia" w:ascii="宋体" w:hAnsi="宋体" w:eastAsia="宋体" w:cs="Times New Roman"/>
                <w:color w:val="auto"/>
                <w:szCs w:val="21"/>
                <w:highlight w:val="none"/>
                <w:lang w:val="en-US" w:eastAsia="zh-CN"/>
              </w:rPr>
              <w:t>采购人</w:t>
            </w:r>
            <w:r>
              <w:rPr>
                <w:rFonts w:hint="eastAsia" w:ascii="宋体" w:hAnsi="宋体" w:eastAsia="宋体" w:cs="Times New Roman"/>
                <w:color w:val="auto"/>
                <w:szCs w:val="21"/>
                <w:highlight w:val="none"/>
              </w:rPr>
              <w:t>要求供货到现场(包括包装、卸货及搬运)。</w:t>
            </w:r>
          </w:p>
          <w:p w14:paraId="242E35A5">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六、售后服务要求：</w:t>
            </w:r>
          </w:p>
          <w:p w14:paraId="101AEBB4">
            <w:pPr>
              <w:widowControl/>
              <w:shd w:val="clear" w:color="auto" w:fill="FFFFFF"/>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质量保证期内</w:t>
            </w:r>
            <w:r>
              <w:rPr>
                <w:rFonts w:hint="eastAsia" w:ascii="宋体" w:hAnsi="宋体" w:eastAsia="宋体" w:cs="Times New Roman"/>
                <w:color w:val="auto"/>
                <w:szCs w:val="21"/>
                <w:highlight w:val="none"/>
              </w:rPr>
              <w:t>售后服务严格按照国家消费者协会三包法规定执行，送货途中若出现破损的，成交供应商应立即免费更换，并保证供货进度不受影响。</w:t>
            </w:r>
          </w:p>
          <w:p w14:paraId="1228E7AE">
            <w:pPr>
              <w:widowControl/>
              <w:shd w:val="clear" w:color="auto" w:fill="FFFFFF"/>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成交供应商需保证供货产品质量、生产厂家等与</w:t>
            </w:r>
            <w:r>
              <w:rPr>
                <w:rFonts w:hint="eastAsia" w:ascii="宋体" w:hAnsi="宋体" w:eastAsia="宋体" w:cs="Times New Roman"/>
                <w:color w:val="auto"/>
                <w:szCs w:val="21"/>
                <w:highlight w:val="none"/>
                <w:lang w:val="en-US" w:eastAsia="zh-CN"/>
              </w:rPr>
              <w:t>响应文件中提供的图片</w:t>
            </w:r>
            <w:r>
              <w:rPr>
                <w:rFonts w:hint="eastAsia" w:ascii="宋体" w:hAnsi="宋体" w:eastAsia="宋体" w:cs="Times New Roman"/>
                <w:color w:val="auto"/>
                <w:szCs w:val="21"/>
                <w:highlight w:val="none"/>
              </w:rPr>
              <w:t>一致。若出现同类产品替代等行为，视为违约。</w:t>
            </w:r>
          </w:p>
          <w:p w14:paraId="2746A0FE">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2、服务响应时间：对于服务请求，须在 20 分钟内响应；一般问题 8小时内解决；对于重大问题不能超过 48 小时解决且要求 4 小时内到现场服务。</w:t>
            </w:r>
          </w:p>
          <w:p w14:paraId="03A50238">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七、其他要求：</w:t>
            </w:r>
          </w:p>
          <w:p w14:paraId="49F8237D">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响应</w:t>
            </w:r>
            <w:r>
              <w:rPr>
                <w:rFonts w:hint="eastAsia" w:ascii="宋体" w:hAnsi="宋体" w:eastAsia="宋体" w:cs="Times New Roman"/>
                <w:color w:val="auto"/>
                <w:szCs w:val="21"/>
                <w:highlight w:val="none"/>
              </w:rPr>
              <w:t>报价为采购人指定地点的现场交货价，包括：</w:t>
            </w:r>
          </w:p>
          <w:p w14:paraId="23B056B6">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（1）货物的价格；</w:t>
            </w:r>
          </w:p>
          <w:p w14:paraId="525B838D">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（2）货物的标准附件配件、备品备件、专用工具的价格；</w:t>
            </w:r>
          </w:p>
          <w:p w14:paraId="7CB73A02">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（3）运输、装卸、搬运、技术支持、售后服务等费用；</w:t>
            </w:r>
          </w:p>
          <w:p w14:paraId="6665301D">
            <w:pPr>
              <w:widowControl/>
              <w:shd w:val="clear" w:color="auto" w:fill="FFFFFF"/>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（4）必要的保险费用和各项税费。</w:t>
            </w:r>
          </w:p>
          <w:p w14:paraId="3ADE037E">
            <w:pPr>
              <w:widowControl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2、付款方式：本项目无预付款，货物交货完毕并经采购人验收合格后，采购人一次性支付合同款（付款前成交供应商需开具等额合规的增值税发票）。</w:t>
            </w:r>
          </w:p>
          <w:p w14:paraId="71842A58">
            <w:pPr>
              <w:widowControl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3、合同期间若出现以下情况，视为违约，采购人有权按照合同和本采购需求约定从合同款中扣除相应违约金或终止合同：</w:t>
            </w:r>
          </w:p>
          <w:p w14:paraId="03311B58">
            <w:pPr>
              <w:widowControl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（1）产品与订单或方案不一致；</w:t>
            </w:r>
          </w:p>
          <w:p w14:paraId="087C6126">
            <w:pPr>
              <w:widowControl/>
              <w:shd w:val="clear" w:color="auto" w:fill="FFFFFF"/>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（2）逾期送达的；</w:t>
            </w:r>
          </w:p>
          <w:p w14:paraId="57C96093">
            <w:pPr>
              <w:widowControl/>
              <w:shd w:val="clear" w:color="auto" w:fill="FFFFFF"/>
              <w:spacing w:line="360" w:lineRule="auto"/>
              <w:rPr>
                <w:rFonts w:hint="eastAsia" w:ascii="宋体" w:hAnsi="宋体" w:eastAsia="宋体" w:cs="Times New Roman"/>
                <w:b/>
                <w:sz w:val="21"/>
                <w:szCs w:val="21"/>
                <w:lang w:val="en-US" w:eastAsia="zh-CN"/>
              </w:rPr>
            </w:pPr>
            <w:r>
              <w:rPr>
                <w:rFonts w:hint="eastAsia" w:ascii="宋体" w:hAnsi="宋体" w:eastAsia="宋体" w:cs="Times New Roman"/>
                <w:color w:val="auto"/>
                <w:szCs w:val="21"/>
                <w:highlight w:val="none"/>
              </w:rPr>
              <w:t>（3）履行售后服务不及时或不履行售后服务的</w:t>
            </w:r>
            <w:r>
              <w:rPr>
                <w:rFonts w:hint="eastAsia" w:ascii="宋体" w:hAnsi="宋体" w:eastAsia="宋体" w:cs="Times New Roman"/>
                <w:color w:val="auto"/>
                <w:szCs w:val="21"/>
                <w:highlight w:val="none"/>
                <w:lang w:eastAsia="zh-CN"/>
              </w:rPr>
              <w:t>。</w:t>
            </w:r>
          </w:p>
        </w:tc>
      </w:tr>
    </w:tbl>
    <w:p w14:paraId="050B1218">
      <w:pPr>
        <w:pStyle w:val="7"/>
        <w:spacing w:line="500" w:lineRule="exact"/>
        <w:jc w:val="left"/>
        <w:rPr>
          <w:rFonts w:hint="eastAsia" w:ascii="仿宋" w:hAnsi="仿宋" w:eastAsia="仿宋"/>
          <w:color w:val="auto"/>
          <w:sz w:val="30"/>
          <w:szCs w:val="30"/>
        </w:rPr>
      </w:pPr>
    </w:p>
    <w:p w14:paraId="65F8DC69">
      <w:pPr>
        <w:pStyle w:val="7"/>
        <w:spacing w:line="500" w:lineRule="exact"/>
        <w:jc w:val="left"/>
        <w:rPr>
          <w:rFonts w:hint="eastAsia" w:ascii="仿宋" w:hAnsi="仿宋" w:eastAsia="仿宋"/>
          <w:color w:val="auto"/>
          <w:sz w:val="30"/>
          <w:szCs w:val="30"/>
        </w:rPr>
      </w:pPr>
    </w:p>
    <w:p w14:paraId="1A959AC9">
      <w:pPr>
        <w:pStyle w:val="7"/>
        <w:spacing w:line="500" w:lineRule="exact"/>
        <w:jc w:val="left"/>
        <w:rPr>
          <w:rFonts w:hint="eastAsia" w:ascii="仿宋" w:hAnsi="仿宋" w:eastAsia="仿宋"/>
          <w:color w:val="auto"/>
          <w:sz w:val="30"/>
          <w:szCs w:val="30"/>
        </w:rPr>
      </w:pPr>
    </w:p>
    <w:p w14:paraId="1B6BFC5F">
      <w:pPr>
        <w:pStyle w:val="7"/>
        <w:spacing w:line="500" w:lineRule="exact"/>
        <w:jc w:val="left"/>
        <w:rPr>
          <w:rFonts w:hint="eastAsia" w:ascii="仿宋" w:hAnsi="仿宋" w:eastAsia="仿宋"/>
          <w:color w:val="auto"/>
          <w:sz w:val="30"/>
          <w:szCs w:val="30"/>
        </w:rPr>
      </w:pPr>
    </w:p>
    <w:p w14:paraId="40E7629C">
      <w:pPr>
        <w:pStyle w:val="7"/>
        <w:spacing w:line="500" w:lineRule="exact"/>
        <w:jc w:val="left"/>
        <w:rPr>
          <w:rFonts w:hint="eastAsia" w:ascii="仿宋" w:hAnsi="仿宋" w:eastAsia="仿宋"/>
          <w:color w:val="auto"/>
          <w:sz w:val="30"/>
          <w:szCs w:val="30"/>
        </w:rPr>
      </w:pPr>
    </w:p>
    <w:p w14:paraId="2BC6ED56">
      <w:pPr>
        <w:pStyle w:val="7"/>
        <w:spacing w:line="500" w:lineRule="exact"/>
        <w:jc w:val="left"/>
        <w:rPr>
          <w:rFonts w:hint="eastAsia" w:ascii="仿宋" w:hAnsi="仿宋" w:eastAsia="仿宋"/>
          <w:color w:val="auto"/>
          <w:sz w:val="30"/>
          <w:szCs w:val="30"/>
        </w:rPr>
      </w:pPr>
    </w:p>
    <w:p w14:paraId="767CB749">
      <w:pPr>
        <w:pStyle w:val="3"/>
        <w:numPr>
          <w:ilvl w:val="3"/>
          <w:numId w:val="0"/>
        </w:numPr>
        <w:ind w:left="1077" w:leftChars="0"/>
        <w:rPr>
          <w:rFonts w:hint="eastAsia"/>
        </w:rPr>
      </w:pPr>
    </w:p>
    <w:p w14:paraId="2977B561">
      <w:pPr>
        <w:rPr>
          <w:rFonts w:hint="eastAsia" w:ascii="仿宋" w:hAnsi="仿宋" w:eastAsia="仿宋"/>
          <w:color w:val="auto"/>
          <w:sz w:val="30"/>
          <w:szCs w:val="30"/>
        </w:rPr>
      </w:pPr>
    </w:p>
    <w:p w14:paraId="6C986CC0">
      <w:pPr>
        <w:rPr>
          <w:rFonts w:hint="eastAsia" w:ascii="仿宋" w:hAnsi="仿宋" w:eastAsia="仿宋"/>
          <w:color w:val="auto"/>
          <w:sz w:val="30"/>
          <w:szCs w:val="30"/>
        </w:rPr>
      </w:pPr>
    </w:p>
    <w:p w14:paraId="086A487B">
      <w:pPr>
        <w:rPr>
          <w:rFonts w:hint="eastAsia" w:ascii="仿宋" w:hAnsi="仿宋" w:eastAsia="仿宋"/>
          <w:color w:val="auto"/>
          <w:sz w:val="30"/>
          <w:szCs w:val="30"/>
        </w:rPr>
      </w:pPr>
    </w:p>
    <w:p w14:paraId="59B5178A">
      <w:pPr>
        <w:rPr>
          <w:rFonts w:hint="eastAsia" w:ascii="仿宋" w:hAnsi="仿宋" w:eastAsia="仿宋"/>
          <w:color w:val="auto"/>
          <w:sz w:val="30"/>
          <w:szCs w:val="30"/>
        </w:rPr>
      </w:pPr>
    </w:p>
    <w:p w14:paraId="46A79F86">
      <w:pPr>
        <w:rPr>
          <w:rFonts w:hint="eastAsia" w:ascii="仿宋" w:hAnsi="仿宋" w:eastAsia="仿宋"/>
          <w:color w:val="auto"/>
          <w:sz w:val="30"/>
          <w:szCs w:val="30"/>
        </w:rPr>
      </w:pPr>
    </w:p>
    <w:p w14:paraId="513CEEEC">
      <w:pPr>
        <w:rPr>
          <w:rFonts w:hint="eastAsia" w:ascii="仿宋" w:hAnsi="仿宋" w:eastAsia="仿宋"/>
          <w:color w:val="auto"/>
          <w:sz w:val="30"/>
          <w:szCs w:val="30"/>
        </w:rPr>
      </w:pPr>
    </w:p>
    <w:p w14:paraId="5581A323">
      <w:pPr>
        <w:rPr>
          <w:rFonts w:hint="eastAsia" w:ascii="仿宋" w:hAnsi="仿宋" w:eastAsia="仿宋"/>
          <w:color w:val="auto"/>
          <w:sz w:val="30"/>
          <w:szCs w:val="30"/>
        </w:rPr>
      </w:pPr>
    </w:p>
    <w:p w14:paraId="322DACE0">
      <w:pPr>
        <w:rPr>
          <w:rFonts w:hint="eastAsia" w:ascii="仿宋" w:hAnsi="仿宋" w:eastAsia="仿宋"/>
          <w:color w:val="auto"/>
          <w:sz w:val="30"/>
          <w:szCs w:val="30"/>
        </w:rPr>
      </w:pPr>
    </w:p>
    <w:p w14:paraId="6934B279">
      <w:pPr>
        <w:rPr>
          <w:rFonts w:hint="eastAsia" w:ascii="仿宋" w:hAnsi="仿宋" w:eastAsia="仿宋"/>
          <w:color w:val="auto"/>
          <w:sz w:val="30"/>
          <w:szCs w:val="30"/>
        </w:rPr>
      </w:pPr>
    </w:p>
    <w:p w14:paraId="0A9D5138">
      <w:pPr>
        <w:rPr>
          <w:rFonts w:hint="eastAsia" w:ascii="仿宋" w:hAnsi="仿宋" w:eastAsia="仿宋"/>
          <w:color w:val="auto"/>
          <w:sz w:val="30"/>
          <w:szCs w:val="30"/>
        </w:rPr>
      </w:pPr>
    </w:p>
    <w:p w14:paraId="23D9D947">
      <w:pPr>
        <w:rPr>
          <w:rFonts w:hint="eastAsia" w:ascii="仿宋" w:hAnsi="仿宋" w:eastAsia="仿宋"/>
          <w:color w:val="auto"/>
          <w:sz w:val="30"/>
          <w:szCs w:val="30"/>
        </w:rPr>
      </w:pPr>
    </w:p>
    <w:p w14:paraId="25EAB3C1">
      <w:pPr>
        <w:pStyle w:val="7"/>
        <w:spacing w:line="500" w:lineRule="exact"/>
        <w:jc w:val="left"/>
        <w:rPr>
          <w:rFonts w:hint="eastAsia" w:ascii="仿宋" w:hAnsi="仿宋" w:eastAsia="仿宋"/>
          <w:color w:val="auto"/>
          <w:sz w:val="30"/>
          <w:szCs w:val="30"/>
        </w:rPr>
      </w:pPr>
    </w:p>
    <w:p w14:paraId="315D5AB9">
      <w:pPr>
        <w:pStyle w:val="3"/>
        <w:numPr>
          <w:ilvl w:val="3"/>
          <w:numId w:val="0"/>
        </w:numPr>
        <w:ind w:left="1077" w:leftChars="0"/>
        <w:rPr>
          <w:rFonts w:hint="eastAsia"/>
        </w:rPr>
      </w:pPr>
    </w:p>
    <w:p w14:paraId="34C7292E">
      <w:pPr>
        <w:pStyle w:val="7"/>
        <w:spacing w:line="500" w:lineRule="exact"/>
        <w:ind w:firstLine="600" w:firstLineChars="200"/>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南宁中心血站2024年应急招募纪念品采购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1"/>
        <w:spacing w:line="360" w:lineRule="auto"/>
        <w:ind w:firstLineChars="200"/>
        <w:rPr>
          <w:color w:val="auto"/>
        </w:rPr>
      </w:pPr>
      <w:r>
        <w:rPr>
          <w:rFonts w:hint="eastAsia"/>
          <w:color w:val="auto"/>
        </w:rPr>
        <w:t>我方对委托代理人的签字事项负全部责任。</w:t>
      </w:r>
    </w:p>
    <w:p w14:paraId="4156E484">
      <w:pPr>
        <w:pStyle w:val="11"/>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1"/>
        <w:spacing w:line="360" w:lineRule="auto"/>
        <w:ind w:firstLineChars="200"/>
        <w:rPr>
          <w:color w:val="auto"/>
        </w:rPr>
      </w:pPr>
      <w:r>
        <w:rPr>
          <w:rFonts w:hint="eastAsia"/>
          <w:color w:val="auto"/>
        </w:rPr>
        <w:t>委托代理人无转委托权，特此委托。</w:t>
      </w:r>
    </w:p>
    <w:p w14:paraId="4AAACB6B">
      <w:pPr>
        <w:pStyle w:val="11"/>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1"/>
        <w:spacing w:line="360" w:lineRule="auto"/>
        <w:ind w:firstLineChars="200"/>
        <w:rPr>
          <w:color w:val="auto"/>
        </w:rPr>
      </w:pPr>
    </w:p>
    <w:p w14:paraId="06C42395">
      <w:pPr>
        <w:pStyle w:val="11"/>
        <w:ind w:firstLineChars="200"/>
        <w:rPr>
          <w:color w:val="auto"/>
        </w:rPr>
      </w:pPr>
    </w:p>
    <w:p w14:paraId="310B8657">
      <w:pPr>
        <w:pStyle w:val="11"/>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1"/>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1"/>
        <w:ind w:firstLineChars="200"/>
        <w:rPr>
          <w:rFonts w:hint="default" w:eastAsiaTheme="minorEastAsia"/>
          <w:color w:val="auto"/>
          <w:lang w:val="en-US" w:eastAsia="zh-CN"/>
        </w:rPr>
      </w:pPr>
    </w:p>
    <w:p w14:paraId="26ABD9C4">
      <w:pPr>
        <w:pStyle w:val="11"/>
        <w:ind w:firstLineChars="200"/>
        <w:rPr>
          <w:color w:val="auto"/>
        </w:rPr>
      </w:pPr>
    </w:p>
    <w:p w14:paraId="1A155D87">
      <w:pPr>
        <w:pStyle w:val="11"/>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1"/>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189C9DAE">
      <w:pPr>
        <w:snapToGrid w:val="0"/>
        <w:spacing w:before="156" w:beforeLines="50" w:after="50" w:line="400" w:lineRule="exact"/>
        <w:ind w:firstLine="600" w:firstLineChars="200"/>
        <w:jc w:val="left"/>
        <w:rPr>
          <w:rFonts w:hint="eastAsia" w:ascii="仿宋" w:hAnsi="仿宋" w:eastAsia="仿宋"/>
          <w:color w:val="auto"/>
          <w:sz w:val="30"/>
          <w:szCs w:val="30"/>
        </w:rPr>
      </w:pPr>
    </w:p>
    <w:p w14:paraId="23D5ADDD">
      <w:pPr>
        <w:snapToGrid w:val="0"/>
        <w:spacing w:before="156" w:beforeLines="50" w:after="50" w:line="400" w:lineRule="exact"/>
        <w:ind w:firstLine="600" w:firstLineChars="200"/>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3"/>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3"/>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5"/>
      </w:pPr>
    </w:p>
    <w:p w14:paraId="54CA0204">
      <w:pPr>
        <w:ind w:firstLine="600" w:firstLineChars="200"/>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7E4AF610">
      <w:pPr>
        <w:pStyle w:val="3"/>
        <w:numPr>
          <w:ilvl w:val="3"/>
          <w:numId w:val="0"/>
        </w:numPr>
        <w:jc w:val="center"/>
        <w:rPr>
          <w:rFonts w:hint="eastAsia"/>
        </w:rPr>
      </w:pPr>
      <w:r>
        <w:rPr>
          <w:rFonts w:hint="eastAsia"/>
          <w:color w:val="auto"/>
          <w:sz w:val="32"/>
          <w:szCs w:val="32"/>
        </w:rPr>
        <w:t>报价表</w:t>
      </w:r>
    </w:p>
    <w:tbl>
      <w:tblPr>
        <w:tblStyle w:val="14"/>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039"/>
        <w:gridCol w:w="1868"/>
        <w:gridCol w:w="1337"/>
        <w:gridCol w:w="1036"/>
        <w:gridCol w:w="1541"/>
        <w:gridCol w:w="1599"/>
      </w:tblGrid>
      <w:tr w14:paraId="577E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640" w:type="dxa"/>
            <w:vAlign w:val="center"/>
          </w:tcPr>
          <w:p w14:paraId="41E52E83">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项号</w:t>
            </w:r>
          </w:p>
        </w:tc>
        <w:tc>
          <w:tcPr>
            <w:tcW w:w="1039" w:type="dxa"/>
            <w:vAlign w:val="center"/>
          </w:tcPr>
          <w:p w14:paraId="302AB471">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货物名称</w:t>
            </w:r>
          </w:p>
        </w:tc>
        <w:tc>
          <w:tcPr>
            <w:tcW w:w="1868" w:type="dxa"/>
            <w:vAlign w:val="center"/>
          </w:tcPr>
          <w:p w14:paraId="48A23A3A">
            <w:pPr>
              <w:pStyle w:val="7"/>
              <w:spacing w:line="560" w:lineRule="exact"/>
              <w:jc w:val="center"/>
              <w:rPr>
                <w:rFonts w:hint="default" w:eastAsia="宋体" w:asciiTheme="minorEastAsia" w:hAnsiTheme="minorEastAsia" w:cstheme="minorEastAsia"/>
                <w:color w:val="auto"/>
                <w:kern w:val="0"/>
                <w:sz w:val="20"/>
                <w:szCs w:val="21"/>
                <w:lang w:val="en-US" w:eastAsia="zh-CN"/>
              </w:rPr>
            </w:pPr>
            <w:r>
              <w:rPr>
                <w:rFonts w:hint="eastAsia" w:asciiTheme="minorEastAsia" w:hAnsiTheme="minorEastAsia" w:cstheme="minorEastAsia"/>
                <w:color w:val="auto"/>
                <w:kern w:val="0"/>
                <w:sz w:val="20"/>
                <w:szCs w:val="21"/>
                <w:lang w:val="en-US" w:eastAsia="zh-CN"/>
              </w:rPr>
              <w:t>品牌/规格型号</w:t>
            </w:r>
          </w:p>
        </w:tc>
        <w:tc>
          <w:tcPr>
            <w:tcW w:w="1337" w:type="dxa"/>
            <w:vAlign w:val="center"/>
          </w:tcPr>
          <w:p w14:paraId="42FDAB91">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数量</w:t>
            </w:r>
          </w:p>
          <w:p w14:paraId="5C84641A">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①</w:t>
            </w:r>
          </w:p>
        </w:tc>
        <w:tc>
          <w:tcPr>
            <w:tcW w:w="1036" w:type="dxa"/>
            <w:vAlign w:val="center"/>
          </w:tcPr>
          <w:p w14:paraId="0EDDE59D">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单价（元）</w:t>
            </w:r>
          </w:p>
          <w:p w14:paraId="31564730">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②</w:t>
            </w:r>
          </w:p>
        </w:tc>
        <w:tc>
          <w:tcPr>
            <w:tcW w:w="1541" w:type="dxa"/>
            <w:vAlign w:val="center"/>
          </w:tcPr>
          <w:p w14:paraId="674DAFE1">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合价（元）</w:t>
            </w:r>
          </w:p>
          <w:p w14:paraId="56C02EF3">
            <w:pPr>
              <w:pStyle w:val="7"/>
              <w:spacing w:line="560" w:lineRule="exact"/>
              <w:ind w:firstLine="200" w:firstLineChars="100"/>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③=①×②</w:t>
            </w:r>
          </w:p>
        </w:tc>
        <w:tc>
          <w:tcPr>
            <w:tcW w:w="1599" w:type="dxa"/>
            <w:vAlign w:val="center"/>
          </w:tcPr>
          <w:p w14:paraId="350489F8">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备注</w:t>
            </w:r>
          </w:p>
        </w:tc>
      </w:tr>
      <w:tr w14:paraId="1B7E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exact"/>
          <w:jc w:val="center"/>
        </w:trPr>
        <w:tc>
          <w:tcPr>
            <w:tcW w:w="640" w:type="dxa"/>
            <w:vAlign w:val="center"/>
          </w:tcPr>
          <w:p w14:paraId="13945794">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1</w:t>
            </w:r>
          </w:p>
        </w:tc>
        <w:tc>
          <w:tcPr>
            <w:tcW w:w="1039" w:type="dxa"/>
            <w:vAlign w:val="center"/>
          </w:tcPr>
          <w:p w14:paraId="4FDA3662">
            <w:pPr>
              <w:pStyle w:val="7"/>
              <w:spacing w:line="560" w:lineRule="exact"/>
              <w:jc w:val="center"/>
              <w:rPr>
                <w:rFonts w:asciiTheme="minorEastAsia" w:hAnsiTheme="minorEastAsia" w:cstheme="minorEastAsia"/>
                <w:color w:val="auto"/>
                <w:kern w:val="0"/>
                <w:sz w:val="20"/>
                <w:szCs w:val="21"/>
              </w:rPr>
            </w:pPr>
            <w:r>
              <w:rPr>
                <w:rFonts w:hint="eastAsia" w:hAnsi="宋体" w:cs="宋体"/>
                <w:kern w:val="0"/>
                <w:sz w:val="20"/>
                <w:szCs w:val="21"/>
                <w:lang w:val="en-US" w:eastAsia="zh-CN"/>
              </w:rPr>
              <w:t>花生油</w:t>
            </w:r>
          </w:p>
        </w:tc>
        <w:tc>
          <w:tcPr>
            <w:tcW w:w="1868" w:type="dxa"/>
            <w:vAlign w:val="center"/>
          </w:tcPr>
          <w:p w14:paraId="13CCF1DD">
            <w:pPr>
              <w:widowControl/>
              <w:jc w:val="center"/>
              <w:textAlignment w:val="center"/>
              <w:rPr>
                <w:rFonts w:hint="eastAsia" w:ascii="宋体" w:hAnsi="宋体" w:eastAsia="宋体" w:cs="宋体"/>
                <w:color w:val="auto"/>
                <w:kern w:val="0"/>
                <w:sz w:val="20"/>
                <w:szCs w:val="20"/>
              </w:rPr>
            </w:pPr>
          </w:p>
        </w:tc>
        <w:tc>
          <w:tcPr>
            <w:tcW w:w="1337" w:type="dxa"/>
            <w:vAlign w:val="center"/>
          </w:tcPr>
          <w:p w14:paraId="1C9041BA">
            <w:pPr>
              <w:widowControl/>
              <w:jc w:val="center"/>
              <w:textAlignment w:val="center"/>
              <w:rPr>
                <w:rFonts w:hint="eastAsia" w:ascii="宋体" w:hAnsi="宋体" w:eastAsia="宋体" w:cs="宋体"/>
                <w:color w:val="auto"/>
                <w:kern w:val="0"/>
                <w:sz w:val="20"/>
                <w:szCs w:val="20"/>
                <w:lang w:val="en-US" w:eastAsia="zh-CN"/>
              </w:rPr>
            </w:pPr>
            <w:r>
              <w:rPr>
                <w:rFonts w:hint="eastAsia" w:ascii="宋体" w:hAnsi="宋体" w:eastAsia="宋体" w:cs="宋体"/>
                <w:color w:val="auto"/>
                <w:kern w:val="0"/>
                <w:sz w:val="20"/>
                <w:szCs w:val="20"/>
              </w:rPr>
              <w:t>300</w:t>
            </w:r>
            <w:r>
              <w:rPr>
                <w:rFonts w:hint="eastAsia" w:ascii="宋体" w:hAnsi="宋体" w:eastAsia="宋体" w:cs="宋体"/>
                <w:color w:val="auto"/>
                <w:kern w:val="0"/>
                <w:sz w:val="20"/>
                <w:szCs w:val="20"/>
                <w:lang w:val="en-US" w:eastAsia="zh-CN"/>
              </w:rPr>
              <w:t>桶</w:t>
            </w:r>
          </w:p>
        </w:tc>
        <w:tc>
          <w:tcPr>
            <w:tcW w:w="1036" w:type="dxa"/>
            <w:vAlign w:val="center"/>
          </w:tcPr>
          <w:p w14:paraId="5D9110A6">
            <w:pPr>
              <w:pStyle w:val="7"/>
              <w:spacing w:line="560" w:lineRule="exact"/>
              <w:ind w:firstLine="420"/>
              <w:rPr>
                <w:rFonts w:asciiTheme="minorEastAsia" w:hAnsiTheme="minorEastAsia" w:cstheme="minorEastAsia"/>
                <w:color w:val="auto"/>
                <w:kern w:val="0"/>
                <w:sz w:val="20"/>
                <w:szCs w:val="21"/>
              </w:rPr>
            </w:pPr>
          </w:p>
        </w:tc>
        <w:tc>
          <w:tcPr>
            <w:tcW w:w="1541" w:type="dxa"/>
            <w:vAlign w:val="center"/>
          </w:tcPr>
          <w:p w14:paraId="60CE014E">
            <w:pPr>
              <w:pStyle w:val="7"/>
              <w:spacing w:line="560" w:lineRule="exact"/>
              <w:ind w:firstLine="420"/>
              <w:rPr>
                <w:rFonts w:asciiTheme="minorEastAsia" w:hAnsiTheme="minorEastAsia" w:cstheme="minorEastAsia"/>
                <w:color w:val="auto"/>
                <w:kern w:val="0"/>
                <w:sz w:val="20"/>
                <w:szCs w:val="21"/>
              </w:rPr>
            </w:pPr>
          </w:p>
        </w:tc>
        <w:tc>
          <w:tcPr>
            <w:tcW w:w="1599" w:type="dxa"/>
            <w:vAlign w:val="center"/>
          </w:tcPr>
          <w:p w14:paraId="77B9B00A">
            <w:pPr>
              <w:pStyle w:val="7"/>
              <w:spacing w:line="560" w:lineRule="exact"/>
              <w:ind w:firstLine="420"/>
              <w:rPr>
                <w:rFonts w:asciiTheme="minorEastAsia" w:hAnsiTheme="minorEastAsia" w:cstheme="minorEastAsia"/>
                <w:color w:val="auto"/>
                <w:kern w:val="0"/>
                <w:sz w:val="20"/>
                <w:szCs w:val="21"/>
              </w:rPr>
            </w:pPr>
          </w:p>
        </w:tc>
      </w:tr>
      <w:tr w14:paraId="24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exact"/>
          <w:jc w:val="center"/>
        </w:trPr>
        <w:tc>
          <w:tcPr>
            <w:tcW w:w="640" w:type="dxa"/>
            <w:vAlign w:val="center"/>
          </w:tcPr>
          <w:p w14:paraId="63887E22">
            <w:pPr>
              <w:pStyle w:val="7"/>
              <w:spacing w:line="560" w:lineRule="exact"/>
              <w:jc w:val="center"/>
              <w:rPr>
                <w:rFonts w:hint="eastAsia" w:eastAsia="宋体" w:asciiTheme="minorEastAsia" w:hAnsiTheme="minorEastAsia" w:cstheme="minorEastAsia"/>
                <w:color w:val="auto"/>
                <w:kern w:val="0"/>
                <w:sz w:val="20"/>
                <w:szCs w:val="21"/>
                <w:lang w:val="en-US" w:eastAsia="zh-CN"/>
              </w:rPr>
            </w:pPr>
            <w:r>
              <w:rPr>
                <w:rFonts w:hint="eastAsia" w:asciiTheme="minorEastAsia" w:hAnsiTheme="minorEastAsia" w:cstheme="minorEastAsia"/>
                <w:color w:val="auto"/>
                <w:kern w:val="0"/>
                <w:sz w:val="20"/>
                <w:szCs w:val="21"/>
                <w:lang w:val="en-US" w:eastAsia="zh-CN"/>
              </w:rPr>
              <w:t>2</w:t>
            </w:r>
          </w:p>
        </w:tc>
        <w:tc>
          <w:tcPr>
            <w:tcW w:w="1039" w:type="dxa"/>
            <w:vAlign w:val="center"/>
          </w:tcPr>
          <w:p w14:paraId="5B08CE64">
            <w:pPr>
              <w:pStyle w:val="7"/>
              <w:spacing w:line="560" w:lineRule="exact"/>
              <w:jc w:val="center"/>
              <w:rPr>
                <w:rFonts w:hint="eastAsia" w:eastAsia="宋体" w:asciiTheme="minorEastAsia" w:hAnsiTheme="minorEastAsia" w:cstheme="minorEastAsia"/>
                <w:color w:val="auto"/>
                <w:kern w:val="0"/>
                <w:sz w:val="20"/>
                <w:szCs w:val="21"/>
                <w:lang w:eastAsia="zh-CN"/>
              </w:rPr>
            </w:pPr>
            <w:r>
              <w:rPr>
                <w:rFonts w:hint="eastAsia" w:ascii="宋体" w:hAnsi="宋体" w:eastAsia="宋体" w:cs="宋体"/>
                <w:szCs w:val="21"/>
                <w:highlight w:val="none"/>
                <w:lang w:val="en-US" w:eastAsia="zh-CN"/>
              </w:rPr>
              <w:t>象牙米</w:t>
            </w:r>
          </w:p>
        </w:tc>
        <w:tc>
          <w:tcPr>
            <w:tcW w:w="1868" w:type="dxa"/>
            <w:vAlign w:val="center"/>
          </w:tcPr>
          <w:p w14:paraId="3F064E91">
            <w:pPr>
              <w:widowControl/>
              <w:jc w:val="center"/>
              <w:textAlignment w:val="center"/>
              <w:rPr>
                <w:rFonts w:hint="eastAsia" w:ascii="宋体" w:hAnsi="宋体" w:eastAsia="宋体" w:cs="宋体"/>
                <w:color w:val="auto"/>
                <w:kern w:val="0"/>
                <w:sz w:val="20"/>
                <w:szCs w:val="20"/>
                <w:lang w:val="en-US" w:eastAsia="zh-CN"/>
              </w:rPr>
            </w:pPr>
          </w:p>
        </w:tc>
        <w:tc>
          <w:tcPr>
            <w:tcW w:w="1337" w:type="dxa"/>
            <w:vAlign w:val="center"/>
          </w:tcPr>
          <w:p w14:paraId="0D1201E7">
            <w:pPr>
              <w:widowControl/>
              <w:jc w:val="center"/>
              <w:textAlignment w:val="center"/>
              <w:rPr>
                <w:rFonts w:hint="default"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300袋</w:t>
            </w:r>
          </w:p>
        </w:tc>
        <w:tc>
          <w:tcPr>
            <w:tcW w:w="1036" w:type="dxa"/>
            <w:vAlign w:val="center"/>
          </w:tcPr>
          <w:p w14:paraId="012F62FD">
            <w:pPr>
              <w:pStyle w:val="7"/>
              <w:spacing w:line="560" w:lineRule="exact"/>
              <w:ind w:firstLine="420"/>
              <w:rPr>
                <w:rFonts w:asciiTheme="minorEastAsia" w:hAnsiTheme="minorEastAsia" w:cstheme="minorEastAsia"/>
                <w:color w:val="auto"/>
                <w:kern w:val="0"/>
                <w:sz w:val="20"/>
                <w:szCs w:val="21"/>
              </w:rPr>
            </w:pPr>
          </w:p>
        </w:tc>
        <w:tc>
          <w:tcPr>
            <w:tcW w:w="1541" w:type="dxa"/>
            <w:vAlign w:val="center"/>
          </w:tcPr>
          <w:p w14:paraId="6B0391CE">
            <w:pPr>
              <w:pStyle w:val="7"/>
              <w:spacing w:line="560" w:lineRule="exact"/>
              <w:ind w:firstLine="420"/>
              <w:rPr>
                <w:rFonts w:asciiTheme="minorEastAsia" w:hAnsiTheme="minorEastAsia" w:cstheme="minorEastAsia"/>
                <w:color w:val="auto"/>
                <w:kern w:val="0"/>
                <w:sz w:val="20"/>
                <w:szCs w:val="21"/>
              </w:rPr>
            </w:pPr>
          </w:p>
        </w:tc>
        <w:tc>
          <w:tcPr>
            <w:tcW w:w="1599" w:type="dxa"/>
            <w:vAlign w:val="center"/>
          </w:tcPr>
          <w:p w14:paraId="3DFA69B9">
            <w:pPr>
              <w:pStyle w:val="7"/>
              <w:spacing w:line="560" w:lineRule="exact"/>
              <w:ind w:firstLine="420"/>
              <w:rPr>
                <w:rFonts w:asciiTheme="minorEastAsia" w:hAnsiTheme="minorEastAsia" w:cstheme="minorEastAsia"/>
                <w:color w:val="auto"/>
                <w:kern w:val="0"/>
                <w:sz w:val="20"/>
                <w:szCs w:val="21"/>
              </w:rPr>
            </w:pPr>
          </w:p>
        </w:tc>
      </w:tr>
      <w:tr w14:paraId="7C6E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060" w:type="dxa"/>
            <w:gridSpan w:val="7"/>
            <w:vAlign w:val="center"/>
          </w:tcPr>
          <w:p w14:paraId="7ABB7EDC">
            <w:pPr>
              <w:pStyle w:val="7"/>
              <w:spacing w:line="560" w:lineRule="exact"/>
              <w:ind w:firstLine="420"/>
              <w:jc w:val="left"/>
              <w:rPr>
                <w:rFonts w:asciiTheme="minorEastAsia" w:hAnsi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826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060" w:type="dxa"/>
            <w:gridSpan w:val="7"/>
            <w:vAlign w:val="center"/>
          </w:tcPr>
          <w:p w14:paraId="7B305868">
            <w:pPr>
              <w:pStyle w:val="7"/>
              <w:spacing w:line="560" w:lineRule="exact"/>
              <w:ind w:firstLine="420"/>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r>
              <w:rPr>
                <w:rFonts w:hint="eastAsia" w:asciiTheme="minorEastAsia" w:hAnsiTheme="minorEastAsia" w:cstheme="minorEastAsia"/>
                <w:b/>
                <w:color w:val="0000FF"/>
                <w:kern w:val="0"/>
                <w:sz w:val="20"/>
                <w:szCs w:val="21"/>
                <w:lang w:val="en-US" w:eastAsia="zh-CN"/>
              </w:rPr>
              <w:t>60000</w:t>
            </w:r>
            <w:r>
              <w:rPr>
                <w:rFonts w:hint="eastAsia" w:asciiTheme="minorEastAsia" w:hAnsiTheme="minorEastAsia" w:cstheme="minorEastAsia"/>
                <w:b/>
                <w:color w:val="0000FF"/>
                <w:kern w:val="0"/>
                <w:sz w:val="20"/>
                <w:szCs w:val="21"/>
              </w:rPr>
              <w:t>元。</w:t>
            </w:r>
          </w:p>
        </w:tc>
      </w:tr>
    </w:tbl>
    <w:p w14:paraId="021813C6">
      <w:pPr>
        <w:rPr>
          <w:rFonts w:hint="eastAsia" w:asciiTheme="minorEastAsia" w:hAnsiTheme="minorEastAsia" w:cstheme="minorEastAsia"/>
          <w:color w:val="auto"/>
          <w:szCs w:val="21"/>
        </w:rPr>
      </w:pPr>
    </w:p>
    <w:p w14:paraId="26B1433B">
      <w:pPr>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10AE0273">
      <w:pPr>
        <w:ind w:firstLine="600" w:firstLineChars="200"/>
        <w:rPr>
          <w:rFonts w:hint="eastAsia" w:ascii="仿宋" w:hAnsi="仿宋" w:eastAsia="仿宋"/>
          <w:color w:val="auto"/>
          <w:sz w:val="30"/>
          <w:szCs w:val="30"/>
          <w:lang w:val="en-US" w:eastAsia="zh-CN"/>
        </w:rPr>
      </w:pPr>
    </w:p>
    <w:p w14:paraId="05645568">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3800540">
      <w:pPr>
        <w:ind w:firstLine="600" w:firstLineChars="200"/>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7CA21AC1">
      <w:pPr>
        <w:pStyle w:val="7"/>
        <w:spacing w:line="440" w:lineRule="exact"/>
        <w:ind w:firstLine="420" w:firstLineChars="200"/>
        <w:rPr>
          <w:rFonts w:hint="eastAsia"/>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861"/>
        <w:gridCol w:w="3624"/>
        <w:gridCol w:w="805"/>
        <w:gridCol w:w="2416"/>
        <w:gridCol w:w="772"/>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322" w:type="pct"/>
            <w:vMerge w:val="restart"/>
            <w:vAlign w:val="center"/>
          </w:tcPr>
          <w:p w14:paraId="0DCBBD97">
            <w:pPr>
              <w:pStyle w:val="7"/>
              <w:jc w:val="center"/>
              <w:rPr>
                <w:rFonts w:hAnsi="宋体"/>
                <w:spacing w:val="-20"/>
                <w:szCs w:val="21"/>
              </w:rPr>
            </w:pPr>
            <w:r>
              <w:rPr>
                <w:rFonts w:hint="eastAsia" w:hAnsi="宋体"/>
                <w:spacing w:val="-20"/>
                <w:szCs w:val="21"/>
              </w:rPr>
              <w:t>序号</w:t>
            </w:r>
          </w:p>
        </w:tc>
        <w:tc>
          <w:tcPr>
            <w:tcW w:w="2475" w:type="pct"/>
            <w:gridSpan w:val="2"/>
            <w:vAlign w:val="center"/>
          </w:tcPr>
          <w:p w14:paraId="6400F0E2">
            <w:pPr>
              <w:jc w:val="center"/>
              <w:rPr>
                <w:rFonts w:ascii="宋体"/>
                <w:szCs w:val="21"/>
              </w:rPr>
            </w:pPr>
            <w:r>
              <w:rPr>
                <w:rFonts w:hint="eastAsia" w:ascii="宋体" w:hAnsi="宋体"/>
                <w:szCs w:val="21"/>
              </w:rPr>
              <w:t>采购文件需求</w:t>
            </w:r>
          </w:p>
        </w:tc>
        <w:tc>
          <w:tcPr>
            <w:tcW w:w="1777" w:type="pct"/>
            <w:gridSpan w:val="2"/>
            <w:vAlign w:val="center"/>
          </w:tcPr>
          <w:p w14:paraId="366EEBF5">
            <w:pPr>
              <w:jc w:val="center"/>
              <w:rPr>
                <w:rFonts w:ascii="宋体"/>
                <w:szCs w:val="21"/>
              </w:rPr>
            </w:pPr>
            <w:r>
              <w:rPr>
                <w:rFonts w:hint="eastAsia" w:ascii="宋体" w:hAnsi="宋体"/>
                <w:szCs w:val="21"/>
              </w:rPr>
              <w:t>响应文件承诺</w:t>
            </w:r>
          </w:p>
        </w:tc>
        <w:tc>
          <w:tcPr>
            <w:tcW w:w="426"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322" w:type="pct"/>
            <w:vMerge w:val="continue"/>
            <w:vAlign w:val="center"/>
          </w:tcPr>
          <w:p w14:paraId="49B33CFA">
            <w:pPr>
              <w:pStyle w:val="7"/>
              <w:jc w:val="center"/>
              <w:rPr>
                <w:rFonts w:hAnsi="宋体"/>
                <w:spacing w:val="-20"/>
                <w:szCs w:val="21"/>
              </w:rPr>
            </w:pPr>
          </w:p>
        </w:tc>
        <w:tc>
          <w:tcPr>
            <w:tcW w:w="475" w:type="pct"/>
            <w:vAlign w:val="center"/>
          </w:tcPr>
          <w:p w14:paraId="375F1A88">
            <w:pPr>
              <w:jc w:val="center"/>
              <w:rPr>
                <w:rFonts w:ascii="宋体"/>
                <w:szCs w:val="21"/>
              </w:rPr>
            </w:pPr>
            <w:r>
              <w:rPr>
                <w:rFonts w:hint="eastAsia" w:ascii="宋体" w:hAnsi="宋体"/>
                <w:szCs w:val="21"/>
              </w:rPr>
              <w:t>货物名称</w:t>
            </w:r>
          </w:p>
        </w:tc>
        <w:tc>
          <w:tcPr>
            <w:tcW w:w="1999" w:type="pct"/>
            <w:vAlign w:val="center"/>
          </w:tcPr>
          <w:p w14:paraId="090188AF">
            <w:pPr>
              <w:jc w:val="center"/>
              <w:rPr>
                <w:rFonts w:ascii="宋体"/>
                <w:szCs w:val="21"/>
              </w:rPr>
            </w:pPr>
            <w:r>
              <w:rPr>
                <w:rFonts w:hint="eastAsia" w:ascii="宋体" w:hAnsi="宋体"/>
                <w:szCs w:val="21"/>
              </w:rPr>
              <w:t>采购内容及要求</w:t>
            </w:r>
          </w:p>
        </w:tc>
        <w:tc>
          <w:tcPr>
            <w:tcW w:w="444" w:type="pct"/>
            <w:vAlign w:val="center"/>
          </w:tcPr>
          <w:p w14:paraId="7D0F43AF">
            <w:pPr>
              <w:jc w:val="center"/>
              <w:rPr>
                <w:rFonts w:ascii="宋体"/>
                <w:szCs w:val="21"/>
              </w:rPr>
            </w:pPr>
            <w:r>
              <w:rPr>
                <w:rFonts w:hint="eastAsia" w:ascii="宋体" w:hAnsi="宋体"/>
                <w:szCs w:val="21"/>
              </w:rPr>
              <w:t>货物名称</w:t>
            </w:r>
          </w:p>
        </w:tc>
        <w:tc>
          <w:tcPr>
            <w:tcW w:w="1333" w:type="pct"/>
            <w:vAlign w:val="center"/>
          </w:tcPr>
          <w:p w14:paraId="137E8F36">
            <w:pPr>
              <w:jc w:val="center"/>
              <w:rPr>
                <w:rFonts w:ascii="宋体"/>
                <w:szCs w:val="21"/>
              </w:rPr>
            </w:pPr>
            <w:r>
              <w:rPr>
                <w:rFonts w:hint="eastAsia" w:ascii="宋体" w:hAnsi="宋体"/>
                <w:szCs w:val="21"/>
              </w:rPr>
              <w:t>响应的内容及要求</w:t>
            </w:r>
          </w:p>
        </w:tc>
        <w:tc>
          <w:tcPr>
            <w:tcW w:w="426"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pct"/>
            <w:vAlign w:val="center"/>
          </w:tcPr>
          <w:p w14:paraId="7F87663E">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475" w:type="pct"/>
            <w:vAlign w:val="center"/>
          </w:tcPr>
          <w:p w14:paraId="6E11AD3C">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花生油</w:t>
            </w:r>
          </w:p>
        </w:tc>
        <w:tc>
          <w:tcPr>
            <w:tcW w:w="1999" w:type="pct"/>
            <w:vAlign w:val="center"/>
          </w:tcPr>
          <w:p w14:paraId="7E240911">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1、配料表：花生油；</w:t>
            </w:r>
          </w:p>
          <w:p w14:paraId="6006A206">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2、压榨工艺：压榨；</w:t>
            </w:r>
          </w:p>
          <w:p w14:paraId="3C0EF595">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3、产品规格：≥5L/桶；</w:t>
            </w:r>
          </w:p>
          <w:p w14:paraId="4B82D7E2">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4、执行标准：不低于国家标准GB/T 1534-2017；</w:t>
            </w:r>
          </w:p>
          <w:p w14:paraId="6FB55BA9">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5、保质期：≥18个月；</w:t>
            </w:r>
          </w:p>
          <w:p w14:paraId="42C83B7D">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6、质量等级：一级；</w:t>
            </w:r>
          </w:p>
          <w:p w14:paraId="2D07D2BF">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7、提供的产品</w:t>
            </w:r>
            <w:r>
              <w:rPr>
                <w:rFonts w:hint="eastAsia" w:ascii="宋体" w:hAnsi="宋体" w:eastAsia="宋体" w:cs="宋体"/>
                <w:kern w:val="2"/>
                <w:sz w:val="21"/>
                <w:szCs w:val="24"/>
                <w:highlight w:val="none"/>
                <w:vertAlign w:val="baseline"/>
                <w:lang w:val="en-US" w:eastAsia="zh-CN" w:bidi="ar-SA"/>
              </w:rPr>
              <w:t>具有有效的食品生产许可证编号；</w:t>
            </w:r>
          </w:p>
          <w:p w14:paraId="1D894CC4">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kern w:val="2"/>
                <w:sz w:val="21"/>
                <w:szCs w:val="24"/>
                <w:highlight w:val="none"/>
                <w:vertAlign w:val="baseline"/>
                <w:lang w:val="en-US" w:eastAsia="zh-CN" w:bidi="ar-SA"/>
              </w:rPr>
              <w:t>8、外包装要求：名牌标识清楚，外包装须符合第 75号《定量包</w:t>
            </w:r>
            <w:r>
              <w:rPr>
                <w:rFonts w:hint="eastAsia" w:ascii="Times New Roman" w:hAnsi="Times New Roman" w:eastAsia="宋体" w:cs="Times New Roman"/>
                <w:color w:val="auto"/>
                <w:kern w:val="0"/>
                <w:sz w:val="21"/>
                <w:szCs w:val="21"/>
                <w:highlight w:val="none"/>
                <w:lang w:val="en-US" w:eastAsia="zh-CN" w:bidi="ar-SA"/>
              </w:rPr>
              <w:t>装商品计量监督管理办法》的要求；</w:t>
            </w:r>
          </w:p>
          <w:p w14:paraId="2E6E6047">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9、交货时，花生油保质期不少于产品标注保质期的三分之二；</w:t>
            </w:r>
          </w:p>
          <w:p w14:paraId="0692AE7C">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10、提供响应产品检测报告：验收时提供2022年以后具有CNAS或CMA资质的第三方检测机构出具的检测报告复印件（检测标准不低于第4点产品国标执行标准）；</w:t>
            </w:r>
            <w:r>
              <w:rPr>
                <w:rFonts w:hint="eastAsia" w:ascii="Times New Roman" w:hAnsi="Times New Roman" w:eastAsia="宋体" w:cs="Times New Roman"/>
                <w:b/>
                <w:bCs/>
                <w:color w:val="auto"/>
                <w:kern w:val="0"/>
                <w:sz w:val="21"/>
                <w:szCs w:val="21"/>
                <w:highlight w:val="none"/>
                <w:lang w:val="en-US" w:eastAsia="zh-CN" w:bidi="ar-SA"/>
              </w:rPr>
              <w:t>竞标人须在响应文件中对提供的第三方检测报告真实性以书面形式进行承诺，响应文件中提供承诺函</w:t>
            </w:r>
            <w:r>
              <w:rPr>
                <w:rFonts w:hint="eastAsia" w:ascii="Times New Roman" w:hAnsi="Times New Roman" w:eastAsia="宋体" w:cs="Times New Roman"/>
                <w:color w:val="auto"/>
                <w:kern w:val="0"/>
                <w:sz w:val="21"/>
                <w:szCs w:val="21"/>
                <w:highlight w:val="none"/>
                <w:lang w:val="en-US" w:eastAsia="zh-CN" w:bidi="ar-SA"/>
              </w:rPr>
              <w:t>（格式自拟）。</w:t>
            </w:r>
          </w:p>
          <w:p w14:paraId="7F4E9B58">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eastAsia="宋体" w:cs="Times New Roman"/>
                <w:color w:val="auto"/>
                <w:kern w:val="0"/>
                <w:sz w:val="21"/>
                <w:szCs w:val="21"/>
                <w:highlight w:val="none"/>
                <w:lang w:val="en-US" w:eastAsia="zh-CN" w:bidi="ar-SA"/>
              </w:rPr>
              <w:t>11、响应供应商须提供</w:t>
            </w:r>
            <w:r>
              <w:rPr>
                <w:rFonts w:hint="eastAsia" w:ascii="Times New Roman" w:hAnsi="Times New Roman" w:eastAsia="宋体" w:cs="Times New Roman"/>
                <w:b/>
                <w:bCs/>
                <w:color w:val="auto"/>
                <w:kern w:val="0"/>
                <w:sz w:val="21"/>
                <w:szCs w:val="21"/>
                <w:highlight w:val="none"/>
                <w:lang w:val="en-US" w:eastAsia="zh-CN" w:bidi="ar-SA"/>
              </w:rPr>
              <w:t>响应产品图片</w:t>
            </w:r>
            <w:r>
              <w:rPr>
                <w:rFonts w:hint="eastAsia" w:ascii="Times New Roman" w:hAnsi="Times New Roman" w:eastAsia="宋体" w:cs="Times New Roman"/>
                <w:color w:val="auto"/>
                <w:kern w:val="0"/>
                <w:sz w:val="21"/>
                <w:szCs w:val="21"/>
                <w:highlight w:val="none"/>
                <w:lang w:val="en-US" w:eastAsia="zh-CN" w:bidi="ar-SA"/>
              </w:rPr>
              <w:t>，用于项目评审，也作为最终交货产品。</w:t>
            </w:r>
          </w:p>
        </w:tc>
        <w:tc>
          <w:tcPr>
            <w:tcW w:w="444" w:type="pct"/>
            <w:vAlign w:val="center"/>
          </w:tcPr>
          <w:p w14:paraId="28F82383">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花生油</w:t>
            </w:r>
          </w:p>
        </w:tc>
        <w:tc>
          <w:tcPr>
            <w:tcW w:w="1333" w:type="pct"/>
            <w:vAlign w:val="center"/>
          </w:tcPr>
          <w:p w14:paraId="3FA87268">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4C9DEE90">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正偏离（负偏离或无偏离）</w:t>
            </w:r>
          </w:p>
        </w:tc>
      </w:tr>
      <w:tr w14:paraId="3284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pct"/>
            <w:vAlign w:val="center"/>
          </w:tcPr>
          <w:p w14:paraId="7FD429AC">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475" w:type="pct"/>
            <w:vAlign w:val="center"/>
          </w:tcPr>
          <w:p w14:paraId="1E135B04">
            <w:pPr>
              <w:pStyle w:val="5"/>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default" w:ascii="宋体" w:hAnsi="宋体" w:eastAsia="宋体" w:cs="宋体"/>
                <w:kern w:val="2"/>
                <w:sz w:val="21"/>
                <w:highlight w:val="none"/>
                <w:vertAlign w:val="baseline"/>
                <w:lang w:val="en-US" w:eastAsia="zh-CN"/>
              </w:rPr>
              <w:t>象牙米</w:t>
            </w:r>
          </w:p>
        </w:tc>
        <w:tc>
          <w:tcPr>
            <w:tcW w:w="1999" w:type="pct"/>
            <w:vAlign w:val="center"/>
          </w:tcPr>
          <w:p w14:paraId="7872E379">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1、产品规格：≥5kg/袋；</w:t>
            </w:r>
          </w:p>
          <w:p w14:paraId="71B5D835">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2、执行标准：不低于国标执行标准 GB/T1354；</w:t>
            </w:r>
          </w:p>
          <w:p w14:paraId="08AB6B5C">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3、货物要求：无掺杂、无黄粒米、无沙石等异物，无异常色泽和异味</w:t>
            </w:r>
          </w:p>
          <w:p w14:paraId="032B855F">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4、保质期：≥12个月；</w:t>
            </w:r>
          </w:p>
          <w:p w14:paraId="5B391A9F">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5、质量等级：一级；</w:t>
            </w:r>
          </w:p>
          <w:p w14:paraId="167409F4">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6、提供产品</w:t>
            </w:r>
            <w:r>
              <w:rPr>
                <w:rFonts w:hint="eastAsia" w:ascii="宋体" w:hAnsi="宋体" w:eastAsia="宋体" w:cs="宋体"/>
                <w:kern w:val="2"/>
                <w:sz w:val="21"/>
                <w:szCs w:val="24"/>
                <w:highlight w:val="none"/>
                <w:vertAlign w:val="baseline"/>
                <w:lang w:val="en-US" w:eastAsia="zh-CN" w:bidi="ar-SA"/>
              </w:rPr>
              <w:t>具有有效的食品生产许可证编号；</w:t>
            </w:r>
          </w:p>
          <w:p w14:paraId="428A8814">
            <w:pPr>
              <w:widowControl w:val="0"/>
              <w:numPr>
                <w:ilvl w:val="0"/>
                <w:numId w:val="0"/>
              </w:numPr>
              <w:spacing w:after="120"/>
              <w:jc w:val="both"/>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kern w:val="2"/>
                <w:sz w:val="21"/>
                <w:szCs w:val="24"/>
                <w:highlight w:val="none"/>
                <w:vertAlign w:val="baseline"/>
                <w:lang w:val="en-US" w:eastAsia="zh-CN" w:bidi="ar-SA"/>
              </w:rPr>
              <w:t>7、包装</w:t>
            </w:r>
            <w:r>
              <w:rPr>
                <w:rFonts w:hint="eastAsia" w:ascii="Times New Roman" w:hAnsi="Times New Roman" w:eastAsia="宋体" w:cs="Times New Roman"/>
                <w:color w:val="auto"/>
                <w:kern w:val="0"/>
                <w:sz w:val="21"/>
                <w:szCs w:val="21"/>
                <w:highlight w:val="none"/>
                <w:lang w:val="en-US" w:eastAsia="zh-CN" w:bidi="ar-SA"/>
              </w:rPr>
              <w:t>要求：真空密封包装；</w:t>
            </w:r>
          </w:p>
          <w:p w14:paraId="6A5FDE11">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8、外包装要求：名牌标识清楚，外包装须符合第 75号《定量包装商品计量监督管理办法》的要求；</w:t>
            </w:r>
          </w:p>
          <w:p w14:paraId="4DDA9288">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9、配送时产品剩余保质期≥9个月（特殊情况下经采购人同意可调整为≥8个月）；</w:t>
            </w:r>
          </w:p>
          <w:p w14:paraId="7011932F">
            <w:pPr>
              <w:widowControl w:val="0"/>
              <w:numPr>
                <w:ilvl w:val="0"/>
                <w:numId w:val="0"/>
              </w:numPr>
              <w:spacing w:after="120"/>
              <w:jc w:val="both"/>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10、提供响应产品检测报告：验收时提供2022年以后具有CNAS或CMA资质的第三方检测机构出具的检测报告复印件（检测标准不低于第4点产品国标执行标准）；</w:t>
            </w:r>
            <w:r>
              <w:rPr>
                <w:rFonts w:hint="eastAsia" w:ascii="Times New Roman" w:hAnsi="Times New Roman" w:eastAsia="宋体" w:cs="Times New Roman"/>
                <w:b/>
                <w:bCs/>
                <w:color w:val="auto"/>
                <w:kern w:val="0"/>
                <w:sz w:val="21"/>
                <w:szCs w:val="21"/>
                <w:highlight w:val="none"/>
                <w:lang w:val="en-US" w:eastAsia="zh-CN" w:bidi="ar-SA"/>
              </w:rPr>
              <w:t>竞标人须在响应文件中对提供的第三方检测报告真实性以书面形式进行承诺，响应文件中提供承诺函</w:t>
            </w:r>
            <w:r>
              <w:rPr>
                <w:rFonts w:hint="eastAsia" w:ascii="Times New Roman" w:hAnsi="Times New Roman" w:eastAsia="宋体" w:cs="Times New Roman"/>
                <w:color w:val="auto"/>
                <w:kern w:val="0"/>
                <w:sz w:val="21"/>
                <w:szCs w:val="21"/>
                <w:highlight w:val="none"/>
                <w:lang w:val="en-US" w:eastAsia="zh-CN" w:bidi="ar-SA"/>
              </w:rPr>
              <w:t>（格式自拟）；</w:t>
            </w:r>
          </w:p>
          <w:p w14:paraId="0F2F672F">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eastAsia="宋体" w:cs="Times New Roman"/>
                <w:color w:val="auto"/>
                <w:kern w:val="0"/>
                <w:sz w:val="21"/>
                <w:szCs w:val="21"/>
                <w:highlight w:val="none"/>
                <w:lang w:val="en-US" w:eastAsia="zh-CN" w:bidi="ar-SA"/>
              </w:rPr>
              <w:t>11、响应供应商须</w:t>
            </w:r>
            <w:r>
              <w:rPr>
                <w:rFonts w:hint="eastAsia" w:ascii="Times New Roman" w:hAnsi="Times New Roman" w:eastAsia="宋体" w:cs="Times New Roman"/>
                <w:b/>
                <w:bCs/>
                <w:color w:val="auto"/>
                <w:kern w:val="0"/>
                <w:sz w:val="21"/>
                <w:szCs w:val="21"/>
                <w:highlight w:val="none"/>
                <w:lang w:val="en-US" w:eastAsia="zh-CN" w:bidi="ar-SA"/>
              </w:rPr>
              <w:t>提供供货产品图片</w:t>
            </w:r>
            <w:r>
              <w:rPr>
                <w:rFonts w:hint="eastAsia" w:ascii="Times New Roman" w:hAnsi="Times New Roman" w:eastAsia="宋体" w:cs="Times New Roman"/>
                <w:color w:val="auto"/>
                <w:kern w:val="0"/>
                <w:sz w:val="21"/>
                <w:szCs w:val="21"/>
                <w:highlight w:val="none"/>
                <w:lang w:val="en-US" w:eastAsia="zh-CN" w:bidi="ar-SA"/>
              </w:rPr>
              <w:t>，用于项目评审，也作为最终交货产品。</w:t>
            </w:r>
          </w:p>
        </w:tc>
        <w:tc>
          <w:tcPr>
            <w:tcW w:w="444" w:type="pct"/>
            <w:vAlign w:val="center"/>
          </w:tcPr>
          <w:p w14:paraId="1C995DCF">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default" w:ascii="宋体" w:hAnsi="宋体" w:eastAsia="宋体" w:cs="宋体"/>
                <w:kern w:val="2"/>
                <w:sz w:val="21"/>
                <w:highlight w:val="none"/>
                <w:vertAlign w:val="baseline"/>
                <w:lang w:val="en-US" w:eastAsia="zh-CN"/>
              </w:rPr>
              <w:t>象牙米</w:t>
            </w:r>
          </w:p>
        </w:tc>
        <w:tc>
          <w:tcPr>
            <w:tcW w:w="1333" w:type="pct"/>
            <w:vAlign w:val="center"/>
          </w:tcPr>
          <w:p w14:paraId="6F28B2FB">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33E07CD0">
            <w:pPr>
              <w:pStyle w:val="5"/>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正偏离（负偏离或无偏离）</w:t>
            </w:r>
          </w:p>
        </w:tc>
      </w:tr>
    </w:tbl>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3"/>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987"/>
        <w:gridCol w:w="2732"/>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529"/>
            <w:bookmarkStart w:id="3" w:name="_Toc18211"/>
            <w:r>
              <w:rPr>
                <w:rFonts w:hint="eastAsia" w:ascii="宋体" w:hAnsi="宋体"/>
                <w:color w:val="auto"/>
                <w:szCs w:val="21"/>
              </w:rPr>
              <w:t>序号</w:t>
            </w:r>
            <w:bookmarkEnd w:id="2"/>
            <w:bookmarkEnd w:id="3"/>
          </w:p>
        </w:tc>
        <w:tc>
          <w:tcPr>
            <w:tcW w:w="3987"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732"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987" w:type="dxa"/>
            <w:vAlign w:val="center"/>
          </w:tcPr>
          <w:p w14:paraId="4F4BA968">
            <w:pPr>
              <w:widowControl/>
              <w:shd w:val="clear" w:color="auto" w:fill="FFFFFF"/>
              <w:spacing w:line="360" w:lineRule="auto"/>
              <w:rPr>
                <w:rFonts w:ascii="仿宋" w:hAnsi="仿宋" w:eastAsia="仿宋"/>
                <w:color w:val="auto"/>
                <w:sz w:val="20"/>
                <w:szCs w:val="20"/>
              </w:rPr>
            </w:pPr>
            <w:r>
              <w:rPr>
                <w:rFonts w:hint="eastAsia" w:ascii="Times New Roman" w:hAnsi="Times New Roman"/>
                <w:color w:val="auto"/>
                <w:szCs w:val="21"/>
                <w:highlight w:val="none"/>
              </w:rPr>
              <w:t xml:space="preserve">一、合同签订期：自采购结果公告结束之日起 </w:t>
            </w:r>
            <w:r>
              <w:rPr>
                <w:rFonts w:hint="eastAsia" w:ascii="Times New Roman" w:hAnsi="Times New Roman"/>
                <w:color w:val="auto"/>
                <w:szCs w:val="21"/>
                <w:highlight w:val="none"/>
                <w:lang w:val="en-US" w:eastAsia="zh-CN"/>
              </w:rPr>
              <w:t>5</w:t>
            </w:r>
            <w:r>
              <w:rPr>
                <w:rFonts w:hint="eastAsia" w:ascii="Times New Roman" w:hAnsi="Times New Roman"/>
                <w:color w:val="auto"/>
                <w:szCs w:val="21"/>
                <w:highlight w:val="none"/>
              </w:rPr>
              <w:t>个工作日内。</w:t>
            </w:r>
          </w:p>
        </w:tc>
        <w:tc>
          <w:tcPr>
            <w:tcW w:w="2732"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987" w:type="dxa"/>
            <w:vAlign w:val="center"/>
          </w:tcPr>
          <w:p w14:paraId="685380BD">
            <w:pPr>
              <w:widowControl/>
              <w:shd w:val="clear" w:color="auto" w:fill="FFFFFF"/>
              <w:spacing w:line="360" w:lineRule="auto"/>
              <w:rPr>
                <w:rFonts w:ascii="仿宋" w:hAnsi="仿宋" w:eastAsia="仿宋" w:cs="宋体"/>
                <w:color w:val="auto"/>
                <w:sz w:val="20"/>
                <w:szCs w:val="20"/>
              </w:rPr>
            </w:pPr>
            <w:r>
              <w:rPr>
                <w:rFonts w:hint="eastAsia" w:ascii="宋体" w:hAnsi="宋体" w:eastAsia="宋体" w:cs="Times New Roman"/>
                <w:szCs w:val="21"/>
              </w:rPr>
              <w:t>二、交货期</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交货时间暂定在9月13日上午8:30将纪念品送至南宁市宾阳县体育馆，按采购人要求搬运至指定位置（具体送货时间采购人提前2个工作日通知成交供应商）</w:t>
            </w:r>
            <w:r>
              <w:rPr>
                <w:rFonts w:hint="eastAsia" w:ascii="宋体" w:hAnsi="宋体" w:eastAsia="宋体" w:cs="Times New Roman"/>
                <w:color w:val="auto"/>
                <w:szCs w:val="21"/>
                <w:highlight w:val="none"/>
              </w:rPr>
              <w:t>。</w:t>
            </w:r>
          </w:p>
        </w:tc>
        <w:tc>
          <w:tcPr>
            <w:tcW w:w="2732"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987" w:type="dxa"/>
            <w:vAlign w:val="center"/>
          </w:tcPr>
          <w:p w14:paraId="0C880BD6">
            <w:pPr>
              <w:widowControl/>
              <w:shd w:val="clear" w:color="auto" w:fill="FFFFFF"/>
              <w:spacing w:line="360" w:lineRule="auto"/>
              <w:rPr>
                <w:rFonts w:ascii="仿宋" w:hAnsi="仿宋" w:eastAsia="仿宋"/>
                <w:color w:val="auto"/>
                <w:sz w:val="20"/>
                <w:szCs w:val="20"/>
              </w:rPr>
            </w:pPr>
            <w:r>
              <w:rPr>
                <w:rFonts w:hint="eastAsia" w:ascii="宋体" w:hAnsi="宋体"/>
                <w:color w:val="auto"/>
                <w:szCs w:val="21"/>
                <w:highlight w:val="none"/>
              </w:rPr>
              <w:t>三、交货地点：</w:t>
            </w:r>
            <w:r>
              <w:rPr>
                <w:rFonts w:hint="eastAsia" w:ascii="宋体" w:hAnsi="宋体"/>
                <w:color w:val="auto"/>
                <w:szCs w:val="21"/>
                <w:highlight w:val="none"/>
                <w:lang w:val="en-US" w:eastAsia="zh-CN"/>
              </w:rPr>
              <w:t>南宁市宾阳县体育馆内（具体按采购人要求指定）</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2732"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444"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987" w:type="dxa"/>
            <w:vAlign w:val="center"/>
          </w:tcPr>
          <w:p w14:paraId="046EEF75">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四、交货方式及要求：</w:t>
            </w:r>
          </w:p>
          <w:p w14:paraId="135C5657">
            <w:pPr>
              <w:widowControl/>
              <w:shd w:val="clear" w:color="auto" w:fill="FFFFFF"/>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1、交货方式：</w:t>
            </w:r>
            <w:r>
              <w:rPr>
                <w:rFonts w:hint="eastAsia" w:ascii="宋体" w:hAnsi="宋体"/>
                <w:color w:val="auto"/>
                <w:szCs w:val="21"/>
                <w:highlight w:val="none"/>
                <w:lang w:val="en-US" w:eastAsia="zh-CN"/>
              </w:rPr>
              <w:t>采购人指定地点一次性</w:t>
            </w:r>
            <w:r>
              <w:rPr>
                <w:rFonts w:hint="eastAsia" w:ascii="宋体" w:hAnsi="宋体"/>
                <w:color w:val="auto"/>
                <w:szCs w:val="21"/>
                <w:highlight w:val="none"/>
              </w:rPr>
              <w:t>交货</w:t>
            </w:r>
            <w:r>
              <w:rPr>
                <w:rFonts w:hint="eastAsia" w:ascii="宋体" w:hAnsi="宋体"/>
                <w:color w:val="auto"/>
                <w:szCs w:val="21"/>
                <w:highlight w:val="none"/>
                <w:lang w:eastAsia="zh-CN"/>
              </w:rPr>
              <w:t>；</w:t>
            </w:r>
          </w:p>
          <w:p w14:paraId="594F3CE0">
            <w:pPr>
              <w:widowControl/>
              <w:shd w:val="clear" w:color="auto" w:fill="FFFFFF"/>
              <w:spacing w:line="360" w:lineRule="auto"/>
              <w:rPr>
                <w:rFonts w:hint="default" w:ascii="宋体" w:hAnsi="宋体"/>
                <w:color w:val="auto"/>
                <w:szCs w:val="21"/>
                <w:highlight w:val="none"/>
                <w:lang w:val="en-US"/>
              </w:rPr>
            </w:pPr>
            <w:r>
              <w:rPr>
                <w:rFonts w:hint="eastAsia" w:ascii="宋体" w:hAnsi="宋体"/>
                <w:color w:val="auto"/>
                <w:szCs w:val="21"/>
                <w:highlight w:val="none"/>
              </w:rPr>
              <w:t>2、交货要求：</w:t>
            </w:r>
            <w:r>
              <w:rPr>
                <w:rFonts w:hint="eastAsia" w:ascii="宋体" w:hAnsi="宋体"/>
                <w:color w:val="auto"/>
                <w:szCs w:val="21"/>
                <w:highlight w:val="none"/>
                <w:lang w:val="en-US" w:eastAsia="zh-CN"/>
              </w:rPr>
              <w:t>因采购的产品为应急招募活动所必备物资，要求成交供应商应在采购人要求时间内交付货物，供应商须提前备货保障活动当天按时供货，如逾期供货视为成交供应商违约，每逾期10分钟按300元计收供应商违约金，并按合同约定追究成交供应商相关违约责任（本条款与合同约定不一致的，按本采购需求执行）。</w:t>
            </w:r>
          </w:p>
          <w:p w14:paraId="6615A97C">
            <w:pPr>
              <w:widowControl/>
              <w:shd w:val="clear" w:color="auto" w:fill="FFFFFF"/>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货物到达</w:t>
            </w:r>
            <w:r>
              <w:rPr>
                <w:rFonts w:hint="eastAsia" w:ascii="宋体" w:hAnsi="宋体"/>
                <w:color w:val="auto"/>
                <w:szCs w:val="21"/>
                <w:highlight w:val="none"/>
                <w:lang w:val="en-US" w:eastAsia="zh-CN"/>
              </w:rPr>
              <w:t>指定交货地点</w:t>
            </w:r>
            <w:r>
              <w:rPr>
                <w:rFonts w:hint="eastAsia" w:ascii="宋体" w:hAnsi="宋体"/>
                <w:color w:val="auto"/>
                <w:szCs w:val="21"/>
                <w:highlight w:val="none"/>
              </w:rPr>
              <w:t>后，</w:t>
            </w:r>
            <w:r>
              <w:rPr>
                <w:rFonts w:hint="eastAsia" w:ascii="宋体" w:hAnsi="宋体"/>
                <w:color w:val="auto"/>
                <w:szCs w:val="21"/>
                <w:highlight w:val="none"/>
                <w:lang w:val="en-US" w:eastAsia="zh-CN"/>
              </w:rPr>
              <w:t>成交供应商</w:t>
            </w:r>
            <w:r>
              <w:rPr>
                <w:rFonts w:hint="eastAsia" w:ascii="宋体" w:hAnsi="宋体"/>
                <w:color w:val="auto"/>
                <w:szCs w:val="21"/>
                <w:highlight w:val="none"/>
              </w:rPr>
              <w:t>和采购人应在现场进行清点</w:t>
            </w:r>
            <w:r>
              <w:rPr>
                <w:rFonts w:hint="eastAsia" w:ascii="宋体" w:hAnsi="宋体"/>
                <w:color w:val="auto"/>
                <w:szCs w:val="21"/>
                <w:highlight w:val="none"/>
                <w:lang w:val="en-US" w:eastAsia="zh-CN"/>
              </w:rPr>
              <w:t>核对</w:t>
            </w:r>
            <w:r>
              <w:rPr>
                <w:rFonts w:hint="eastAsia" w:ascii="宋体" w:hAnsi="宋体"/>
                <w:color w:val="auto"/>
                <w:szCs w:val="21"/>
                <w:highlight w:val="none"/>
              </w:rPr>
              <w:t>，</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核对配送产品与验收合格样品是否一致</w:t>
            </w:r>
            <w:r>
              <w:rPr>
                <w:rFonts w:hint="eastAsia" w:ascii="宋体" w:hAnsi="宋体"/>
                <w:color w:val="auto"/>
                <w:szCs w:val="21"/>
                <w:highlight w:val="none"/>
                <w:lang w:eastAsia="zh-CN"/>
              </w:rPr>
              <w:t>）</w:t>
            </w:r>
            <w:r>
              <w:rPr>
                <w:rFonts w:hint="eastAsia" w:ascii="宋体" w:hAnsi="宋体"/>
                <w:color w:val="auto"/>
                <w:szCs w:val="21"/>
                <w:highlight w:val="none"/>
              </w:rPr>
              <w:t>清点过程中如果发现因包装或运输不当引起的产品外观或内部的损坏，</w:t>
            </w:r>
            <w:r>
              <w:rPr>
                <w:rFonts w:hint="eastAsia" w:ascii="宋体" w:hAnsi="宋体"/>
                <w:color w:val="auto"/>
                <w:szCs w:val="21"/>
                <w:highlight w:val="none"/>
                <w:lang w:val="en-US" w:eastAsia="zh-CN"/>
              </w:rPr>
              <w:t>成交供应商</w:t>
            </w:r>
            <w:r>
              <w:rPr>
                <w:rFonts w:hint="eastAsia" w:ascii="宋体" w:hAnsi="宋体"/>
                <w:color w:val="auto"/>
                <w:szCs w:val="21"/>
                <w:highlight w:val="none"/>
              </w:rPr>
              <w:t>应负责更换，若发现错发/漏发情况，</w:t>
            </w:r>
            <w:r>
              <w:rPr>
                <w:rFonts w:hint="eastAsia" w:ascii="宋体" w:hAnsi="宋体"/>
                <w:color w:val="auto"/>
                <w:szCs w:val="21"/>
                <w:highlight w:val="none"/>
                <w:lang w:val="en-US" w:eastAsia="zh-CN"/>
              </w:rPr>
              <w:t>成交供应商</w:t>
            </w:r>
            <w:r>
              <w:rPr>
                <w:rFonts w:hint="eastAsia" w:ascii="宋体" w:hAnsi="宋体"/>
                <w:color w:val="auto"/>
                <w:szCs w:val="21"/>
                <w:highlight w:val="none"/>
              </w:rPr>
              <w:t>应负责更换和补发。</w:t>
            </w:r>
          </w:p>
          <w:p w14:paraId="6B5DEB6C">
            <w:pPr>
              <w:widowControl/>
              <w:shd w:val="clear" w:color="auto" w:fill="FFFFFF"/>
              <w:spacing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r>
              <w:rPr>
                <w:rFonts w:hint="eastAsia"/>
                <w:color w:val="auto"/>
                <w:highlight w:val="none"/>
                <w:lang w:val="en-US" w:eastAsia="zh-CN"/>
              </w:rPr>
              <w:t>成交供应商</w:t>
            </w:r>
            <w:r>
              <w:rPr>
                <w:rFonts w:hint="eastAsia"/>
                <w:color w:val="auto"/>
                <w:highlight w:val="none"/>
              </w:rPr>
              <w:t>必须保证提供原产、全新的品牌正品，不得采用假冒及伪劣产品替代，如出现上述情形，采购人有权退货；造成社会不良影响的，采购人有权要求成交供应商通过各种途径积极消除不良影响，包括通过媒体公开道歉等，如同时造成经济损失的，成交供应商负责予以赔偿，采购人同时保留追诉相关法律责任的权利。</w:t>
            </w:r>
          </w:p>
          <w:p w14:paraId="5033BAA9">
            <w:pPr>
              <w:spacing w:line="276" w:lineRule="auto"/>
              <w:rPr>
                <w:rFonts w:ascii="仿宋" w:hAnsi="仿宋" w:eastAsia="仿宋"/>
                <w:bCs/>
                <w:color w:val="auto"/>
                <w:sz w:val="20"/>
                <w:szCs w:val="20"/>
              </w:rPr>
            </w:pPr>
            <w:r>
              <w:rPr>
                <w:rFonts w:ascii="Times New Roman" w:hAnsi="Times New Roman"/>
                <w:color w:val="auto"/>
                <w:szCs w:val="21"/>
                <w:highlight w:val="none"/>
              </w:rPr>
              <w:t xml:space="preserve"> </w:t>
            </w:r>
          </w:p>
        </w:tc>
        <w:tc>
          <w:tcPr>
            <w:tcW w:w="273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987" w:type="dxa"/>
            <w:vAlign w:val="center"/>
          </w:tcPr>
          <w:p w14:paraId="68D12D8C">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五、验收方式及要求：</w:t>
            </w:r>
          </w:p>
          <w:p w14:paraId="36533DFE">
            <w:pPr>
              <w:widowControl/>
              <w:shd w:val="clear" w:color="auto" w:fill="FFFFFF"/>
              <w:spacing w:line="360" w:lineRule="auto"/>
              <w:rPr>
                <w:rFonts w:hint="eastAsia" w:ascii="宋体" w:hAnsi="宋体"/>
                <w:color w:val="auto"/>
                <w:szCs w:val="21"/>
                <w:highlight w:val="none"/>
              </w:rPr>
            </w:pPr>
            <w:r>
              <w:rPr>
                <w:rFonts w:hint="eastAsia" w:ascii="宋体" w:hAnsi="宋体"/>
                <w:color w:val="auto"/>
                <w:szCs w:val="21"/>
                <w:highlight w:val="none"/>
              </w:rPr>
              <w:t>1、验收方式：</w:t>
            </w:r>
            <w:r>
              <w:rPr>
                <w:rFonts w:hint="eastAsia" w:ascii="宋体" w:hAnsi="宋体"/>
                <w:color w:val="auto"/>
                <w:szCs w:val="21"/>
                <w:highlight w:val="none"/>
                <w:lang w:val="en-US" w:eastAsia="zh-CN"/>
              </w:rPr>
              <w:t>交货前五个工作日供应商须提供交付产品同生产批次的部分产品（如同一产品有多个生产批次，则每一批次均需提供部分产品验收，具体验收数量由采购人确定）供采购人验收</w:t>
            </w:r>
            <w:r>
              <w:rPr>
                <w:rFonts w:hint="eastAsia" w:ascii="宋体" w:hAnsi="宋体"/>
                <w:color w:val="auto"/>
                <w:szCs w:val="21"/>
                <w:highlight w:val="none"/>
              </w:rPr>
              <w:t>，因验收产生的纪念品损耗由成交供应商承担。</w:t>
            </w:r>
          </w:p>
          <w:p w14:paraId="5762CA2E">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交货时，所有产品均严格按采购文件上的技术参数要求，采购人按</w:t>
            </w:r>
            <w:r>
              <w:rPr>
                <w:rFonts w:hint="eastAsia" w:ascii="宋体" w:hAnsi="宋体"/>
                <w:color w:val="auto"/>
                <w:szCs w:val="21"/>
                <w:highlight w:val="none"/>
                <w:lang w:val="en-US" w:eastAsia="zh-CN"/>
              </w:rPr>
              <w:t>成交供应商</w:t>
            </w:r>
            <w:r>
              <w:rPr>
                <w:rFonts w:hint="eastAsia" w:ascii="宋体" w:hAnsi="宋体"/>
                <w:color w:val="auto"/>
                <w:szCs w:val="21"/>
                <w:highlight w:val="none"/>
              </w:rPr>
              <w:t>响应和承诺的技术参数及性能和国家有关标准进行验收，达不到要求的不予验收，视为产品验收不合格，并且保留追究成交供应商虚假响应的法律责任。</w:t>
            </w:r>
          </w:p>
          <w:p w14:paraId="51AED89F">
            <w:pPr>
              <w:widowControl/>
              <w:shd w:val="clear" w:color="auto" w:fill="FFFFFF"/>
              <w:spacing w:line="360" w:lineRule="auto"/>
              <w:rPr>
                <w:rFonts w:ascii="仿宋" w:hAnsi="仿宋" w:eastAsia="仿宋"/>
                <w:bCs/>
                <w:color w:val="auto"/>
                <w:sz w:val="20"/>
                <w:szCs w:val="20"/>
              </w:rPr>
            </w:pPr>
            <w:r>
              <w:rPr>
                <w:rFonts w:hint="eastAsia" w:ascii="宋体" w:hAnsi="宋体"/>
                <w:color w:val="auto"/>
                <w:szCs w:val="21"/>
                <w:highlight w:val="none"/>
                <w:lang w:val="en-US" w:eastAsia="zh-CN"/>
              </w:rPr>
              <w:t>3</w:t>
            </w:r>
            <w:r>
              <w:rPr>
                <w:rFonts w:hint="eastAsia" w:ascii="宋体" w:hAnsi="宋体"/>
                <w:color w:val="auto"/>
                <w:szCs w:val="21"/>
                <w:highlight w:val="none"/>
              </w:rPr>
              <w:t>、按</w:t>
            </w:r>
            <w:r>
              <w:rPr>
                <w:rFonts w:hint="eastAsia" w:ascii="宋体" w:hAnsi="宋体"/>
                <w:color w:val="auto"/>
                <w:szCs w:val="21"/>
                <w:highlight w:val="none"/>
                <w:lang w:val="en-US" w:eastAsia="zh-CN"/>
              </w:rPr>
              <w:t>采购人</w:t>
            </w:r>
            <w:r>
              <w:rPr>
                <w:rFonts w:hint="eastAsia" w:ascii="宋体" w:hAnsi="宋体"/>
                <w:color w:val="auto"/>
                <w:szCs w:val="21"/>
                <w:highlight w:val="none"/>
              </w:rPr>
              <w:t>要求供货到现场(包括包装、卸货及搬运)。</w:t>
            </w:r>
          </w:p>
        </w:tc>
        <w:tc>
          <w:tcPr>
            <w:tcW w:w="273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987" w:type="dxa"/>
            <w:vAlign w:val="center"/>
          </w:tcPr>
          <w:p w14:paraId="0B3BA946">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六、售后服务要求：</w:t>
            </w:r>
          </w:p>
          <w:p w14:paraId="4E19E9C4">
            <w:pPr>
              <w:widowControl/>
              <w:shd w:val="clear" w:color="auto" w:fill="FFFFFF"/>
              <w:spacing w:line="360" w:lineRule="auto"/>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质量保证期内</w:t>
            </w:r>
            <w:r>
              <w:rPr>
                <w:rFonts w:hint="eastAsia" w:ascii="宋体" w:hAnsi="宋体"/>
                <w:color w:val="auto"/>
                <w:szCs w:val="21"/>
                <w:highlight w:val="none"/>
              </w:rPr>
              <w:t>售后服务严格按照国家消费者协会三包法规定执行，送货途中若出现破损的，成交供应商应立即免费更换，并保证供货进度不受影响。</w:t>
            </w:r>
          </w:p>
          <w:p w14:paraId="1688BC24">
            <w:pPr>
              <w:widowControl/>
              <w:shd w:val="clear" w:color="auto" w:fill="FFFFFF"/>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成交供应商需保证供货产品质量、生产厂家等与</w:t>
            </w:r>
            <w:r>
              <w:rPr>
                <w:rFonts w:hint="eastAsia" w:ascii="宋体" w:hAnsi="宋体"/>
                <w:color w:val="auto"/>
                <w:szCs w:val="21"/>
                <w:highlight w:val="none"/>
                <w:lang w:val="en-US" w:eastAsia="zh-CN"/>
              </w:rPr>
              <w:t>响应文件中提供的图片</w:t>
            </w:r>
            <w:r>
              <w:rPr>
                <w:rFonts w:hint="eastAsia" w:ascii="宋体" w:hAnsi="宋体"/>
                <w:color w:val="auto"/>
                <w:szCs w:val="21"/>
                <w:highlight w:val="none"/>
              </w:rPr>
              <w:t>一致。若出现同类产品替代等行为，视为违约。</w:t>
            </w:r>
          </w:p>
          <w:p w14:paraId="34C729C5">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2、服务响应时间：对于服务请求，须在 20 分钟内响应；一般问题 8小时内解决；对于重大问题不能超过 48 小时解决且要求 4 小时内到现场服务。</w:t>
            </w:r>
          </w:p>
          <w:p w14:paraId="7CCB220B">
            <w:pPr>
              <w:rPr>
                <w:rFonts w:ascii="仿宋" w:hAnsi="仿宋" w:eastAsia="仿宋"/>
                <w:color w:val="auto"/>
                <w:sz w:val="20"/>
                <w:szCs w:val="20"/>
              </w:rPr>
            </w:pPr>
          </w:p>
        </w:tc>
        <w:tc>
          <w:tcPr>
            <w:tcW w:w="2732"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4D42980E">
            <w:pPr>
              <w:adjustRightInd w:val="0"/>
              <w:snapToGrid w:val="0"/>
              <w:spacing w:line="400" w:lineRule="exact"/>
              <w:jc w:val="center"/>
              <w:outlineLvl w:val="0"/>
              <w:rPr>
                <w:rFonts w:hint="eastAsia" w:ascii="宋体" w:hAnsi="宋体"/>
                <w:color w:val="auto"/>
                <w:szCs w:val="21"/>
              </w:rPr>
            </w:pPr>
          </w:p>
        </w:tc>
        <w:tc>
          <w:tcPr>
            <w:tcW w:w="3987" w:type="dxa"/>
            <w:vAlign w:val="center"/>
          </w:tcPr>
          <w:p w14:paraId="3D0DD95E">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七、其他要求：</w:t>
            </w:r>
          </w:p>
          <w:p w14:paraId="6F8AF1A1">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响应</w:t>
            </w:r>
            <w:r>
              <w:rPr>
                <w:rFonts w:hint="eastAsia" w:ascii="宋体" w:hAnsi="宋体"/>
                <w:color w:val="auto"/>
                <w:szCs w:val="21"/>
                <w:highlight w:val="none"/>
              </w:rPr>
              <w:t>报价为采购人指定地点的现场交货价，包括：</w:t>
            </w:r>
          </w:p>
          <w:p w14:paraId="146023E3">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（1）货物的价格；</w:t>
            </w:r>
          </w:p>
          <w:p w14:paraId="100DAED1">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（2）货物的标准附件配件、备品备件、专用工具的价格；</w:t>
            </w:r>
          </w:p>
          <w:p w14:paraId="01654708">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（3）运输、装卸、搬运、技术支持、售后服务等费用；</w:t>
            </w:r>
          </w:p>
          <w:p w14:paraId="7AC48C76">
            <w:pPr>
              <w:widowControl/>
              <w:shd w:val="clear" w:color="auto" w:fill="FFFFFF"/>
              <w:spacing w:line="360" w:lineRule="auto"/>
              <w:rPr>
                <w:rFonts w:ascii="宋体" w:hAnsi="宋体"/>
                <w:color w:val="auto"/>
                <w:szCs w:val="21"/>
                <w:highlight w:val="none"/>
              </w:rPr>
            </w:pPr>
            <w:r>
              <w:rPr>
                <w:rFonts w:hint="eastAsia" w:ascii="宋体" w:hAnsi="宋体"/>
                <w:color w:val="auto"/>
                <w:szCs w:val="21"/>
                <w:highlight w:val="none"/>
              </w:rPr>
              <w:t>（4）必要的保险费用和各项税费。</w:t>
            </w:r>
          </w:p>
          <w:p w14:paraId="507D504F">
            <w:pPr>
              <w:pStyle w:val="2"/>
              <w:spacing w:line="360" w:lineRule="auto"/>
              <w:rPr>
                <w:rFonts w:hint="eastAsia" w:ascii="宋体" w:hAnsi="宋体" w:eastAsia="宋体" w:cs="Times New Roman"/>
                <w:color w:val="auto"/>
                <w:sz w:val="21"/>
                <w:szCs w:val="21"/>
                <w:highlight w:val="none"/>
              </w:rPr>
            </w:pPr>
            <w:r>
              <w:rPr>
                <w:rFonts w:hint="eastAsia" w:ascii="宋体" w:hAnsi="宋体"/>
                <w:color w:val="auto"/>
                <w:sz w:val="21"/>
                <w:szCs w:val="21"/>
                <w:highlight w:val="none"/>
              </w:rPr>
              <w:t>2、付款方式：本项目无预付款，货物</w:t>
            </w:r>
            <w:r>
              <w:rPr>
                <w:rFonts w:hint="eastAsia" w:ascii="宋体" w:hAnsi="宋体"/>
                <w:color w:val="auto"/>
                <w:sz w:val="21"/>
                <w:szCs w:val="21"/>
                <w:highlight w:val="none"/>
                <w:lang w:val="en-US" w:eastAsia="zh-CN"/>
              </w:rPr>
              <w:t>交货完毕并经采购人</w:t>
            </w:r>
            <w:r>
              <w:rPr>
                <w:rFonts w:hint="eastAsia" w:ascii="宋体" w:hAnsi="宋体"/>
                <w:color w:val="auto"/>
                <w:sz w:val="21"/>
                <w:szCs w:val="21"/>
                <w:highlight w:val="none"/>
              </w:rPr>
              <w:t>验收合格后，采购人</w:t>
            </w:r>
            <w:r>
              <w:rPr>
                <w:rFonts w:hint="eastAsia" w:ascii="宋体" w:hAnsi="宋体"/>
                <w:color w:val="auto"/>
                <w:sz w:val="21"/>
                <w:szCs w:val="21"/>
                <w:highlight w:val="none"/>
                <w:lang w:val="en-US" w:eastAsia="zh-CN"/>
              </w:rPr>
              <w:t>一次性</w:t>
            </w:r>
            <w:r>
              <w:rPr>
                <w:rFonts w:hint="eastAsia" w:ascii="宋体" w:hAnsi="宋体" w:eastAsia="宋体" w:cs="Times New Roman"/>
                <w:color w:val="auto"/>
                <w:sz w:val="21"/>
                <w:szCs w:val="21"/>
                <w:highlight w:val="none"/>
                <w:lang w:val="en-US" w:eastAsia="zh-CN"/>
              </w:rPr>
              <w:t>支付合同款</w:t>
            </w:r>
            <w:r>
              <w:rPr>
                <w:rFonts w:hint="eastAsia" w:ascii="宋体" w:hAnsi="宋体" w:eastAsia="宋体" w:cs="Times New Roman"/>
                <w:color w:val="auto"/>
                <w:sz w:val="21"/>
                <w:szCs w:val="21"/>
                <w:highlight w:val="none"/>
              </w:rPr>
              <w:t>（付款前</w:t>
            </w:r>
            <w:r>
              <w:rPr>
                <w:rFonts w:hint="eastAsia" w:ascii="宋体" w:hAnsi="宋体" w:eastAsia="宋体" w:cs="Times New Roman"/>
                <w:color w:val="auto"/>
                <w:sz w:val="21"/>
                <w:szCs w:val="21"/>
                <w:highlight w:val="none"/>
                <w:lang w:val="en-US" w:eastAsia="zh-CN"/>
              </w:rPr>
              <w:t>成交供应商</w:t>
            </w:r>
            <w:r>
              <w:rPr>
                <w:rFonts w:hint="eastAsia" w:ascii="宋体" w:hAnsi="宋体" w:eastAsia="宋体" w:cs="Times New Roman"/>
                <w:color w:val="auto"/>
                <w:sz w:val="21"/>
                <w:szCs w:val="21"/>
                <w:highlight w:val="none"/>
              </w:rPr>
              <w:t>需开具等额合规的增值税发票）。</w:t>
            </w:r>
          </w:p>
          <w:p w14:paraId="01C8F48E">
            <w:pPr>
              <w:pStyle w:val="2"/>
              <w:spacing w:line="360" w:lineRule="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合同期间若出现以下情况，视为违约，采购人有权按照合同</w:t>
            </w:r>
            <w:r>
              <w:rPr>
                <w:rFonts w:hint="eastAsia" w:ascii="宋体" w:hAnsi="宋体" w:eastAsia="宋体" w:cs="Times New Roman"/>
                <w:color w:val="auto"/>
                <w:sz w:val="21"/>
                <w:szCs w:val="21"/>
                <w:highlight w:val="none"/>
                <w:lang w:val="en-US" w:eastAsia="zh-CN"/>
              </w:rPr>
              <w:t>和本采购需求</w:t>
            </w:r>
            <w:r>
              <w:rPr>
                <w:rFonts w:hint="eastAsia" w:ascii="宋体" w:hAnsi="宋体" w:eastAsia="宋体" w:cs="Times New Roman"/>
                <w:color w:val="auto"/>
                <w:sz w:val="21"/>
                <w:szCs w:val="21"/>
                <w:highlight w:val="none"/>
              </w:rPr>
              <w:t>约定从合同款中扣除相应违约金或终止合同：</w:t>
            </w:r>
          </w:p>
          <w:p w14:paraId="27C2D212">
            <w:pPr>
              <w:pStyle w:val="2"/>
              <w:spacing w:line="360" w:lineRule="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lang w:val="en-US" w:eastAsia="zh-CN"/>
              </w:rPr>
              <w:t>产品</w:t>
            </w:r>
            <w:r>
              <w:rPr>
                <w:rFonts w:hint="eastAsia" w:ascii="宋体" w:hAnsi="宋体" w:eastAsia="宋体" w:cs="Times New Roman"/>
                <w:color w:val="auto"/>
                <w:sz w:val="21"/>
                <w:szCs w:val="21"/>
                <w:highlight w:val="none"/>
              </w:rPr>
              <w:t>与订单或方案不一致；</w:t>
            </w:r>
          </w:p>
          <w:p w14:paraId="5B7F3970">
            <w:pPr>
              <w:widowControl/>
              <w:shd w:val="clear" w:color="auto" w:fill="FFFFFF"/>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（2）逾期送达的；</w:t>
            </w:r>
          </w:p>
          <w:p w14:paraId="32435AC5">
            <w:pPr>
              <w:rPr>
                <w:rFonts w:ascii="仿宋" w:hAnsi="仿宋" w:eastAsia="仿宋"/>
                <w:color w:val="auto"/>
                <w:sz w:val="20"/>
                <w:szCs w:val="20"/>
              </w:rPr>
            </w:pPr>
            <w:r>
              <w:rPr>
                <w:rFonts w:hint="eastAsia" w:ascii="宋体" w:hAnsi="宋体" w:eastAsia="宋体" w:cs="Times New Roman"/>
                <w:color w:val="auto"/>
                <w:szCs w:val="21"/>
                <w:highlight w:val="none"/>
              </w:rPr>
              <w:t>（3）履行售后服务不及时或不履行售后服务的</w:t>
            </w:r>
            <w:r>
              <w:rPr>
                <w:rFonts w:hint="eastAsia" w:ascii="宋体" w:hAnsi="宋体" w:eastAsia="宋体" w:cs="Times New Roman"/>
                <w:color w:val="auto"/>
                <w:szCs w:val="21"/>
                <w:highlight w:val="none"/>
                <w:lang w:eastAsia="zh-CN"/>
              </w:rPr>
              <w:t>。</w:t>
            </w:r>
          </w:p>
        </w:tc>
        <w:tc>
          <w:tcPr>
            <w:tcW w:w="2732"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ascii="宋体" w:hAnsi="宋体"/>
                <w:color w:val="auto"/>
                <w:sz w:val="16"/>
                <w:szCs w:val="16"/>
              </w:rPr>
              <w:t>正偏离（负偏离或无偏离）</w:t>
            </w:r>
          </w:p>
        </w:tc>
      </w:tr>
    </w:tbl>
    <w:p w14:paraId="294D6190">
      <w:pPr>
        <w:pStyle w:val="7"/>
        <w:spacing w:line="400" w:lineRule="exact"/>
        <w:rPr>
          <w:rFonts w:hAnsi="宋体" w:cs="宋体"/>
          <w:color w:val="auto"/>
        </w:rPr>
      </w:pPr>
    </w:p>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3EAA5A05">
      <w:pPr>
        <w:pStyle w:val="7"/>
        <w:spacing w:line="400" w:lineRule="exact"/>
        <w:ind w:left="689" w:leftChars="228" w:hanging="210" w:hangingChars="100"/>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1B3752F1">
      <w:pPr>
        <w:pStyle w:val="7"/>
        <w:spacing w:line="400" w:lineRule="exact"/>
        <w:rPr>
          <w:rFonts w:hint="eastAsia" w:hAnsi="宋体" w:cs="宋体"/>
          <w:color w:val="auto"/>
        </w:rPr>
      </w:pPr>
    </w:p>
    <w:p w14:paraId="7F80F59B">
      <w:pPr>
        <w:pStyle w:val="7"/>
        <w:spacing w:line="400" w:lineRule="exact"/>
        <w:rPr>
          <w:rFonts w:hAnsi="宋体" w:cs="宋体"/>
          <w:color w:val="auto"/>
        </w:rPr>
      </w:pPr>
      <w:r>
        <w:rPr>
          <w:rFonts w:hint="eastAsia" w:hAnsi="宋体" w:cs="宋体"/>
          <w:color w:val="auto"/>
        </w:rPr>
        <w:t>响应人（盖单位公章）：</w:t>
      </w:r>
    </w:p>
    <w:p w14:paraId="4379BA0A">
      <w:pPr>
        <w:pStyle w:val="7"/>
        <w:spacing w:line="400" w:lineRule="exact"/>
        <w:rPr>
          <w:rFonts w:hAnsi="宋体" w:cs="宋体"/>
          <w:color w:val="auto"/>
        </w:rPr>
      </w:pPr>
      <w:r>
        <w:rPr>
          <w:rFonts w:hint="eastAsia" w:hAnsi="宋体" w:cs="宋体"/>
          <w:color w:val="auto"/>
        </w:rPr>
        <w:t>法定代表人或其委托代理人（签字或盖章）：</w:t>
      </w:r>
    </w:p>
    <w:p w14:paraId="5B16F573">
      <w:pPr>
        <w:rPr>
          <w:rFonts w:hint="eastAsia" w:ascii="仿宋" w:hAnsi="仿宋" w:eastAsia="仿宋"/>
          <w:color w:val="auto"/>
          <w:sz w:val="30"/>
          <w:szCs w:val="30"/>
        </w:rPr>
      </w:pPr>
    </w:p>
    <w:p w14:paraId="71B9303F">
      <w:pPr>
        <w:pStyle w:val="7"/>
        <w:spacing w:line="560" w:lineRule="exact"/>
        <w:ind w:firstLine="560" w:firstLineChars="200"/>
        <w:rPr>
          <w:rFonts w:hint="eastAsia" w:ascii="方正公文小标宋" w:hAnsi="方正公文小标宋" w:eastAsia="方正公文小标宋" w:cs="方正公文小标宋"/>
          <w:b w:val="0"/>
          <w:bCs/>
          <w:color w:val="000000"/>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南宁中心血站2024年应急招募纪念品采购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2"/>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w:t>
      </w:r>
      <w:bookmarkStart w:id="18" w:name="_GoBack"/>
      <w:bookmarkEnd w:id="18"/>
      <w:r>
        <w:rPr>
          <w:rFonts w:hint="eastAsia" w:ascii="仿宋_GB2312" w:eastAsia="仿宋_GB2312" w:hAnsiTheme="minorHAnsi"/>
          <w:color w:val="000000"/>
          <w:sz w:val="28"/>
          <w:szCs w:val="28"/>
        </w:rPr>
        <w:t>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411BBA73">
      <w:pPr>
        <w:pStyle w:val="11"/>
        <w:ind w:left="0" w:leftChars="0" w:firstLine="0" w:firstLineChars="0"/>
        <w:jc w:val="both"/>
        <w:rPr>
          <w:rFonts w:hint="eastAsia" w:ascii="宋体" w:hAnsi="宋体"/>
          <w:color w:val="auto"/>
          <w:kern w:val="44"/>
          <w:sz w:val="44"/>
          <w:szCs w:val="44"/>
        </w:rPr>
      </w:pPr>
    </w:p>
    <w:p w14:paraId="1DCE1284">
      <w:pPr>
        <w:pStyle w:val="11"/>
        <w:ind w:firstLine="840" w:firstLineChars="30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1B89841F">
      <w:pPr>
        <w:pStyle w:val="7"/>
        <w:spacing w:line="360" w:lineRule="auto"/>
        <w:ind w:firstLine="360"/>
        <w:rPr>
          <w:rFonts w:hAnsi="宋体" w:cs="宋体"/>
        </w:rPr>
      </w:pPr>
    </w:p>
    <w:p w14:paraId="3103716D">
      <w:pPr>
        <w:pStyle w:val="11"/>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3837E35C">
      <w:pPr>
        <w:pStyle w:val="7"/>
        <w:spacing w:line="360" w:lineRule="auto"/>
        <w:ind w:firstLine="360"/>
        <w:rPr>
          <w:rFonts w:hint="eastAsia" w:hAnsi="宋体"/>
          <w:color w:val="auto"/>
        </w:rPr>
      </w:pPr>
    </w:p>
    <w:p w14:paraId="2FEB4191">
      <w:pPr>
        <w:spacing w:line="360" w:lineRule="auto"/>
        <w:jc w:val="center"/>
        <w:rPr>
          <w:rFonts w:hint="eastAsia" w:ascii="宋体" w:hAnsi="宋体"/>
          <w:b/>
          <w:bCs/>
          <w:sz w:val="52"/>
        </w:rPr>
      </w:pPr>
      <w:r>
        <w:rPr>
          <w:rFonts w:hint="eastAsia" w:ascii="宋体" w:hAnsi="宋体"/>
          <w:b/>
          <w:bCs/>
          <w:sz w:val="52"/>
        </w:rPr>
        <w:t>南 宁 中 心 血 站</w:t>
      </w:r>
    </w:p>
    <w:p w14:paraId="79E640EB">
      <w:pPr>
        <w:spacing w:line="360" w:lineRule="auto"/>
        <w:jc w:val="center"/>
        <w:rPr>
          <w:rFonts w:hint="eastAsia" w:ascii="宋体" w:hAnsi="宋体"/>
          <w:b/>
          <w:bCs/>
          <w:sz w:val="52"/>
        </w:rPr>
      </w:pPr>
      <w:r>
        <w:rPr>
          <w:rFonts w:hint="eastAsia" w:ascii="宋体" w:hAnsi="宋体"/>
          <w:b/>
          <w:bCs/>
          <w:sz w:val="52"/>
        </w:rPr>
        <w:t>（货物类）</w:t>
      </w:r>
    </w:p>
    <w:p w14:paraId="4D745115">
      <w:pPr>
        <w:pStyle w:val="5"/>
        <w:rPr>
          <w:rFonts w:hint="eastAsia"/>
        </w:rPr>
      </w:pPr>
    </w:p>
    <w:p w14:paraId="1B2CD52D">
      <w:pPr>
        <w:spacing w:line="360" w:lineRule="auto"/>
        <w:ind w:firstLine="420" w:firstLineChars="200"/>
        <w:rPr>
          <w:rFonts w:hint="eastAsia" w:ascii="宋体" w:hAnsi="宋体"/>
        </w:rPr>
      </w:pPr>
      <w:r>
        <w:rPr>
          <w:rFonts w:hint="eastAsia" w:ascii="宋体" w:hAnsi="宋体"/>
        </w:rPr>
        <w:t xml:space="preserve">                                                 </w:t>
      </w:r>
    </w:p>
    <w:p w14:paraId="3C321E58">
      <w:pPr>
        <w:spacing w:line="360" w:lineRule="auto"/>
        <w:jc w:val="center"/>
        <w:rPr>
          <w:rFonts w:hint="eastAsia" w:ascii="宋体" w:hAnsi="宋体"/>
          <w:b/>
          <w:bCs/>
          <w:sz w:val="44"/>
        </w:rPr>
      </w:pPr>
      <w:r>
        <w:rPr>
          <w:rFonts w:hint="eastAsia" w:ascii="宋体" w:hAnsi="宋体"/>
          <w:b/>
          <w:bCs/>
          <w:sz w:val="44"/>
          <w:u w:val="single"/>
        </w:rPr>
        <w:t xml:space="preserve">                    </w:t>
      </w:r>
      <w:r>
        <w:rPr>
          <w:rFonts w:hint="eastAsia" w:ascii="宋体" w:hAnsi="宋体"/>
          <w:b/>
          <w:bCs/>
          <w:sz w:val="44"/>
        </w:rPr>
        <w:t>合同</w:t>
      </w:r>
    </w:p>
    <w:p w14:paraId="78E95E8D">
      <w:pPr>
        <w:spacing w:line="360" w:lineRule="auto"/>
        <w:ind w:firstLine="420" w:firstLineChars="200"/>
        <w:rPr>
          <w:rFonts w:hint="eastAsia" w:ascii="宋体" w:hAnsi="宋体"/>
        </w:rPr>
      </w:pPr>
    </w:p>
    <w:p w14:paraId="3416E354">
      <w:pPr>
        <w:pStyle w:val="5"/>
        <w:rPr>
          <w:rFonts w:hint="eastAsia"/>
        </w:rPr>
      </w:pPr>
    </w:p>
    <w:p w14:paraId="7E692543">
      <w:pPr>
        <w:ind w:firstLine="1446" w:firstLineChars="400"/>
        <w:jc w:val="both"/>
        <w:rPr>
          <w:rFonts w:hint="default" w:ascii="宋体" w:hAnsi="宋体" w:eastAsia="宋体"/>
          <w:b/>
          <w:sz w:val="36"/>
          <w:szCs w:val="36"/>
          <w:u w:val="single"/>
          <w:lang w:val="en-US" w:eastAsia="zh-CN"/>
        </w:rPr>
      </w:pPr>
      <w:r>
        <w:rPr>
          <w:rFonts w:hint="eastAsia" w:ascii="宋体" w:hAnsi="宋体"/>
          <w:b/>
          <w:sz w:val="36"/>
          <w:szCs w:val="36"/>
        </w:rPr>
        <w:t>项目编号：</w:t>
      </w:r>
      <w:r>
        <w:rPr>
          <w:rFonts w:hint="eastAsia" w:ascii="宋体" w:hAnsi="宋体"/>
          <w:b/>
          <w:sz w:val="36"/>
          <w:szCs w:val="36"/>
          <w:u w:val="single"/>
          <w:lang w:val="en-US" w:eastAsia="zh-CN"/>
        </w:rPr>
        <w:t xml:space="preserve">               </w:t>
      </w:r>
    </w:p>
    <w:p w14:paraId="70B6977E">
      <w:pPr>
        <w:rPr>
          <w:rFonts w:hint="eastAsia" w:ascii="宋体" w:hAnsi="宋体"/>
          <w:sz w:val="44"/>
        </w:rPr>
      </w:pPr>
      <w:r>
        <w:rPr>
          <w:rFonts w:hint="eastAsia" w:ascii="宋体" w:hAnsi="宋体"/>
          <w:b/>
          <w:sz w:val="36"/>
          <w:szCs w:val="36"/>
        </w:rPr>
        <w:t xml:space="preserve">     </w:t>
      </w:r>
    </w:p>
    <w:p w14:paraId="1AE22D6A">
      <w:pPr>
        <w:pStyle w:val="5"/>
        <w:rPr>
          <w:rFonts w:hint="eastAsia" w:ascii="宋体" w:hAnsi="宋体"/>
          <w:sz w:val="44"/>
        </w:rPr>
      </w:pPr>
    </w:p>
    <w:p w14:paraId="7EA89A08">
      <w:pPr>
        <w:spacing w:line="360" w:lineRule="auto"/>
        <w:ind w:firstLine="880" w:firstLineChars="200"/>
        <w:rPr>
          <w:rFonts w:hint="eastAsia" w:ascii="宋体" w:hAnsi="宋体"/>
          <w:sz w:val="44"/>
        </w:rPr>
      </w:pPr>
    </w:p>
    <w:p w14:paraId="590012E7">
      <w:pPr>
        <w:tabs>
          <w:tab w:val="left" w:pos="7200"/>
        </w:tabs>
        <w:spacing w:line="360" w:lineRule="auto"/>
        <w:rPr>
          <w:rFonts w:hint="eastAsia" w:ascii="宋体" w:hAnsi="宋体"/>
          <w:b/>
          <w:sz w:val="36"/>
          <w:szCs w:val="36"/>
          <w:u w:val="single"/>
        </w:rPr>
      </w:pPr>
      <w:r>
        <w:rPr>
          <w:rFonts w:hint="eastAsia" w:ascii="宋体" w:hAnsi="宋体"/>
          <w:b/>
          <w:sz w:val="36"/>
          <w:szCs w:val="36"/>
        </w:rPr>
        <w:t>采  购  人：</w:t>
      </w:r>
      <w:r>
        <w:rPr>
          <w:rFonts w:hint="eastAsia" w:ascii="宋体" w:hAnsi="宋体"/>
          <w:b/>
          <w:sz w:val="36"/>
          <w:szCs w:val="36"/>
          <w:u w:val="single"/>
        </w:rPr>
        <w:t xml:space="preserve">南宁中心血站            </w:t>
      </w:r>
    </w:p>
    <w:p w14:paraId="76296AC6">
      <w:pPr>
        <w:tabs>
          <w:tab w:val="left" w:pos="7380"/>
        </w:tabs>
        <w:spacing w:line="360" w:lineRule="auto"/>
        <w:rPr>
          <w:rFonts w:hint="eastAsia" w:ascii="宋体" w:hAnsi="宋体"/>
          <w:b/>
          <w:bCs/>
          <w:sz w:val="44"/>
        </w:rPr>
      </w:pPr>
      <w:r>
        <w:rPr>
          <w:rFonts w:hint="eastAsia" w:ascii="宋体" w:hAnsi="宋体"/>
          <w:b/>
          <w:sz w:val="36"/>
          <w:szCs w:val="36"/>
        </w:rPr>
        <w:t>成交供应商：</w:t>
      </w:r>
      <w:r>
        <w:rPr>
          <w:rFonts w:hint="eastAsia" w:ascii="宋体" w:hAnsi="宋体"/>
          <w:b/>
          <w:sz w:val="36"/>
          <w:szCs w:val="36"/>
          <w:u w:val="single"/>
        </w:rPr>
        <w:t xml:space="preserve">                       </w:t>
      </w:r>
      <w:r>
        <w:rPr>
          <w:rFonts w:hint="eastAsia" w:ascii="宋体" w:hAnsi="宋体"/>
          <w:b/>
          <w:bCs/>
          <w:sz w:val="44"/>
        </w:rPr>
        <w:t xml:space="preserve"> </w:t>
      </w:r>
    </w:p>
    <w:p w14:paraId="5AF1128E">
      <w:pPr>
        <w:tabs>
          <w:tab w:val="left" w:pos="7380"/>
        </w:tabs>
        <w:spacing w:line="360" w:lineRule="auto"/>
        <w:ind w:firstLine="1438" w:firstLineChars="398"/>
        <w:rPr>
          <w:rFonts w:hint="eastAsia" w:ascii="宋体" w:hAnsi="宋体"/>
          <w:b/>
          <w:spacing w:val="-14"/>
          <w:kern w:val="10"/>
          <w:sz w:val="36"/>
          <w:szCs w:val="36"/>
        </w:rPr>
      </w:pPr>
      <w:r>
        <w:rPr>
          <w:rFonts w:hint="eastAsia" w:ascii="宋体" w:hAnsi="宋体"/>
          <w:b/>
          <w:sz w:val="36"/>
          <w:szCs w:val="36"/>
        </w:rPr>
        <w:t xml:space="preserve">   </w:t>
      </w:r>
    </w:p>
    <w:p w14:paraId="223A2DCA">
      <w:pPr>
        <w:jc w:val="center"/>
        <w:rPr>
          <w:rFonts w:hint="eastAsia" w:ascii="宋体" w:hAnsi="宋体"/>
          <w:b/>
          <w:sz w:val="36"/>
          <w:szCs w:val="36"/>
        </w:rPr>
      </w:pPr>
      <w:r>
        <w:rPr>
          <w:rFonts w:hint="eastAsia" w:ascii="宋体" w:hAnsi="宋体"/>
          <w:b/>
          <w:sz w:val="36"/>
          <w:szCs w:val="36"/>
        </w:rPr>
        <w:t>目  录</w:t>
      </w:r>
    </w:p>
    <w:p w14:paraId="4FCB925E">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DCC5CB5">
      <w:pPr>
        <w:rPr>
          <w:rFonts w:hint="eastAsia" w:ascii="宋体" w:hAnsi="宋体"/>
          <w:b/>
          <w:sz w:val="30"/>
          <w:szCs w:val="30"/>
        </w:rPr>
      </w:pPr>
      <w:r>
        <w:rPr>
          <w:rFonts w:hint="eastAsia" w:ascii="宋体" w:hAnsi="宋体"/>
          <w:b/>
          <w:sz w:val="30"/>
          <w:szCs w:val="30"/>
        </w:rPr>
        <w:t>一、南宁中心血站采购合同书</w:t>
      </w:r>
    </w:p>
    <w:p w14:paraId="35954FEA">
      <w:pPr>
        <w:rPr>
          <w:rFonts w:hint="eastAsia" w:ascii="宋体" w:hAnsi="宋体"/>
          <w:b/>
          <w:sz w:val="30"/>
          <w:szCs w:val="30"/>
        </w:rPr>
      </w:pPr>
      <w:r>
        <w:rPr>
          <w:rFonts w:hint="eastAsia" w:ascii="宋体" w:hAnsi="宋体"/>
          <w:b/>
          <w:sz w:val="30"/>
          <w:szCs w:val="30"/>
        </w:rPr>
        <w:t>二、合同附件</w:t>
      </w:r>
    </w:p>
    <w:p w14:paraId="7FDFA842">
      <w:pPr>
        <w:numPr>
          <w:ilvl w:val="0"/>
          <w:numId w:val="3"/>
        </w:numPr>
        <w:rPr>
          <w:rFonts w:hint="eastAsia" w:ascii="宋体" w:hAnsi="宋体"/>
          <w:sz w:val="28"/>
        </w:rPr>
      </w:pPr>
      <w:r>
        <w:rPr>
          <w:rFonts w:hint="eastAsia" w:ascii="宋体" w:hAnsi="宋体"/>
          <w:sz w:val="28"/>
        </w:rPr>
        <w:t>采购结果公告</w:t>
      </w:r>
    </w:p>
    <w:p w14:paraId="456FEDDC">
      <w:pPr>
        <w:numPr>
          <w:ilvl w:val="0"/>
          <w:numId w:val="3"/>
        </w:numPr>
        <w:rPr>
          <w:rFonts w:hint="eastAsia" w:ascii="宋体" w:hAnsi="宋体"/>
          <w:sz w:val="28"/>
        </w:rPr>
      </w:pPr>
      <w:r>
        <w:rPr>
          <w:rFonts w:hint="eastAsia" w:ascii="宋体" w:hAnsi="宋体"/>
          <w:sz w:val="28"/>
        </w:rPr>
        <w:t>采购需求一览表</w:t>
      </w:r>
    </w:p>
    <w:p w14:paraId="79AC69F8">
      <w:pPr>
        <w:numPr>
          <w:ilvl w:val="0"/>
          <w:numId w:val="3"/>
        </w:numPr>
        <w:rPr>
          <w:rFonts w:hint="eastAsia" w:ascii="宋体" w:hAnsi="宋体"/>
          <w:sz w:val="28"/>
        </w:rPr>
      </w:pPr>
      <w:r>
        <w:rPr>
          <w:rFonts w:hint="eastAsia" w:ascii="宋体" w:hAnsi="宋体"/>
          <w:sz w:val="28"/>
        </w:rPr>
        <w:t>投标报价表</w:t>
      </w:r>
    </w:p>
    <w:p w14:paraId="00BD55FB">
      <w:pPr>
        <w:numPr>
          <w:ilvl w:val="0"/>
          <w:numId w:val="3"/>
        </w:numPr>
        <w:rPr>
          <w:rFonts w:hint="eastAsia" w:ascii="宋体" w:hAnsi="宋体"/>
          <w:sz w:val="28"/>
        </w:rPr>
      </w:pPr>
      <w:r>
        <w:rPr>
          <w:rFonts w:hint="eastAsia" w:ascii="宋体" w:hAnsi="宋体"/>
          <w:sz w:val="28"/>
          <w:lang w:eastAsia="zh-CN"/>
        </w:rPr>
        <w:t>最终</w:t>
      </w:r>
      <w:r>
        <w:rPr>
          <w:rFonts w:hint="eastAsia" w:ascii="宋体" w:hAnsi="宋体"/>
          <w:sz w:val="28"/>
        </w:rPr>
        <w:t>报价表（如有）</w:t>
      </w:r>
    </w:p>
    <w:p w14:paraId="1F30134A">
      <w:pPr>
        <w:numPr>
          <w:ilvl w:val="0"/>
          <w:numId w:val="3"/>
        </w:numPr>
        <w:rPr>
          <w:rFonts w:hint="eastAsia" w:ascii="宋体" w:hAnsi="宋体"/>
          <w:sz w:val="28"/>
          <w:u w:val="thick"/>
        </w:rPr>
      </w:pPr>
      <w:r>
        <w:rPr>
          <w:rFonts w:hint="eastAsia" w:ascii="宋体" w:hAnsi="宋体"/>
          <w:sz w:val="28"/>
        </w:rPr>
        <w:t>响应技术资料表（如有）</w:t>
      </w:r>
    </w:p>
    <w:p w14:paraId="231FF297">
      <w:pPr>
        <w:numPr>
          <w:ilvl w:val="0"/>
          <w:numId w:val="3"/>
        </w:numPr>
        <w:rPr>
          <w:rFonts w:hint="eastAsia" w:ascii="宋体" w:hAnsi="宋体"/>
          <w:sz w:val="28"/>
        </w:rPr>
      </w:pPr>
      <w:r>
        <w:rPr>
          <w:rFonts w:hint="eastAsia" w:ascii="宋体" w:hAnsi="宋体"/>
          <w:sz w:val="28"/>
        </w:rPr>
        <w:t>商务条款偏离表（如有）</w:t>
      </w:r>
    </w:p>
    <w:p w14:paraId="0354AADE">
      <w:pPr>
        <w:numPr>
          <w:ilvl w:val="0"/>
          <w:numId w:val="3"/>
        </w:numPr>
        <w:rPr>
          <w:rFonts w:hint="eastAsia" w:ascii="宋体" w:hAnsi="宋体"/>
          <w:sz w:val="28"/>
        </w:rPr>
      </w:pPr>
      <w:r>
        <w:rPr>
          <w:rFonts w:hint="eastAsia" w:ascii="宋体" w:hAnsi="宋体"/>
          <w:sz w:val="28"/>
        </w:rPr>
        <w:t>其他与本合同相关的资料（如有）</w:t>
      </w:r>
    </w:p>
    <w:p w14:paraId="2E0B4323">
      <w:pPr>
        <w:spacing w:line="360" w:lineRule="auto"/>
        <w:jc w:val="center"/>
        <w:rPr>
          <w:rFonts w:hint="eastAsia" w:ascii="宋体" w:hAnsi="宋体"/>
          <w:b/>
          <w:sz w:val="30"/>
          <w:szCs w:val="30"/>
        </w:rPr>
      </w:pPr>
    </w:p>
    <w:p w14:paraId="590BD3C8">
      <w:pPr>
        <w:spacing w:line="360" w:lineRule="auto"/>
        <w:jc w:val="center"/>
        <w:rPr>
          <w:rFonts w:hint="eastAsia" w:ascii="宋体" w:hAnsi="宋体"/>
          <w:b/>
          <w:sz w:val="30"/>
          <w:szCs w:val="30"/>
        </w:rPr>
      </w:pPr>
    </w:p>
    <w:p w14:paraId="2C688797">
      <w:pPr>
        <w:spacing w:line="360" w:lineRule="auto"/>
        <w:jc w:val="center"/>
        <w:rPr>
          <w:rFonts w:hint="eastAsia" w:ascii="宋体" w:hAnsi="宋体"/>
          <w:b/>
          <w:sz w:val="30"/>
          <w:szCs w:val="30"/>
        </w:rPr>
      </w:pPr>
    </w:p>
    <w:p w14:paraId="13891DEB">
      <w:pPr>
        <w:spacing w:line="360" w:lineRule="auto"/>
        <w:jc w:val="center"/>
        <w:rPr>
          <w:rFonts w:hint="eastAsia" w:ascii="宋体" w:hAnsi="宋体"/>
          <w:b/>
          <w:sz w:val="30"/>
          <w:szCs w:val="30"/>
        </w:rPr>
      </w:pPr>
    </w:p>
    <w:p w14:paraId="154F4779">
      <w:pPr>
        <w:spacing w:line="360" w:lineRule="auto"/>
        <w:jc w:val="center"/>
        <w:rPr>
          <w:rFonts w:hint="eastAsia" w:ascii="宋体" w:hAnsi="宋体"/>
          <w:b/>
          <w:sz w:val="30"/>
          <w:szCs w:val="30"/>
        </w:rPr>
      </w:pPr>
    </w:p>
    <w:p w14:paraId="07D6FFED">
      <w:pPr>
        <w:spacing w:line="360" w:lineRule="auto"/>
        <w:jc w:val="center"/>
        <w:rPr>
          <w:rFonts w:hint="eastAsia" w:ascii="宋体" w:hAnsi="宋体"/>
          <w:b/>
          <w:sz w:val="30"/>
          <w:szCs w:val="30"/>
        </w:rPr>
      </w:pPr>
    </w:p>
    <w:p w14:paraId="3931FC39">
      <w:pPr>
        <w:spacing w:line="360" w:lineRule="auto"/>
        <w:jc w:val="center"/>
        <w:rPr>
          <w:rFonts w:hint="eastAsia" w:ascii="宋体" w:hAnsi="宋体"/>
          <w:b/>
          <w:sz w:val="30"/>
          <w:szCs w:val="30"/>
        </w:rPr>
      </w:pPr>
    </w:p>
    <w:p w14:paraId="44E8F6E4">
      <w:pPr>
        <w:pStyle w:val="3"/>
        <w:numPr>
          <w:ilvl w:val="3"/>
          <w:numId w:val="0"/>
        </w:numPr>
        <w:ind w:left="3060" w:leftChars="0"/>
      </w:pPr>
    </w:p>
    <w:p w14:paraId="530BDD8F"/>
    <w:p w14:paraId="5517C905">
      <w:pPr>
        <w:pStyle w:val="2"/>
      </w:pPr>
    </w:p>
    <w:p w14:paraId="771EDD81">
      <w:pPr>
        <w:pStyle w:val="2"/>
      </w:pPr>
    </w:p>
    <w:p w14:paraId="1BFC38F2">
      <w:pPr>
        <w:spacing w:line="360" w:lineRule="auto"/>
        <w:jc w:val="center"/>
        <w:rPr>
          <w:rFonts w:ascii="宋体" w:hAnsi="宋体"/>
          <w:b/>
          <w:bCs/>
          <w:sz w:val="30"/>
          <w:szCs w:val="30"/>
        </w:rPr>
      </w:pPr>
      <w:r>
        <w:rPr>
          <w:rFonts w:hint="eastAsia" w:ascii="宋体" w:hAnsi="宋体"/>
          <w:b/>
          <w:sz w:val="30"/>
          <w:szCs w:val="30"/>
        </w:rPr>
        <w:t>南宁中心血站采购合同书</w:t>
      </w:r>
    </w:p>
    <w:p w14:paraId="1B0817D0">
      <w:pPr>
        <w:pStyle w:val="7"/>
        <w:jc w:val="center"/>
        <w:rPr>
          <w:rFonts w:hAnsi="宋体"/>
          <w:b/>
          <w:sz w:val="32"/>
        </w:rPr>
      </w:pPr>
    </w:p>
    <w:p w14:paraId="51B5889D">
      <w:pPr>
        <w:pStyle w:val="7"/>
        <w:spacing w:line="360" w:lineRule="auto"/>
        <w:rPr>
          <w:rFonts w:hAnsi="宋体"/>
        </w:rPr>
      </w:pPr>
      <w:r>
        <w:rPr>
          <w:rFonts w:hint="eastAsia" w:hAnsi="宋体"/>
        </w:rPr>
        <w:t xml:space="preserve">项目名称：         </w:t>
      </w:r>
    </w:p>
    <w:p w14:paraId="71273680">
      <w:pPr>
        <w:pStyle w:val="7"/>
        <w:spacing w:line="360" w:lineRule="auto"/>
        <w:rPr>
          <w:rFonts w:hint="eastAsia" w:hAnsi="宋体"/>
        </w:rPr>
      </w:pPr>
      <w:r>
        <w:rPr>
          <w:rFonts w:hint="eastAsia" w:hAnsi="宋体"/>
        </w:rPr>
        <w:t>项目编号：</w:t>
      </w:r>
      <w:r>
        <w:rPr>
          <w:rFonts w:hint="eastAsia" w:hAnsi="宋体"/>
          <w:u w:val="single"/>
        </w:rPr>
        <w:t>/</w:t>
      </w:r>
    </w:p>
    <w:p w14:paraId="2FCA394D">
      <w:pPr>
        <w:pStyle w:val="7"/>
        <w:spacing w:line="360" w:lineRule="auto"/>
        <w:rPr>
          <w:rFonts w:hint="eastAsia" w:hAnsi="宋体"/>
        </w:rPr>
      </w:pPr>
      <w:r>
        <w:rPr>
          <w:rFonts w:hint="eastAsia" w:hAnsi="宋体"/>
        </w:rPr>
        <w:t>分标号（有分标时填写）：</w:t>
      </w:r>
      <w:r>
        <w:rPr>
          <w:rFonts w:hint="eastAsia" w:hAnsi="宋体"/>
          <w:u w:val="single"/>
        </w:rPr>
        <w:t>/</w:t>
      </w:r>
    </w:p>
    <w:p w14:paraId="129C67B7">
      <w:pPr>
        <w:pStyle w:val="7"/>
        <w:spacing w:line="360" w:lineRule="auto"/>
        <w:rPr>
          <w:rFonts w:hint="eastAsia" w:hAnsi="宋体"/>
        </w:rPr>
      </w:pPr>
      <w:r>
        <w:rPr>
          <w:rFonts w:hint="eastAsia" w:hAnsi="宋体"/>
        </w:rPr>
        <w:t>甲方（买方）：</w:t>
      </w:r>
      <w:r>
        <w:rPr>
          <w:rFonts w:hint="eastAsia" w:hAnsi="宋体"/>
          <w:u w:val="single"/>
        </w:rPr>
        <w:t>南宁中心血站</w:t>
      </w:r>
    </w:p>
    <w:p w14:paraId="5D4327A5">
      <w:pPr>
        <w:pStyle w:val="7"/>
        <w:spacing w:line="360" w:lineRule="auto"/>
        <w:rPr>
          <w:rFonts w:hint="eastAsia" w:hAnsi="宋体"/>
          <w:b/>
        </w:rPr>
      </w:pPr>
      <w:r>
        <w:rPr>
          <w:rFonts w:hint="eastAsia" w:hAnsi="宋体"/>
        </w:rPr>
        <w:t>乙方（卖方）：</w:t>
      </w:r>
      <w:r>
        <w:rPr>
          <w:rFonts w:hint="eastAsia" w:hAnsi="宋体"/>
          <w:u w:val="single"/>
        </w:rPr>
        <w:t xml:space="preserve"> </w:t>
      </w:r>
      <w:r>
        <w:rPr>
          <w:rFonts w:hint="eastAsia" w:hAnsi="宋体"/>
          <w:u w:val="single"/>
          <w:lang w:val="en-US" w:eastAsia="zh-CN"/>
        </w:rPr>
        <w:t xml:space="preserve">               </w:t>
      </w:r>
      <w:r>
        <w:rPr>
          <w:rFonts w:hint="eastAsia" w:hAnsi="宋体"/>
          <w:b/>
        </w:rPr>
        <w:t xml:space="preserve"> </w:t>
      </w:r>
    </w:p>
    <w:p w14:paraId="051A0E42">
      <w:pPr>
        <w:pStyle w:val="7"/>
        <w:spacing w:line="360" w:lineRule="auto"/>
        <w:rPr>
          <w:rFonts w:hint="eastAsia" w:hAnsi="宋体"/>
          <w:b/>
        </w:rPr>
      </w:pPr>
      <w:r>
        <w:rPr>
          <w:rFonts w:hint="eastAsia" w:hAnsi="宋体"/>
        </w:rPr>
        <w:t xml:space="preserve">    根据</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rPr>
        <w:t>项目的采购结果，甲方接受乙方对本项目的响应，甲、乙双方同意签署本合同（以下简称合同）。</w:t>
      </w:r>
    </w:p>
    <w:p w14:paraId="0596A728">
      <w:pPr>
        <w:pStyle w:val="7"/>
        <w:spacing w:line="360" w:lineRule="auto"/>
        <w:rPr>
          <w:rFonts w:hint="eastAsia" w:hAnsi="宋体"/>
          <w:b/>
          <w:bCs/>
          <w:sz w:val="24"/>
          <w:szCs w:val="24"/>
        </w:rPr>
      </w:pPr>
      <w:r>
        <w:rPr>
          <w:rFonts w:hint="eastAsia" w:hAnsi="宋体"/>
          <w:b/>
          <w:bCs/>
          <w:sz w:val="24"/>
          <w:szCs w:val="24"/>
        </w:rPr>
        <w:t>1.  采购内容</w:t>
      </w:r>
    </w:p>
    <w:p w14:paraId="34FECB58">
      <w:pPr>
        <w:pStyle w:val="7"/>
        <w:tabs>
          <w:tab w:val="left" w:pos="5220"/>
        </w:tabs>
        <w:spacing w:line="360" w:lineRule="auto"/>
        <w:ind w:firstLine="360"/>
        <w:rPr>
          <w:rFonts w:hint="default" w:hAnsi="宋体" w:eastAsia="宋体"/>
          <w:lang w:val="en-US" w:eastAsia="zh-CN"/>
        </w:rPr>
      </w:pPr>
      <w:r>
        <w:rPr>
          <w:rFonts w:hint="eastAsia" w:hAnsi="宋体"/>
        </w:rPr>
        <w:t>1.1 货物名称：</w:t>
      </w:r>
      <w:r>
        <w:rPr>
          <w:rFonts w:hint="eastAsia" w:hAnsi="宋体"/>
          <w:u w:val="single"/>
          <w:lang w:val="en-US" w:eastAsia="zh-CN"/>
        </w:rPr>
        <w:t xml:space="preserve">                          </w:t>
      </w:r>
    </w:p>
    <w:p w14:paraId="404250AE">
      <w:pPr>
        <w:pStyle w:val="7"/>
        <w:spacing w:line="360" w:lineRule="auto"/>
        <w:ind w:firstLine="360"/>
        <w:rPr>
          <w:rFonts w:hint="default" w:hAnsi="宋体" w:eastAsia="宋体"/>
          <w:u w:val="single"/>
          <w:lang w:val="en-US" w:eastAsia="zh-CN"/>
        </w:rPr>
      </w:pPr>
      <w:r>
        <w:rPr>
          <w:rFonts w:hint="eastAsia" w:hAnsi="宋体"/>
        </w:rPr>
        <w:t>1.2 数量（单位）：</w:t>
      </w:r>
      <w:r>
        <w:rPr>
          <w:rFonts w:hint="eastAsia" w:hAnsi="宋体"/>
          <w:u w:val="single"/>
          <w:lang w:val="en-US" w:eastAsia="zh-CN"/>
        </w:rPr>
        <w:t xml:space="preserve">                             </w:t>
      </w:r>
    </w:p>
    <w:p w14:paraId="30C819A3">
      <w:pPr>
        <w:pStyle w:val="7"/>
        <w:spacing w:line="360" w:lineRule="auto"/>
        <w:ind w:firstLine="360"/>
        <w:rPr>
          <w:rFonts w:hint="default" w:hAnsi="宋体" w:eastAsia="宋体"/>
          <w:u w:val="single"/>
          <w:lang w:val="en-US" w:eastAsia="zh-CN"/>
        </w:rPr>
      </w:pPr>
      <w:r>
        <w:rPr>
          <w:rFonts w:hint="eastAsia" w:hAnsi="宋体"/>
        </w:rPr>
        <w:t>1.3 品牌、厂家、型号、规格、配置：</w:t>
      </w:r>
      <w:r>
        <w:rPr>
          <w:rFonts w:hint="eastAsia" w:hAnsi="宋体"/>
          <w:u w:val="single"/>
        </w:rPr>
        <w:t xml:space="preserve"> </w:t>
      </w:r>
      <w:r>
        <w:rPr>
          <w:rFonts w:hint="eastAsia" w:hAnsi="宋体"/>
          <w:u w:val="single"/>
          <w:lang w:val="en-US" w:eastAsia="zh-CN"/>
        </w:rPr>
        <w:t xml:space="preserve">                             </w:t>
      </w:r>
    </w:p>
    <w:p w14:paraId="258F4E03">
      <w:pPr>
        <w:pStyle w:val="7"/>
        <w:spacing w:line="360" w:lineRule="auto"/>
        <w:ind w:firstLine="360"/>
        <w:rPr>
          <w:rFonts w:hint="default" w:hAnsi="宋体" w:eastAsia="宋体"/>
          <w:u w:val="single"/>
          <w:lang w:val="en-US" w:eastAsia="zh-CN"/>
        </w:rPr>
      </w:pPr>
      <w:r>
        <w:rPr>
          <w:rFonts w:hint="eastAsia" w:hAnsi="宋体"/>
        </w:rPr>
        <w:t>1.4 技术参数：</w:t>
      </w:r>
      <w:r>
        <w:rPr>
          <w:rFonts w:hint="eastAsia" w:hAnsi="宋体"/>
          <w:u w:val="single"/>
          <w:lang w:val="en-US" w:eastAsia="zh-CN"/>
        </w:rPr>
        <w:t xml:space="preserve">                               </w:t>
      </w:r>
    </w:p>
    <w:p w14:paraId="261B8338">
      <w:pPr>
        <w:pStyle w:val="7"/>
        <w:spacing w:line="360" w:lineRule="auto"/>
        <w:rPr>
          <w:rFonts w:hint="eastAsia" w:hAnsi="宋体"/>
          <w:b/>
          <w:bCs/>
          <w:sz w:val="24"/>
          <w:szCs w:val="24"/>
        </w:rPr>
      </w:pPr>
      <w:r>
        <w:rPr>
          <w:rFonts w:hint="eastAsia" w:hAnsi="宋体"/>
          <w:b/>
          <w:bCs/>
          <w:sz w:val="24"/>
          <w:szCs w:val="24"/>
        </w:rPr>
        <w:t>2.  合同金额</w:t>
      </w:r>
    </w:p>
    <w:p w14:paraId="3B7ED5F1">
      <w:pPr>
        <w:pStyle w:val="7"/>
        <w:spacing w:line="360" w:lineRule="auto"/>
        <w:ind w:left="2" w:firstLine="359" w:firstLineChars="171"/>
        <w:rPr>
          <w:rFonts w:hint="eastAsia" w:hAnsi="宋体"/>
        </w:rPr>
      </w:pPr>
      <w:r>
        <w:rPr>
          <w:rFonts w:hint="eastAsia" w:hAnsi="宋体"/>
        </w:rPr>
        <w:t>2.1 本合同金额为人民币（大写）：</w:t>
      </w:r>
      <w:r>
        <w:rPr>
          <w:rFonts w:hint="eastAsia" w:hAnsi="宋体"/>
          <w:u w:val="single"/>
          <w:lang w:val="en-US" w:eastAsia="zh-CN"/>
        </w:rPr>
        <w:t xml:space="preserve">               </w:t>
      </w:r>
      <w:r>
        <w:rPr>
          <w:rFonts w:hint="eastAsia" w:hAnsi="宋体"/>
          <w:u w:val="single"/>
        </w:rPr>
        <w:t>元整</w:t>
      </w:r>
      <w:r>
        <w:rPr>
          <w:rFonts w:hint="eastAsia" w:hAnsi="宋体"/>
        </w:rPr>
        <w:t>（￥</w:t>
      </w:r>
      <w:r>
        <w:rPr>
          <w:rFonts w:hint="eastAsia" w:hAnsi="宋体"/>
          <w:u w:val="single"/>
        </w:rPr>
        <w:t>000.00</w:t>
      </w:r>
      <w:r>
        <w:rPr>
          <w:rFonts w:hint="eastAsia" w:hAnsi="宋体"/>
        </w:rPr>
        <w:t>）。（详见合同附件中投标报价表）</w:t>
      </w:r>
    </w:p>
    <w:p w14:paraId="1695940D">
      <w:pPr>
        <w:pStyle w:val="7"/>
        <w:tabs>
          <w:tab w:val="left" w:pos="5940"/>
        </w:tabs>
        <w:spacing w:line="360" w:lineRule="auto"/>
        <w:rPr>
          <w:rFonts w:hint="eastAsia" w:hAnsi="宋体"/>
          <w:b/>
          <w:bCs/>
          <w:sz w:val="24"/>
          <w:szCs w:val="24"/>
        </w:rPr>
      </w:pPr>
      <w:r>
        <w:rPr>
          <w:rFonts w:hint="eastAsia" w:hAnsi="宋体"/>
          <w:b/>
          <w:bCs/>
          <w:sz w:val="24"/>
          <w:szCs w:val="24"/>
        </w:rPr>
        <w:t>3.  交货要求</w:t>
      </w:r>
    </w:p>
    <w:p w14:paraId="0806C663">
      <w:pPr>
        <w:pStyle w:val="7"/>
        <w:tabs>
          <w:tab w:val="left" w:pos="5220"/>
        </w:tabs>
        <w:spacing w:line="360" w:lineRule="auto"/>
        <w:ind w:firstLine="360"/>
        <w:rPr>
          <w:rFonts w:hint="default" w:hAnsi="宋体" w:eastAsia="宋体"/>
          <w:bCs/>
          <w:u w:val="single"/>
          <w:lang w:val="en-US" w:eastAsia="zh-CN"/>
        </w:rPr>
      </w:pPr>
      <w:r>
        <w:rPr>
          <w:rFonts w:hint="eastAsia" w:hAnsi="宋体"/>
          <w:bCs/>
        </w:rPr>
        <w:t>3.1 交货期：</w:t>
      </w:r>
      <w:r>
        <w:rPr>
          <w:rFonts w:hint="eastAsia" w:hAnsi="宋体"/>
          <w:bCs/>
          <w:u w:val="single"/>
          <w:lang w:val="en-US" w:eastAsia="zh-CN"/>
        </w:rPr>
        <w:t xml:space="preserve">                            </w:t>
      </w:r>
    </w:p>
    <w:p w14:paraId="7A365DFC">
      <w:pPr>
        <w:pStyle w:val="7"/>
        <w:spacing w:line="360" w:lineRule="auto"/>
        <w:ind w:firstLine="360"/>
        <w:rPr>
          <w:rFonts w:hint="default" w:hAnsi="宋体" w:eastAsia="宋体"/>
          <w:bCs/>
          <w:u w:val="single"/>
          <w:lang w:val="en-US" w:eastAsia="zh-CN"/>
        </w:rPr>
      </w:pPr>
      <w:r>
        <w:rPr>
          <w:rFonts w:hint="eastAsia" w:hAnsi="宋体"/>
          <w:bCs/>
        </w:rPr>
        <w:t>3.2 交货地点：</w:t>
      </w:r>
      <w:r>
        <w:rPr>
          <w:rFonts w:hint="eastAsia" w:hAnsi="宋体"/>
          <w:bCs/>
          <w:u w:val="single"/>
          <w:lang w:val="en-US" w:eastAsia="zh-CN"/>
        </w:rPr>
        <w:t xml:space="preserve">                          </w:t>
      </w:r>
    </w:p>
    <w:p w14:paraId="6BE47644">
      <w:pPr>
        <w:pStyle w:val="7"/>
        <w:tabs>
          <w:tab w:val="left" w:pos="5220"/>
          <w:tab w:val="left" w:pos="6120"/>
        </w:tabs>
        <w:spacing w:line="360" w:lineRule="auto"/>
        <w:ind w:firstLine="360"/>
        <w:rPr>
          <w:rFonts w:hint="default" w:hAnsi="宋体" w:eastAsia="宋体"/>
          <w:bCs/>
          <w:lang w:val="en-US" w:eastAsia="zh-CN"/>
        </w:rPr>
      </w:pPr>
      <w:r>
        <w:rPr>
          <w:rFonts w:hint="eastAsia" w:hAnsi="宋体"/>
          <w:bCs/>
        </w:rPr>
        <w:t>3.3 交货方式：</w:t>
      </w:r>
      <w:r>
        <w:rPr>
          <w:rFonts w:hint="eastAsia" w:hAnsi="宋体"/>
          <w:bCs/>
          <w:u w:val="single"/>
          <w:lang w:val="en-US" w:eastAsia="zh-CN"/>
        </w:rPr>
        <w:t xml:space="preserve">                          </w:t>
      </w:r>
    </w:p>
    <w:p w14:paraId="75E33316">
      <w:pPr>
        <w:pStyle w:val="7"/>
        <w:spacing w:line="360" w:lineRule="auto"/>
        <w:ind w:firstLine="360"/>
        <w:rPr>
          <w:rFonts w:hint="eastAsia" w:hAnsi="宋体"/>
          <w:b/>
        </w:rPr>
      </w:pPr>
      <w:r>
        <w:rPr>
          <w:rFonts w:hint="eastAsia" w:hAnsi="宋体"/>
          <w:bCs/>
        </w:rPr>
        <w:t xml:space="preserve">3.4 </w:t>
      </w:r>
      <w:r>
        <w:rPr>
          <w:rFonts w:hint="eastAsia" w:hAnsi="宋体"/>
        </w:rPr>
        <w:t>乙方必须按响应文件承诺的技术参数、性能要求、质量标准等向甲方提供全新、完整、未经使用的货物。</w:t>
      </w:r>
    </w:p>
    <w:p w14:paraId="3509FD90">
      <w:pPr>
        <w:pStyle w:val="7"/>
        <w:spacing w:line="360" w:lineRule="auto"/>
        <w:rPr>
          <w:rFonts w:hint="eastAsia" w:hAnsi="宋体"/>
          <w:bCs/>
          <w:u w:val="single"/>
        </w:rPr>
      </w:pPr>
      <w:r>
        <w:rPr>
          <w:rFonts w:hint="eastAsia" w:hAnsi="宋体"/>
          <w:b/>
          <w:bCs/>
          <w:sz w:val="24"/>
          <w:szCs w:val="24"/>
        </w:rPr>
        <w:t>4.  履约保证金</w:t>
      </w:r>
      <w:r>
        <w:rPr>
          <w:rFonts w:hint="eastAsia" w:hAnsi="宋体"/>
          <w:b/>
        </w:rPr>
        <w:t>：</w:t>
      </w:r>
      <w:r>
        <w:rPr>
          <w:rFonts w:hint="eastAsia" w:hAnsi="宋体"/>
          <w:bCs/>
          <w:u w:val="single"/>
        </w:rPr>
        <w:t>无</w:t>
      </w:r>
    </w:p>
    <w:p w14:paraId="6586D5CE">
      <w:pPr>
        <w:pStyle w:val="7"/>
        <w:spacing w:line="360" w:lineRule="auto"/>
        <w:rPr>
          <w:rFonts w:hint="eastAsia" w:hAnsi="宋体"/>
          <w:b/>
          <w:bCs/>
          <w:sz w:val="24"/>
          <w:szCs w:val="24"/>
        </w:rPr>
      </w:pPr>
      <w:r>
        <w:rPr>
          <w:rFonts w:hint="eastAsia" w:hAnsi="宋体"/>
          <w:b/>
          <w:bCs/>
          <w:sz w:val="24"/>
          <w:szCs w:val="24"/>
        </w:rPr>
        <w:t>5.  质量保证及售后服务</w:t>
      </w:r>
    </w:p>
    <w:p w14:paraId="4E982951">
      <w:pPr>
        <w:pStyle w:val="7"/>
        <w:spacing w:line="360" w:lineRule="auto"/>
        <w:ind w:left="2" w:firstLine="359" w:firstLineChars="171"/>
        <w:rPr>
          <w:rFonts w:hint="eastAsia" w:hAnsi="宋体"/>
        </w:rPr>
      </w:pPr>
      <w:r>
        <w:rPr>
          <w:rFonts w:hint="eastAsia" w:hAnsi="宋体"/>
        </w:rPr>
        <w:t>5.1 质量保证期</w:t>
      </w:r>
      <w:r>
        <w:rPr>
          <w:rFonts w:hint="eastAsia" w:hAnsi="宋体"/>
          <w:u w:val="single"/>
        </w:rPr>
        <w:t xml:space="preserve"> </w:t>
      </w:r>
      <w:r>
        <w:rPr>
          <w:rFonts w:hint="eastAsia" w:hAnsi="宋体"/>
          <w:u w:val="single"/>
          <w:lang w:val="en-US" w:eastAsia="zh-CN"/>
        </w:rPr>
        <w:t xml:space="preserve">  </w:t>
      </w:r>
      <w:r>
        <w:rPr>
          <w:rFonts w:hint="eastAsia" w:hAnsi="宋体"/>
          <w:u w:val="single"/>
        </w:rPr>
        <w:t xml:space="preserve"> </w:t>
      </w:r>
      <w:r>
        <w:rPr>
          <w:rFonts w:hint="eastAsia" w:hAnsi="宋体"/>
        </w:rPr>
        <w:t>年（自交货验收合格之日起计）。</w:t>
      </w:r>
    </w:p>
    <w:p w14:paraId="53DACD91">
      <w:pPr>
        <w:pStyle w:val="7"/>
        <w:spacing w:line="360" w:lineRule="auto"/>
        <w:ind w:left="2" w:firstLine="359" w:firstLineChars="171"/>
        <w:rPr>
          <w:rFonts w:hint="eastAsia" w:hAnsi="宋体"/>
          <w:u w:val="single"/>
        </w:rPr>
      </w:pPr>
      <w:r>
        <w:rPr>
          <w:rFonts w:hint="eastAsia" w:hAnsi="宋体"/>
        </w:rPr>
        <w:t>5.2 质量保证金：</w:t>
      </w:r>
      <w:r>
        <w:rPr>
          <w:rFonts w:hint="eastAsia" w:hAnsi="宋体"/>
          <w:u w:val="single"/>
        </w:rPr>
        <w:t>无</w:t>
      </w:r>
    </w:p>
    <w:p w14:paraId="79652BB7">
      <w:pPr>
        <w:pStyle w:val="7"/>
        <w:spacing w:line="360" w:lineRule="auto"/>
        <w:ind w:firstLine="359" w:firstLineChars="171"/>
        <w:rPr>
          <w:rFonts w:hint="eastAsia" w:hAnsi="宋体"/>
        </w:rPr>
      </w:pPr>
      <w:r>
        <w:rPr>
          <w:rFonts w:hint="eastAsia" w:hAnsi="宋体"/>
        </w:rPr>
        <w:t>5.3如乙方提供的货物在使用过程中发生质量问题，乙方接到甲方故障通知后应</w:t>
      </w:r>
      <w:r>
        <w:rPr>
          <w:rFonts w:hint="eastAsia" w:hAnsi="宋体"/>
          <w:u w:val="single"/>
        </w:rPr>
        <w:t>在投标文件承诺的时间</w:t>
      </w:r>
      <w:r>
        <w:rPr>
          <w:rFonts w:hint="eastAsia" w:hAnsi="宋体"/>
        </w:rPr>
        <w:t>内到达甲方指定现场，按国家及行业标准对故障进行及时处理。</w:t>
      </w:r>
    </w:p>
    <w:p w14:paraId="24FA16EB">
      <w:pPr>
        <w:pStyle w:val="7"/>
        <w:spacing w:line="360" w:lineRule="auto"/>
        <w:ind w:firstLine="359" w:firstLineChars="171"/>
        <w:rPr>
          <w:rFonts w:hint="eastAsia" w:hAnsi="宋体"/>
        </w:rPr>
      </w:pPr>
      <w:r>
        <w:rPr>
          <w:rFonts w:hint="eastAsia" w:hAnsi="宋体"/>
        </w:rPr>
        <w:t>5.4乙方提供的货物在质量保证期内因货物质量问题发生故障，乙方应负责免费更换，并赔偿甲方损失。对达不到技术要求者，根据实际情况，甲方可按以下办法处理：</w:t>
      </w:r>
    </w:p>
    <w:p w14:paraId="43A8EBF2">
      <w:pPr>
        <w:pStyle w:val="7"/>
        <w:spacing w:line="360" w:lineRule="auto"/>
        <w:ind w:firstLine="359" w:firstLineChars="171"/>
        <w:rPr>
          <w:rFonts w:hint="eastAsia" w:hAnsi="宋体"/>
        </w:rPr>
      </w:pPr>
      <w:r>
        <w:rPr>
          <w:rFonts w:hint="eastAsia" w:hAnsi="宋体"/>
        </w:rPr>
        <w:t>（1）更换：由乙方承担所发生的全部费用；</w:t>
      </w:r>
    </w:p>
    <w:p w14:paraId="14159AE8">
      <w:pPr>
        <w:pStyle w:val="7"/>
        <w:spacing w:line="360" w:lineRule="auto"/>
        <w:ind w:firstLine="359" w:firstLineChars="171"/>
        <w:rPr>
          <w:rFonts w:hint="eastAsia" w:hAnsi="宋体"/>
        </w:rPr>
      </w:pPr>
      <w:r>
        <w:rPr>
          <w:rFonts w:hint="eastAsia" w:hAnsi="宋体"/>
        </w:rPr>
        <w:t>（2）贬值处理：由甲乙双方合议定价；</w:t>
      </w:r>
    </w:p>
    <w:p w14:paraId="1EE8186F">
      <w:pPr>
        <w:pStyle w:val="7"/>
        <w:spacing w:line="360" w:lineRule="auto"/>
        <w:ind w:firstLine="359" w:firstLineChars="171"/>
        <w:rPr>
          <w:rFonts w:hint="eastAsia" w:hAnsi="宋体"/>
        </w:rPr>
      </w:pPr>
      <w:r>
        <w:rPr>
          <w:rFonts w:hint="eastAsia" w:hAnsi="宋体"/>
        </w:rPr>
        <w:t>（3）退货处理：乙方应退还甲方支付的合同款，同时应承担与该货物相关的直接费用（运输、保险、检验、合同款利息及银行手续费等）。</w:t>
      </w:r>
    </w:p>
    <w:p w14:paraId="3E601751">
      <w:pPr>
        <w:pStyle w:val="7"/>
        <w:spacing w:line="360" w:lineRule="auto"/>
        <w:ind w:left="2" w:firstLine="360"/>
        <w:rPr>
          <w:rFonts w:hint="eastAsia" w:hAnsi="宋体"/>
        </w:rPr>
      </w:pPr>
      <w:r>
        <w:rPr>
          <w:rFonts w:hint="eastAsia" w:hAnsi="宋体"/>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0E8168EE">
      <w:pPr>
        <w:pStyle w:val="7"/>
        <w:spacing w:line="360" w:lineRule="auto"/>
        <w:ind w:left="2" w:firstLine="360"/>
        <w:rPr>
          <w:rFonts w:hint="eastAsia" w:hAnsi="宋体"/>
        </w:rPr>
      </w:pPr>
      <w:r>
        <w:rPr>
          <w:rFonts w:hint="eastAsia" w:hAnsi="宋体"/>
        </w:rPr>
        <w:t>5.6 超过质量保证期的货物，乙方提供终身维修、保养服务，维修时只收部件成本费。</w:t>
      </w:r>
    </w:p>
    <w:p w14:paraId="673092A0">
      <w:pPr>
        <w:pStyle w:val="7"/>
        <w:spacing w:line="360" w:lineRule="auto"/>
        <w:ind w:left="2" w:firstLine="360"/>
        <w:rPr>
          <w:rFonts w:hint="eastAsia" w:hAnsi="宋体"/>
        </w:rPr>
      </w:pPr>
      <w:r>
        <w:rPr>
          <w:rFonts w:hint="eastAsia" w:hAnsi="宋体"/>
        </w:rPr>
        <w:t>5.7 乙方随时优惠提供备品备件，备件备品不超过市场价，优惠提供产品更新、改造服务。</w:t>
      </w:r>
    </w:p>
    <w:p w14:paraId="53B5FE4E">
      <w:pPr>
        <w:pStyle w:val="7"/>
        <w:spacing w:line="360" w:lineRule="auto"/>
        <w:rPr>
          <w:rFonts w:hint="eastAsia" w:hAnsi="宋体"/>
          <w:b/>
          <w:bCs/>
          <w:sz w:val="24"/>
          <w:szCs w:val="24"/>
        </w:rPr>
      </w:pPr>
      <w:r>
        <w:rPr>
          <w:rFonts w:hint="eastAsia" w:hAnsi="宋体"/>
          <w:b/>
          <w:bCs/>
          <w:sz w:val="24"/>
          <w:szCs w:val="24"/>
        </w:rPr>
        <w:t>6.  合同款支付</w:t>
      </w:r>
    </w:p>
    <w:p w14:paraId="6E2DB722">
      <w:pPr>
        <w:pStyle w:val="7"/>
        <w:spacing w:line="360" w:lineRule="auto"/>
        <w:ind w:firstLine="360"/>
        <w:rPr>
          <w:rFonts w:hint="eastAsia" w:hAnsi="宋体"/>
          <w:bCs/>
          <w:u w:val="single"/>
        </w:rPr>
      </w:pPr>
      <w:r>
        <w:rPr>
          <w:rFonts w:hint="eastAsia" w:hAnsi="宋体"/>
          <w:bCs/>
        </w:rPr>
        <w:t>6.1 付款方式：</w:t>
      </w:r>
      <w:r>
        <w:rPr>
          <w:rFonts w:hint="eastAsia" w:hAnsi="宋体"/>
          <w:bCs/>
          <w:u w:val="single"/>
        </w:rPr>
        <w:t xml:space="preserve">           </w:t>
      </w:r>
      <w:r>
        <w:rPr>
          <w:rFonts w:hint="eastAsia" w:hAnsi="宋体"/>
          <w:bCs/>
          <w:u w:val="single"/>
          <w:lang w:val="en-US" w:eastAsia="zh-CN"/>
        </w:rPr>
        <w:t xml:space="preserve">                              </w:t>
      </w:r>
      <w:r>
        <w:rPr>
          <w:rFonts w:hint="eastAsia" w:hAnsi="宋体"/>
          <w:bCs/>
          <w:u w:val="single"/>
        </w:rPr>
        <w:t xml:space="preserve">                </w:t>
      </w:r>
      <w:r>
        <w:rPr>
          <w:rFonts w:hint="eastAsia" w:hAnsi="宋体"/>
          <w:kern w:val="0"/>
          <w:szCs w:val="21"/>
          <w:u w:val="single"/>
        </w:rPr>
        <w:t xml:space="preserve"> </w:t>
      </w:r>
    </w:p>
    <w:p w14:paraId="7076D13A">
      <w:pPr>
        <w:pStyle w:val="7"/>
        <w:spacing w:line="360" w:lineRule="auto"/>
        <w:ind w:firstLine="360"/>
        <w:rPr>
          <w:rFonts w:hint="eastAsia" w:hAnsi="宋体"/>
          <w:bCs/>
        </w:rPr>
      </w:pPr>
      <w:r>
        <w:rPr>
          <w:rFonts w:hint="eastAsia" w:hAnsi="宋体"/>
          <w:bCs/>
        </w:rPr>
        <w:t>6.2 乙方应在甲方每次付款前先提供相应金额的增值税普通发票给甲方，否则甲方有权拒绝付款。</w:t>
      </w:r>
    </w:p>
    <w:p w14:paraId="1C59219C">
      <w:pPr>
        <w:spacing w:line="460" w:lineRule="exact"/>
        <w:ind w:firstLine="420" w:firstLineChars="200"/>
        <w:rPr>
          <w:rFonts w:ascii="宋体" w:hAnsi="宋体"/>
          <w:bCs/>
          <w:szCs w:val="20"/>
        </w:rPr>
      </w:pPr>
      <w:r>
        <w:rPr>
          <w:rFonts w:hint="eastAsia" w:ascii="宋体" w:hAnsi="宋体"/>
          <w:bCs/>
          <w:szCs w:val="20"/>
        </w:rPr>
        <w:t>6.3甲方应将本合同款项支付至乙方以下指定账户：</w:t>
      </w:r>
    </w:p>
    <w:p w14:paraId="373E9E5E">
      <w:pPr>
        <w:spacing w:line="460" w:lineRule="exact"/>
        <w:ind w:firstLine="420" w:firstLineChars="200"/>
        <w:rPr>
          <w:rFonts w:hint="eastAsia" w:ascii="宋体" w:hAnsi="宋体"/>
          <w:bCs/>
          <w:szCs w:val="20"/>
          <w:u w:val="single"/>
        </w:rPr>
      </w:pPr>
      <w:r>
        <w:rPr>
          <w:rFonts w:hint="eastAsia" w:ascii="宋体" w:hAnsi="宋体"/>
          <w:bCs/>
          <w:szCs w:val="20"/>
        </w:rPr>
        <w:t>户  名：</w:t>
      </w:r>
      <w:r>
        <w:rPr>
          <w:rFonts w:hint="eastAsia" w:ascii="宋体" w:hAnsi="宋体"/>
          <w:bCs/>
          <w:szCs w:val="20"/>
          <w:u w:val="single"/>
        </w:rPr>
        <w:t xml:space="preserve"> </w:t>
      </w:r>
      <w:r>
        <w:rPr>
          <w:rFonts w:hint="eastAsia" w:hAnsi="宋体"/>
          <w:u w:val="single"/>
        </w:rPr>
        <w:t xml:space="preserve">     </w:t>
      </w:r>
      <w:r>
        <w:rPr>
          <w:rFonts w:hint="eastAsia" w:ascii="宋体" w:hAnsi="宋体"/>
          <w:bCs/>
          <w:szCs w:val="20"/>
          <w:u w:val="single"/>
        </w:rPr>
        <w:t xml:space="preserve">                                   </w:t>
      </w:r>
    </w:p>
    <w:p w14:paraId="3EC61FD4">
      <w:pPr>
        <w:spacing w:line="460" w:lineRule="exact"/>
        <w:ind w:firstLine="420" w:firstLineChars="200"/>
        <w:rPr>
          <w:rFonts w:ascii="宋体" w:hAnsi="宋体"/>
          <w:bCs/>
          <w:szCs w:val="20"/>
        </w:rPr>
      </w:pPr>
      <w:r>
        <w:rPr>
          <w:rFonts w:hint="eastAsia" w:ascii="宋体" w:hAnsi="宋体"/>
          <w:bCs/>
          <w:szCs w:val="20"/>
        </w:rPr>
        <w:t>开户行：</w:t>
      </w:r>
      <w:r>
        <w:rPr>
          <w:rFonts w:hint="eastAsia" w:ascii="宋体" w:hAnsi="宋体"/>
          <w:bCs/>
          <w:szCs w:val="20"/>
          <w:u w:val="single"/>
        </w:rPr>
        <w:t xml:space="preserve"> </w:t>
      </w:r>
      <w:r>
        <w:rPr>
          <w:rFonts w:hint="eastAsia" w:hAnsi="宋体"/>
          <w:u w:val="single"/>
        </w:rPr>
        <w:t xml:space="preserve">                              </w:t>
      </w:r>
      <w:r>
        <w:rPr>
          <w:rFonts w:hint="eastAsia" w:ascii="宋体" w:hAnsi="宋体"/>
          <w:bCs/>
          <w:szCs w:val="20"/>
          <w:u w:val="single"/>
        </w:rPr>
        <w:t xml:space="preserve">          </w:t>
      </w:r>
    </w:p>
    <w:p w14:paraId="1A81C36F">
      <w:pPr>
        <w:spacing w:line="460" w:lineRule="exact"/>
        <w:ind w:firstLine="420" w:firstLineChars="200"/>
        <w:rPr>
          <w:rFonts w:ascii="宋体" w:hAnsi="宋体"/>
          <w:bCs/>
          <w:szCs w:val="20"/>
        </w:rPr>
      </w:pPr>
      <w:r>
        <w:rPr>
          <w:rFonts w:hint="eastAsia" w:ascii="宋体" w:hAnsi="宋体"/>
          <w:bCs/>
          <w:szCs w:val="20"/>
        </w:rPr>
        <w:t>账  号：</w:t>
      </w:r>
      <w:r>
        <w:rPr>
          <w:rFonts w:hint="eastAsia" w:ascii="宋体" w:hAnsi="宋体"/>
          <w:bCs/>
          <w:szCs w:val="20"/>
          <w:u w:val="single"/>
        </w:rPr>
        <w:t xml:space="preserve">                </w:t>
      </w:r>
      <w:r>
        <w:rPr>
          <w:rFonts w:hint="eastAsia" w:hAnsi="宋体"/>
          <w:u w:val="single"/>
        </w:rPr>
        <w:t xml:space="preserve">    </w:t>
      </w:r>
      <w:r>
        <w:rPr>
          <w:rFonts w:hint="eastAsia" w:ascii="宋体" w:hAnsi="宋体"/>
          <w:bCs/>
          <w:szCs w:val="20"/>
          <w:u w:val="single"/>
        </w:rPr>
        <w:t xml:space="preserve">                     </w:t>
      </w:r>
      <w:r>
        <w:rPr>
          <w:rFonts w:hint="eastAsia" w:ascii="宋体" w:hAnsi="宋体"/>
          <w:bCs/>
          <w:szCs w:val="20"/>
        </w:rPr>
        <w:t xml:space="preserve">      </w:t>
      </w:r>
    </w:p>
    <w:p w14:paraId="1A7ACC43">
      <w:pPr>
        <w:spacing w:line="460" w:lineRule="exact"/>
        <w:ind w:firstLine="420" w:firstLineChars="200"/>
        <w:rPr>
          <w:rFonts w:hint="eastAsia" w:ascii="宋体" w:hAnsi="宋体"/>
          <w:bCs/>
          <w:szCs w:val="20"/>
        </w:rPr>
      </w:pPr>
      <w:r>
        <w:rPr>
          <w:rFonts w:hint="eastAsia" w:ascii="宋体" w:hAnsi="宋体"/>
          <w:bCs/>
          <w:szCs w:val="20"/>
        </w:rPr>
        <w:t>如乙方对上述指定账户进行变更的，应在变更前三个工作日以书面形式向甲方发出变更通知，否则甲方将款项支付至上述账户视为甲方已履行付款义务。</w:t>
      </w:r>
    </w:p>
    <w:p w14:paraId="26634E87">
      <w:pPr>
        <w:pStyle w:val="7"/>
        <w:spacing w:line="360" w:lineRule="auto"/>
        <w:ind w:left="412" w:hanging="412" w:hangingChars="171"/>
        <w:rPr>
          <w:rFonts w:hint="eastAsia" w:hAnsi="宋体"/>
          <w:b/>
        </w:rPr>
      </w:pPr>
      <w:r>
        <w:rPr>
          <w:rFonts w:hint="eastAsia" w:hAnsi="宋体"/>
          <w:b/>
          <w:bCs/>
          <w:sz w:val="24"/>
          <w:szCs w:val="24"/>
        </w:rPr>
        <w:t>7.  产权</w:t>
      </w:r>
    </w:p>
    <w:p w14:paraId="187B1AE1">
      <w:pPr>
        <w:pStyle w:val="7"/>
        <w:spacing w:line="360" w:lineRule="auto"/>
        <w:ind w:left="2" w:firstLine="359" w:firstLineChars="171"/>
        <w:rPr>
          <w:rFonts w:hint="eastAsia" w:hAnsi="宋体"/>
          <w:bCs/>
        </w:rPr>
      </w:pPr>
      <w:r>
        <w:rPr>
          <w:rFonts w:hint="eastAsia" w:hAnsi="宋体"/>
        </w:rPr>
        <w:t>7.1 乙方保证所提供的货物或其任何一部分均不会侵犯任何第三方的专利权、商标权或著作权等知识产权</w:t>
      </w:r>
      <w:r>
        <w:rPr>
          <w:rFonts w:hint="eastAsia" w:hAnsi="宋体"/>
          <w:bCs/>
        </w:rPr>
        <w:t>。</w:t>
      </w:r>
    </w:p>
    <w:p w14:paraId="60DC5AE3">
      <w:pPr>
        <w:pStyle w:val="7"/>
        <w:spacing w:line="360" w:lineRule="auto"/>
        <w:ind w:left="2" w:firstLine="359" w:firstLineChars="171"/>
        <w:rPr>
          <w:rFonts w:hint="eastAsia" w:hAnsi="宋体"/>
          <w:b/>
          <w:bCs/>
        </w:rPr>
      </w:pPr>
      <w:r>
        <w:rPr>
          <w:rFonts w:hint="eastAsia" w:hAnsi="宋体"/>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1D64CE3">
      <w:pPr>
        <w:pStyle w:val="7"/>
        <w:spacing w:line="360" w:lineRule="auto"/>
        <w:rPr>
          <w:rFonts w:hint="eastAsia" w:hAnsi="宋体"/>
          <w:b/>
        </w:rPr>
      </w:pPr>
      <w:r>
        <w:rPr>
          <w:rFonts w:hint="eastAsia" w:hAnsi="宋体"/>
          <w:b/>
          <w:bCs/>
          <w:sz w:val="24"/>
          <w:szCs w:val="24"/>
        </w:rPr>
        <w:t>8.  技术资料</w:t>
      </w:r>
    </w:p>
    <w:p w14:paraId="786A58E9">
      <w:pPr>
        <w:pStyle w:val="7"/>
        <w:spacing w:line="360" w:lineRule="auto"/>
        <w:ind w:firstLine="360"/>
        <w:rPr>
          <w:rFonts w:hint="eastAsia" w:hAnsi="宋体"/>
        </w:rPr>
      </w:pPr>
      <w:r>
        <w:rPr>
          <w:rFonts w:hint="eastAsia" w:hAnsi="宋体"/>
        </w:rPr>
        <w:t>8.1 甲方向乙方提供货物的有关技术资料。</w:t>
      </w:r>
    </w:p>
    <w:p w14:paraId="6B453765">
      <w:pPr>
        <w:pStyle w:val="7"/>
        <w:spacing w:line="360" w:lineRule="auto"/>
        <w:ind w:firstLine="360"/>
        <w:rPr>
          <w:rFonts w:hint="eastAsia" w:hAnsi="宋体"/>
        </w:rPr>
      </w:pPr>
      <w:r>
        <w:rPr>
          <w:rFonts w:hint="eastAsia" w:hAnsi="宋体"/>
        </w:rPr>
        <w:t>8.2 乙方应在采购文件规定的时间向甲方提供使用货物的有关技术资料。</w:t>
      </w:r>
    </w:p>
    <w:p w14:paraId="54879381">
      <w:pPr>
        <w:pStyle w:val="7"/>
        <w:spacing w:line="360" w:lineRule="auto"/>
        <w:ind w:firstLine="360"/>
        <w:rPr>
          <w:rFonts w:hint="eastAsia" w:hAnsi="宋体"/>
        </w:rPr>
      </w:pPr>
      <w:r>
        <w:rPr>
          <w:rFonts w:hint="eastAsia" w:hAnsi="宋体"/>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1F8DE474">
      <w:pPr>
        <w:pStyle w:val="7"/>
        <w:spacing w:line="360" w:lineRule="auto"/>
        <w:rPr>
          <w:rFonts w:hint="eastAsia" w:hAnsi="宋体"/>
          <w:b/>
          <w:bCs/>
          <w:sz w:val="24"/>
          <w:szCs w:val="24"/>
        </w:rPr>
      </w:pPr>
      <w:r>
        <w:rPr>
          <w:rFonts w:hint="eastAsia" w:hAnsi="宋体"/>
          <w:b/>
          <w:bCs/>
          <w:sz w:val="24"/>
          <w:szCs w:val="24"/>
        </w:rPr>
        <w:t>9.  货物包装、发运及运输</w:t>
      </w:r>
    </w:p>
    <w:p w14:paraId="3FA1DEA8">
      <w:pPr>
        <w:pStyle w:val="7"/>
        <w:tabs>
          <w:tab w:val="left" w:pos="0"/>
        </w:tabs>
        <w:spacing w:line="360" w:lineRule="auto"/>
        <w:ind w:firstLine="360"/>
        <w:rPr>
          <w:rFonts w:hint="eastAsia" w:hAnsi="宋体"/>
        </w:rPr>
      </w:pPr>
      <w:r>
        <w:rPr>
          <w:rFonts w:hint="eastAsia" w:hAnsi="宋体"/>
        </w:rPr>
        <w:t>9.1 乙方应在货物发运前对其进行满足运输距离、防潮、防震、防锈和防破损装卸等要求包装，以保证货物安全运达甲方指定地点。</w:t>
      </w:r>
    </w:p>
    <w:p w14:paraId="2218A63F">
      <w:pPr>
        <w:pStyle w:val="7"/>
        <w:tabs>
          <w:tab w:val="left" w:pos="0"/>
        </w:tabs>
        <w:spacing w:line="360" w:lineRule="auto"/>
        <w:ind w:firstLine="360"/>
        <w:rPr>
          <w:rFonts w:hint="eastAsia" w:hAnsi="宋体"/>
        </w:rPr>
      </w:pPr>
      <w:r>
        <w:rPr>
          <w:rFonts w:hint="eastAsia" w:hAnsi="宋体"/>
        </w:rPr>
        <w:t>9.2 使用说明书、质量检验证明书、保修单据、随配附件和工具以及清单一并附于货物内。</w:t>
      </w:r>
    </w:p>
    <w:p w14:paraId="38BB6B0C">
      <w:pPr>
        <w:pStyle w:val="7"/>
        <w:tabs>
          <w:tab w:val="left" w:pos="0"/>
        </w:tabs>
        <w:spacing w:line="360" w:lineRule="auto"/>
        <w:ind w:firstLine="360"/>
        <w:rPr>
          <w:rFonts w:hint="eastAsia" w:hAnsi="宋体"/>
        </w:rPr>
      </w:pPr>
      <w:r>
        <w:rPr>
          <w:rFonts w:hint="eastAsia" w:hAnsi="宋体"/>
        </w:rPr>
        <w:t>9.3 乙方在货物发运手续办理完毕后24小时内或货到甲方48小时前通知甲方，以准备接货。</w:t>
      </w:r>
    </w:p>
    <w:p w14:paraId="6263E864">
      <w:pPr>
        <w:pStyle w:val="7"/>
        <w:tabs>
          <w:tab w:val="left" w:pos="0"/>
        </w:tabs>
        <w:spacing w:line="360" w:lineRule="auto"/>
        <w:ind w:firstLine="360"/>
        <w:rPr>
          <w:rFonts w:hint="eastAsia" w:hAnsi="宋体"/>
        </w:rPr>
      </w:pPr>
      <w:r>
        <w:rPr>
          <w:rFonts w:hint="eastAsia" w:hAnsi="宋体"/>
        </w:rPr>
        <w:t>9.4 货物在交付甲方前发生的风险均由乙方负责。</w:t>
      </w:r>
    </w:p>
    <w:p w14:paraId="7C067822">
      <w:pPr>
        <w:pStyle w:val="7"/>
        <w:tabs>
          <w:tab w:val="left" w:pos="0"/>
        </w:tabs>
        <w:spacing w:line="360" w:lineRule="auto"/>
        <w:ind w:firstLine="360"/>
        <w:rPr>
          <w:rFonts w:hint="eastAsia" w:hAnsi="宋体"/>
        </w:rPr>
      </w:pPr>
      <w:r>
        <w:rPr>
          <w:rFonts w:hint="eastAsia" w:hAnsi="宋体"/>
        </w:rPr>
        <w:t>9.5 货物在规定的交付期限内由乙方送达甲方指定的地点视为交付，乙方同时需通知甲方货物已送达。</w:t>
      </w:r>
    </w:p>
    <w:p w14:paraId="0210AF1C">
      <w:pPr>
        <w:pStyle w:val="7"/>
        <w:spacing w:line="360" w:lineRule="auto"/>
        <w:rPr>
          <w:rFonts w:hint="eastAsia" w:hAnsi="宋体"/>
          <w:b/>
          <w:bCs/>
          <w:sz w:val="24"/>
          <w:szCs w:val="24"/>
        </w:rPr>
      </w:pPr>
      <w:r>
        <w:rPr>
          <w:rFonts w:hint="eastAsia" w:hAnsi="宋体"/>
          <w:b/>
          <w:bCs/>
          <w:sz w:val="24"/>
          <w:szCs w:val="24"/>
        </w:rPr>
        <w:t>10.  调试和验收</w:t>
      </w:r>
    </w:p>
    <w:p w14:paraId="3563B77E">
      <w:pPr>
        <w:pStyle w:val="7"/>
        <w:spacing w:line="360" w:lineRule="auto"/>
        <w:ind w:firstLine="359" w:firstLineChars="171"/>
        <w:rPr>
          <w:rFonts w:hint="eastAsia" w:hAnsi="宋体"/>
        </w:rPr>
      </w:pPr>
      <w:r>
        <w:rPr>
          <w:rFonts w:hint="eastAsia" w:hAnsi="宋体"/>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380AB480">
      <w:pPr>
        <w:pStyle w:val="7"/>
        <w:spacing w:line="360" w:lineRule="auto"/>
        <w:ind w:firstLine="359" w:firstLineChars="171"/>
        <w:rPr>
          <w:rFonts w:hint="eastAsia" w:hAnsi="宋体"/>
        </w:rPr>
      </w:pPr>
      <w:r>
        <w:rPr>
          <w:rFonts w:hint="eastAsia" w:hAnsi="宋体"/>
        </w:rPr>
        <w:t>10.2 乙方交货前应对产品作出全面检查和对验收文件进行整理，并列出清单，作为甲方收货验收和使用的技术条件依据，检验的结果应随货物交甲方。</w:t>
      </w:r>
    </w:p>
    <w:p w14:paraId="47BEDC65">
      <w:pPr>
        <w:pStyle w:val="7"/>
        <w:spacing w:line="360" w:lineRule="auto"/>
        <w:ind w:firstLine="359" w:firstLineChars="171"/>
        <w:rPr>
          <w:rFonts w:hint="eastAsia" w:hAnsi="宋体"/>
        </w:rPr>
      </w:pPr>
      <w:r>
        <w:rPr>
          <w:rFonts w:hint="eastAsia" w:hAnsi="宋体"/>
        </w:rPr>
        <w:t>10.3 甲方对乙方提供的货物在使用前进行调试时，乙方需负责安装并培训甲方的使用操作人员，并协助甲方一起调试，直到符合技术要求，甲方才做最终验收。</w:t>
      </w:r>
    </w:p>
    <w:p w14:paraId="4CBB67B1">
      <w:pPr>
        <w:pStyle w:val="7"/>
        <w:spacing w:line="360" w:lineRule="auto"/>
        <w:ind w:firstLine="359" w:firstLineChars="171"/>
        <w:rPr>
          <w:rFonts w:hint="eastAsia" w:hAnsi="宋体"/>
        </w:rPr>
      </w:pPr>
      <w:r>
        <w:rPr>
          <w:rFonts w:hint="eastAsia" w:hAnsi="宋体"/>
        </w:rPr>
        <w:t>10.4 验收时乙方必须在现场，验收完毕后作出验收结果报告，经过通知，乙方不到场的，视为乙方不配合合同的履行，甲方有权解除合同，要求乙方退还全部已付款，并支付合同总价20%的违约金，赔偿甲方损失。</w:t>
      </w:r>
    </w:p>
    <w:p w14:paraId="6DEEB8D1">
      <w:pPr>
        <w:pStyle w:val="7"/>
        <w:spacing w:line="360" w:lineRule="auto"/>
        <w:ind w:firstLine="359" w:firstLineChars="171"/>
        <w:rPr>
          <w:rFonts w:hint="eastAsia" w:hAnsi="宋体"/>
        </w:rPr>
      </w:pPr>
      <w:r>
        <w:rPr>
          <w:rFonts w:hint="eastAsia" w:hAnsi="宋体"/>
        </w:rPr>
        <w:t>10.5 对技术复杂的货物，甲方可请专业检测机构参与验收，并由其出具质量检测报告，相关费用由甲方承担，根据检测结果要求乙方承担相应的责任。</w:t>
      </w:r>
    </w:p>
    <w:p w14:paraId="264B4292">
      <w:pPr>
        <w:pStyle w:val="7"/>
        <w:spacing w:line="360" w:lineRule="auto"/>
        <w:rPr>
          <w:rFonts w:hint="eastAsia" w:hAnsi="宋体"/>
          <w:b/>
          <w:bCs/>
          <w:sz w:val="24"/>
          <w:szCs w:val="24"/>
        </w:rPr>
      </w:pPr>
      <w:r>
        <w:rPr>
          <w:rFonts w:hint="eastAsia" w:hAnsi="宋体"/>
          <w:b/>
          <w:bCs/>
          <w:sz w:val="24"/>
          <w:szCs w:val="24"/>
        </w:rPr>
        <w:t>11.  违约责任</w:t>
      </w:r>
    </w:p>
    <w:p w14:paraId="61E552FB">
      <w:pPr>
        <w:pStyle w:val="7"/>
        <w:spacing w:line="360" w:lineRule="auto"/>
        <w:ind w:left="2" w:firstLine="360"/>
        <w:rPr>
          <w:rFonts w:hint="eastAsia" w:hAnsi="宋体"/>
        </w:rPr>
      </w:pPr>
      <w:r>
        <w:rPr>
          <w:rFonts w:hint="eastAsia" w:hAnsi="宋体"/>
        </w:rPr>
        <w:t>11.1 甲方无正当理由拒收货物的，甲方向乙方偿付拒收货款金额的百分之五违约金。</w:t>
      </w:r>
    </w:p>
    <w:p w14:paraId="7AFA171F">
      <w:pPr>
        <w:pStyle w:val="7"/>
        <w:spacing w:line="360" w:lineRule="auto"/>
        <w:ind w:left="2" w:firstLine="360"/>
        <w:rPr>
          <w:rFonts w:hint="eastAsia" w:hAnsi="宋体"/>
        </w:rPr>
      </w:pPr>
      <w:r>
        <w:rPr>
          <w:rFonts w:hint="eastAsia" w:hAnsi="宋体"/>
        </w:rPr>
        <w:t>11.2 甲方无故逾期验收或办理合同款支付手续的，甲方应按逾期付款总额每日万分之五向乙方支付违约金。</w:t>
      </w:r>
    </w:p>
    <w:p w14:paraId="7BB84346">
      <w:pPr>
        <w:pStyle w:val="7"/>
        <w:spacing w:line="360" w:lineRule="auto"/>
        <w:ind w:left="2" w:firstLine="360"/>
        <w:rPr>
          <w:rFonts w:hint="eastAsia" w:hAnsi="宋体" w:eastAsia="宋体"/>
          <w:lang w:eastAsia="zh-CN"/>
        </w:rPr>
      </w:pPr>
      <w:r>
        <w:rPr>
          <w:rFonts w:hint="eastAsia" w:hAnsi="宋体"/>
        </w:rPr>
        <w:t>11.3 乙方逾期交付货物并通过甲方验收合格的，乙方应按逾期交货总额每日万分之五向甲方支付违约金</w:t>
      </w:r>
      <w:r>
        <w:rPr>
          <w:rFonts w:hint="eastAsia" w:hAnsi="宋体"/>
          <w:lang w:eastAsia="zh-CN"/>
        </w:rPr>
        <w:t>，违约金支付至甲方指定账户，如乙方拒不支付违约金的</w:t>
      </w:r>
      <w:r>
        <w:rPr>
          <w:rFonts w:hint="eastAsia" w:hAnsi="宋体"/>
          <w:color w:val="auto"/>
        </w:rPr>
        <w:t>由甲方从待付合同款中扣除。</w:t>
      </w:r>
      <w:r>
        <w:rPr>
          <w:rFonts w:hint="eastAsia" w:hAnsi="宋体"/>
        </w:rPr>
        <w:t>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2F6A0F3B">
      <w:pPr>
        <w:pStyle w:val="7"/>
        <w:spacing w:line="360" w:lineRule="auto"/>
        <w:ind w:left="2" w:firstLine="360"/>
        <w:rPr>
          <w:rFonts w:hint="eastAsia" w:hAnsi="宋体"/>
        </w:rPr>
      </w:pPr>
      <w:r>
        <w:rPr>
          <w:rFonts w:hint="eastAsia" w:hAnsi="宋体"/>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630F4628">
      <w:pPr>
        <w:pStyle w:val="3"/>
        <w:numPr>
          <w:ilvl w:val="0"/>
          <w:numId w:val="0"/>
        </w:numPr>
        <w:ind w:left="0" w:firstLine="0"/>
        <w:rPr>
          <w:rFonts w:hint="eastAsia" w:ascii="宋体" w:hAnsi="宋体" w:eastAsia="宋体" w:cs="Times New Roman"/>
          <w:kern w:val="2"/>
          <w:sz w:val="21"/>
          <w:lang w:val="en-US" w:eastAsia="zh-CN"/>
        </w:rPr>
      </w:pPr>
      <w:r>
        <w:rPr>
          <w:rFonts w:hint="eastAsia" w:hAnsi="宋体"/>
          <w:lang w:val="en-US" w:eastAsia="zh-CN"/>
        </w:rPr>
        <w:t xml:space="preserve"> </w:t>
      </w:r>
      <w:r>
        <w:rPr>
          <w:rFonts w:hint="eastAsia" w:ascii="宋体" w:hAnsi="宋体" w:eastAsia="宋体" w:cs="Times New Roman"/>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AB94400">
      <w:pPr>
        <w:pStyle w:val="7"/>
        <w:spacing w:line="360" w:lineRule="auto"/>
        <w:rPr>
          <w:rFonts w:hint="eastAsia" w:hAnsi="宋体"/>
          <w:b/>
          <w:bCs/>
          <w:sz w:val="24"/>
          <w:szCs w:val="24"/>
        </w:rPr>
      </w:pPr>
      <w:r>
        <w:rPr>
          <w:rFonts w:hint="eastAsia" w:hAnsi="宋体"/>
          <w:b/>
          <w:bCs/>
          <w:sz w:val="24"/>
          <w:szCs w:val="24"/>
        </w:rPr>
        <w:t>12.  不可抗力事件处理</w:t>
      </w:r>
    </w:p>
    <w:p w14:paraId="09E9A28A">
      <w:pPr>
        <w:pStyle w:val="7"/>
        <w:spacing w:line="360" w:lineRule="auto"/>
        <w:ind w:firstLine="359" w:firstLineChars="171"/>
        <w:rPr>
          <w:rFonts w:hint="eastAsia" w:hAnsi="宋体"/>
        </w:rPr>
      </w:pPr>
      <w:r>
        <w:rPr>
          <w:rFonts w:hint="eastAsia" w:hAnsi="宋体"/>
        </w:rPr>
        <w:t>12.1 在合同有效期内，任何一方因不可抗力事件导致不能履行合同，则合同履行期可延长，其延长期与不可抗力影响期相同。</w:t>
      </w:r>
    </w:p>
    <w:p w14:paraId="3B4B9DC1">
      <w:pPr>
        <w:pStyle w:val="7"/>
        <w:spacing w:line="360" w:lineRule="auto"/>
        <w:ind w:firstLine="359" w:firstLineChars="171"/>
        <w:rPr>
          <w:rFonts w:hint="eastAsia" w:hAnsi="宋体"/>
        </w:rPr>
      </w:pPr>
      <w:r>
        <w:rPr>
          <w:rFonts w:hint="eastAsia" w:hAnsi="宋体"/>
        </w:rPr>
        <w:t>12.2 不可抗力事件发生后，应立即通知对方，并寄送有关权威机构出具的证明。</w:t>
      </w:r>
    </w:p>
    <w:p w14:paraId="252AFE11">
      <w:pPr>
        <w:pStyle w:val="7"/>
        <w:spacing w:line="360" w:lineRule="auto"/>
        <w:ind w:firstLine="359" w:firstLineChars="171"/>
        <w:rPr>
          <w:rFonts w:hint="eastAsia" w:hAnsi="宋体"/>
        </w:rPr>
      </w:pPr>
      <w:r>
        <w:rPr>
          <w:rFonts w:hint="eastAsia" w:hAnsi="宋体"/>
        </w:rPr>
        <w:t>12.3 不可抗力事件延续120天以上，双方应通过友好协商，确定是否继续履行合同。</w:t>
      </w:r>
    </w:p>
    <w:p w14:paraId="142F72E4">
      <w:pPr>
        <w:pStyle w:val="7"/>
        <w:spacing w:line="360" w:lineRule="auto"/>
        <w:rPr>
          <w:rFonts w:hint="eastAsia" w:hAnsi="宋体"/>
          <w:b/>
          <w:bCs/>
          <w:sz w:val="24"/>
          <w:szCs w:val="24"/>
        </w:rPr>
      </w:pPr>
      <w:r>
        <w:rPr>
          <w:rFonts w:hint="eastAsia" w:hAnsi="宋体"/>
          <w:b/>
          <w:bCs/>
          <w:sz w:val="24"/>
          <w:szCs w:val="24"/>
        </w:rPr>
        <w:t>13.  诉讼</w:t>
      </w:r>
    </w:p>
    <w:p w14:paraId="606A771D">
      <w:pPr>
        <w:pStyle w:val="7"/>
        <w:tabs>
          <w:tab w:val="left" w:pos="0"/>
        </w:tabs>
        <w:spacing w:line="360" w:lineRule="auto"/>
        <w:ind w:firstLine="359" w:firstLineChars="171"/>
        <w:rPr>
          <w:rFonts w:hint="eastAsia" w:hAnsi="宋体"/>
        </w:rPr>
      </w:pPr>
      <w:r>
        <w:rPr>
          <w:rFonts w:hint="eastAsia" w:hAnsi="宋体"/>
        </w:rPr>
        <w:t>13.1 双方在执行合同中所发生的一切争议，应通过协商解决。如协商不成，可向合同签订地法院起诉，合同签订地在此约定为广西南宁市科园大道18号。</w:t>
      </w:r>
    </w:p>
    <w:p w14:paraId="1DA71DE3">
      <w:pPr>
        <w:pStyle w:val="7"/>
        <w:spacing w:line="360" w:lineRule="auto"/>
        <w:rPr>
          <w:rFonts w:hint="eastAsia" w:hAnsi="宋体"/>
          <w:b/>
          <w:bCs/>
          <w:sz w:val="24"/>
          <w:szCs w:val="24"/>
        </w:rPr>
      </w:pPr>
      <w:r>
        <w:rPr>
          <w:rFonts w:hint="eastAsia" w:hAnsi="宋体"/>
          <w:b/>
          <w:bCs/>
          <w:sz w:val="24"/>
          <w:szCs w:val="24"/>
        </w:rPr>
        <w:t>14.  合同生效及其它</w:t>
      </w:r>
    </w:p>
    <w:p w14:paraId="4AAE6CF2">
      <w:pPr>
        <w:pStyle w:val="7"/>
        <w:spacing w:line="360" w:lineRule="auto"/>
        <w:ind w:firstLine="360"/>
        <w:rPr>
          <w:rFonts w:hint="eastAsia" w:hAnsi="宋体"/>
        </w:rPr>
      </w:pPr>
      <w:r>
        <w:rPr>
          <w:rFonts w:hint="eastAsia" w:hAnsi="宋体"/>
        </w:rPr>
        <w:t>14.1 合同经双方法定代表人或授权委托代理人签字并加盖单位公章后生效。</w:t>
      </w:r>
    </w:p>
    <w:p w14:paraId="2D8B489F">
      <w:pPr>
        <w:pStyle w:val="7"/>
        <w:spacing w:line="360" w:lineRule="auto"/>
        <w:ind w:firstLine="360"/>
        <w:rPr>
          <w:rFonts w:hint="eastAsia" w:hAnsi="宋体"/>
        </w:rPr>
      </w:pPr>
      <w:r>
        <w:rPr>
          <w:rFonts w:hint="eastAsia" w:hAnsi="宋体"/>
        </w:rPr>
        <w:t xml:space="preserve">14.2 </w:t>
      </w:r>
      <w:r>
        <w:rPr>
          <w:rFonts w:hint="eastAsia" w:hAnsi="宋体"/>
          <w:szCs w:val="21"/>
        </w:rPr>
        <w:t>合同执行中涉及采购资金和采购内容修改或补充的，须经甲、乙双方认同，并签订书面补充协议，方可作为主合同不可分割的一部分。</w:t>
      </w:r>
    </w:p>
    <w:p w14:paraId="641763C9">
      <w:pPr>
        <w:pStyle w:val="7"/>
        <w:spacing w:line="360" w:lineRule="auto"/>
        <w:ind w:firstLine="360"/>
        <w:rPr>
          <w:rFonts w:hint="eastAsia" w:hAnsi="宋体"/>
        </w:rPr>
      </w:pPr>
      <w:r>
        <w:rPr>
          <w:rFonts w:hint="eastAsia" w:hAnsi="宋体"/>
        </w:rPr>
        <w:t>14.3 下述合同附件为本合同不可分割的部分并与本合同具有同等效力：</w:t>
      </w:r>
    </w:p>
    <w:p w14:paraId="5D04CB9F">
      <w:pPr>
        <w:pStyle w:val="7"/>
        <w:spacing w:line="360" w:lineRule="auto"/>
        <w:ind w:firstLine="360"/>
        <w:rPr>
          <w:rFonts w:hint="eastAsia" w:hAnsi="宋体"/>
        </w:rPr>
      </w:pPr>
      <w:r>
        <w:rPr>
          <w:rFonts w:hint="eastAsia" w:hAnsi="宋体"/>
        </w:rPr>
        <w:t>（1）采购结果公告；</w:t>
      </w:r>
    </w:p>
    <w:p w14:paraId="1D17775E">
      <w:pPr>
        <w:pStyle w:val="7"/>
        <w:spacing w:line="360" w:lineRule="auto"/>
        <w:ind w:firstLine="360"/>
        <w:rPr>
          <w:rFonts w:hint="eastAsia" w:hAnsi="宋体"/>
        </w:rPr>
      </w:pPr>
      <w:r>
        <w:rPr>
          <w:rFonts w:hint="eastAsia" w:hAnsi="宋体"/>
        </w:rPr>
        <w:t>（2）采购需求一览表；</w:t>
      </w:r>
    </w:p>
    <w:p w14:paraId="5BC9E525">
      <w:pPr>
        <w:pStyle w:val="7"/>
        <w:spacing w:line="360" w:lineRule="auto"/>
        <w:ind w:firstLine="360"/>
        <w:rPr>
          <w:rFonts w:hint="eastAsia" w:hAnsi="宋体"/>
        </w:rPr>
      </w:pPr>
      <w:r>
        <w:rPr>
          <w:rFonts w:hint="eastAsia" w:hAnsi="宋体"/>
        </w:rPr>
        <w:t>（3）投标报价表；</w:t>
      </w:r>
    </w:p>
    <w:p w14:paraId="04BF5CA0">
      <w:pPr>
        <w:pStyle w:val="7"/>
        <w:spacing w:line="360" w:lineRule="auto"/>
        <w:ind w:firstLine="360"/>
        <w:rPr>
          <w:rFonts w:hint="eastAsia" w:hAnsi="宋体"/>
        </w:rPr>
      </w:pPr>
      <w:r>
        <w:rPr>
          <w:rFonts w:hint="eastAsia" w:hAnsi="宋体"/>
        </w:rPr>
        <w:t>（4）</w:t>
      </w:r>
      <w:r>
        <w:rPr>
          <w:rFonts w:hint="eastAsia" w:hAnsi="宋体"/>
          <w:lang w:eastAsia="zh-CN"/>
        </w:rPr>
        <w:t>最终</w:t>
      </w:r>
      <w:r>
        <w:rPr>
          <w:rFonts w:hint="eastAsia" w:hAnsi="宋体"/>
        </w:rPr>
        <w:t>报价表；（如有）</w:t>
      </w:r>
    </w:p>
    <w:p w14:paraId="75FA7B7B">
      <w:pPr>
        <w:pStyle w:val="7"/>
        <w:spacing w:line="360" w:lineRule="auto"/>
        <w:ind w:firstLine="360"/>
        <w:rPr>
          <w:rFonts w:hint="eastAsia" w:hAnsi="宋体"/>
        </w:rPr>
      </w:pPr>
      <w:r>
        <w:rPr>
          <w:rFonts w:hint="eastAsia" w:hAnsi="宋体"/>
        </w:rPr>
        <w:t>（5）响应技术资料表；（如有）</w:t>
      </w:r>
    </w:p>
    <w:p w14:paraId="3AB4148F">
      <w:pPr>
        <w:pStyle w:val="7"/>
        <w:spacing w:line="360" w:lineRule="auto"/>
        <w:ind w:firstLine="360"/>
        <w:rPr>
          <w:rFonts w:hint="eastAsia" w:hAnsi="宋体"/>
        </w:rPr>
      </w:pPr>
      <w:r>
        <w:rPr>
          <w:rFonts w:hint="eastAsia" w:hAnsi="宋体"/>
        </w:rPr>
        <w:t>（6）商务条款偏离表（如有）；</w:t>
      </w:r>
    </w:p>
    <w:p w14:paraId="21DB8058">
      <w:pPr>
        <w:pStyle w:val="7"/>
        <w:spacing w:line="360" w:lineRule="auto"/>
        <w:ind w:firstLine="360"/>
        <w:rPr>
          <w:rFonts w:hint="eastAsia" w:hAnsi="宋体"/>
        </w:rPr>
      </w:pPr>
      <w:r>
        <w:rPr>
          <w:rFonts w:hint="eastAsia" w:hAnsi="宋体"/>
        </w:rPr>
        <w:t>（7）其他与本合同相关的资料（如有）。</w:t>
      </w:r>
    </w:p>
    <w:p w14:paraId="1DF3DB95">
      <w:pPr>
        <w:pStyle w:val="7"/>
        <w:spacing w:line="360" w:lineRule="auto"/>
        <w:ind w:firstLine="360"/>
        <w:rPr>
          <w:rFonts w:hint="eastAsia" w:hAnsi="宋体"/>
        </w:rPr>
      </w:pPr>
      <w:r>
        <w:rPr>
          <w:rFonts w:hint="eastAsia" w:hAnsi="宋体"/>
        </w:rPr>
        <w:t>14.4 本合同未尽事宜，遵照《中华人民共和国民法典》有关条文执行。</w:t>
      </w:r>
    </w:p>
    <w:p w14:paraId="7CF63A85">
      <w:pPr>
        <w:pStyle w:val="2"/>
        <w:ind w:firstLine="420" w:firstLineChars="200"/>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14.5本合同一式伍份，具有同等法律效力，甲方三份，乙方二份，自甲乙双方法定代表或被授权代表人签字并加盖单位公章后正式生效。</w:t>
      </w: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2C6CE44A">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4BD7EC9-FFD1-44DE-A2EB-C7F956404A2F}"/>
  </w:font>
  <w:font w:name="Courier New">
    <w:panose1 w:val="02070309020205020404"/>
    <w:charset w:val="01"/>
    <w:family w:val="modern"/>
    <w:pitch w:val="default"/>
    <w:sig w:usb0="E0002EFF" w:usb1="C0007843" w:usb2="00000009" w:usb3="00000000" w:csb0="400001FF" w:csb1="FFFF0000"/>
    <w:embedRegular r:id="rId2" w:fontKey="{0AEF512C-6CDC-469B-8AFF-DEB72788CA4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445B988-601E-4220-8F12-F8827321D207}"/>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4B808BB4-8F13-4952-A171-4AE45FD7E5BD}"/>
  </w:font>
  <w:font w:name="仿宋_GB2312">
    <w:panose1 w:val="02010609030101010101"/>
    <w:charset w:val="86"/>
    <w:family w:val="modern"/>
    <w:pitch w:val="default"/>
    <w:sig w:usb0="00000001" w:usb1="080E0000" w:usb2="00000000" w:usb3="00000000" w:csb0="00040000" w:csb1="00000000"/>
    <w:embedRegular r:id="rId5" w:fontKey="{62475DC3-516E-49C8-92EA-0E0BFCDE4CE5}"/>
  </w:font>
  <w:font w:name="Lucida Sans Unicode">
    <w:panose1 w:val="020B0602030504020204"/>
    <w:charset w:val="00"/>
    <w:family w:val="swiss"/>
    <w:pitch w:val="default"/>
    <w:sig w:usb0="80001AFF" w:usb1="0000396B" w:usb2="00000000" w:usb3="00000000" w:csb0="200000BF" w:csb1="D7F70000"/>
    <w:embedRegular r:id="rId6" w:fontKey="{35C12B67-A758-492D-9B43-5FD957F64B79}"/>
  </w:font>
  <w:font w:name="方正楷体_GB2312">
    <w:panose1 w:val="02000000000000000000"/>
    <w:charset w:val="86"/>
    <w:family w:val="auto"/>
    <w:pitch w:val="default"/>
    <w:sig w:usb0="A00002BF" w:usb1="184F6CFA" w:usb2="00000012" w:usb3="00000000" w:csb0="00040001" w:csb1="00000000"/>
    <w:embedRegular r:id="rId7" w:fontKey="{91397E5C-8DC0-4D12-A5D1-D06B12882EF2}"/>
  </w:font>
  <w:font w:name="仿宋">
    <w:panose1 w:val="02010609060101010101"/>
    <w:charset w:val="86"/>
    <w:family w:val="modern"/>
    <w:pitch w:val="default"/>
    <w:sig w:usb0="800002BF" w:usb1="38CF7CFA" w:usb2="00000016" w:usb3="00000000" w:csb0="00040001" w:csb1="00000000"/>
    <w:embedRegular r:id="rId8" w:fontKey="{0B1F1D8F-D654-42AE-9056-EE88EB855BE7}"/>
  </w:font>
  <w:font w:name="Wingdings 2">
    <w:panose1 w:val="05020102010507070707"/>
    <w:charset w:val="02"/>
    <w:family w:val="roman"/>
    <w:pitch w:val="default"/>
    <w:sig w:usb0="00000000" w:usb1="00000000" w:usb2="00000000" w:usb3="00000000" w:csb0="80000000" w:csb1="00000000"/>
    <w:embedRegular r:id="rId9" w:fontKey="{3DF20714-3C0A-49A6-A00B-D58F13F1F83B}"/>
  </w:font>
  <w:font w:name="方正公文小标宋">
    <w:panose1 w:val="02000500000000000000"/>
    <w:charset w:val="86"/>
    <w:family w:val="auto"/>
    <w:pitch w:val="default"/>
    <w:sig w:usb0="A00002BF" w:usb1="38CF7CFA" w:usb2="00000016" w:usb3="00000000" w:csb0="00040001" w:csb1="00000000"/>
    <w:embedRegular r:id="rId10" w:fontKey="{63E3CE26-8D56-479D-8E83-496616456A9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3670C57"/>
    <w:rsid w:val="080979B6"/>
    <w:rsid w:val="08CA34D3"/>
    <w:rsid w:val="09B900FA"/>
    <w:rsid w:val="0C0A5403"/>
    <w:rsid w:val="12C67FE1"/>
    <w:rsid w:val="15D77522"/>
    <w:rsid w:val="19A5109C"/>
    <w:rsid w:val="1B1F4E7E"/>
    <w:rsid w:val="1B5C39DD"/>
    <w:rsid w:val="1E4824ED"/>
    <w:rsid w:val="1E6848B0"/>
    <w:rsid w:val="20EC5803"/>
    <w:rsid w:val="23DF7159"/>
    <w:rsid w:val="24C95406"/>
    <w:rsid w:val="25030284"/>
    <w:rsid w:val="2BAB4636"/>
    <w:rsid w:val="2CEA23C0"/>
    <w:rsid w:val="2F9C5AF8"/>
    <w:rsid w:val="357272D4"/>
    <w:rsid w:val="39254A49"/>
    <w:rsid w:val="3A155D47"/>
    <w:rsid w:val="3F794BDA"/>
    <w:rsid w:val="41717D14"/>
    <w:rsid w:val="44942BEF"/>
    <w:rsid w:val="45D636A5"/>
    <w:rsid w:val="495E2059"/>
    <w:rsid w:val="49CF5B75"/>
    <w:rsid w:val="4A2E27D8"/>
    <w:rsid w:val="4BE930B0"/>
    <w:rsid w:val="4DF267BC"/>
    <w:rsid w:val="50901C87"/>
    <w:rsid w:val="53DA23BC"/>
    <w:rsid w:val="53E47AF0"/>
    <w:rsid w:val="54714A29"/>
    <w:rsid w:val="55731FB9"/>
    <w:rsid w:val="5745560C"/>
    <w:rsid w:val="59210620"/>
    <w:rsid w:val="59401951"/>
    <w:rsid w:val="5B2D3245"/>
    <w:rsid w:val="5FF955CE"/>
    <w:rsid w:val="60884935"/>
    <w:rsid w:val="61F52ED8"/>
    <w:rsid w:val="63267838"/>
    <w:rsid w:val="667523D3"/>
    <w:rsid w:val="66F31915"/>
    <w:rsid w:val="674A2C89"/>
    <w:rsid w:val="6AAE1B7A"/>
    <w:rsid w:val="703B4AE4"/>
    <w:rsid w:val="71C86016"/>
    <w:rsid w:val="720023AB"/>
    <w:rsid w:val="745C607B"/>
    <w:rsid w:val="75CC2D87"/>
    <w:rsid w:val="75E8594C"/>
    <w:rsid w:val="77995062"/>
    <w:rsid w:val="78CC1807"/>
    <w:rsid w:val="792579EC"/>
    <w:rsid w:val="7B5E6224"/>
    <w:rsid w:val="7C4223E5"/>
    <w:rsid w:val="7C812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5"/>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2"/>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3"/>
    <w:qFormat/>
    <w:uiPriority w:val="0"/>
    <w:pPr>
      <w:jc w:val="left"/>
    </w:pPr>
    <w:rPr>
      <w:rFonts w:ascii="Calibri" w:hAnsi="Calibri" w:eastAsia="宋体" w:cs="Times New Roman"/>
    </w:rPr>
  </w:style>
  <w:style w:type="paragraph" w:styleId="5">
    <w:name w:val="Body Text"/>
    <w:basedOn w:val="1"/>
    <w:link w:val="19"/>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link w:val="28"/>
    <w:semiHidden/>
    <w:unhideWhenUsed/>
    <w:qFormat/>
    <w:uiPriority w:val="99"/>
    <w:pPr>
      <w:spacing w:after="120"/>
      <w:ind w:left="420" w:leftChars="200"/>
    </w:pPr>
  </w:style>
  <w:style w:type="paragraph" w:styleId="7">
    <w:name w:val="Plain Text"/>
    <w:basedOn w:val="1"/>
    <w:next w:val="3"/>
    <w:link w:val="21"/>
    <w:unhideWhenUsed/>
    <w:qFormat/>
    <w:uiPriority w:val="0"/>
    <w:rPr>
      <w:rFonts w:ascii="宋体" w:hAnsi="Courier New" w:eastAsia="宋体" w:cs="Times New Roman"/>
      <w:szCs w:val="20"/>
    </w:rPr>
  </w:style>
  <w:style w:type="paragraph" w:styleId="8">
    <w:name w:val="Date"/>
    <w:basedOn w:val="1"/>
    <w:next w:val="1"/>
    <w:link w:val="30"/>
    <w:semiHidden/>
    <w:unhideWhenUsed/>
    <w:qFormat/>
    <w:uiPriority w:val="99"/>
    <w:pPr>
      <w:ind w:left="100" w:leftChars="2500"/>
    </w:pPr>
  </w:style>
  <w:style w:type="paragraph" w:styleId="9">
    <w:name w:val="Balloon Text"/>
    <w:basedOn w:val="1"/>
    <w:link w:val="24"/>
    <w:semiHidden/>
    <w:unhideWhenUsed/>
    <w:qFormat/>
    <w:uiPriority w:val="99"/>
    <w:rPr>
      <w:sz w:val="18"/>
      <w:szCs w:val="18"/>
    </w:rPr>
  </w:style>
  <w:style w:type="paragraph" w:styleId="10">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w:basedOn w:val="5"/>
    <w:link w:val="31"/>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2">
    <w:name w:val="Body Text First Indent 2"/>
    <w:basedOn w:val="6"/>
    <w:link w:val="29"/>
    <w:semiHidden/>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qFormat/>
    <w:uiPriority w:val="0"/>
    <w:rPr>
      <w:color w:val="0000FF" w:themeColor="hyperlink"/>
      <w:u w:val="single"/>
      <w14:textFill>
        <w14:solidFill>
          <w14:schemeClr w14:val="hlink"/>
        </w14:solidFill>
      </w14:textFill>
    </w:rPr>
  </w:style>
  <w:style w:type="character" w:styleId="18">
    <w:name w:val="annotation reference"/>
    <w:basedOn w:val="15"/>
    <w:qFormat/>
    <w:uiPriority w:val="0"/>
    <w:rPr>
      <w:sz w:val="21"/>
      <w:szCs w:val="21"/>
    </w:rPr>
  </w:style>
  <w:style w:type="character" w:customStyle="1" w:styleId="19">
    <w:name w:val="正文文本 Char"/>
    <w:basedOn w:val="15"/>
    <w:link w:val="5"/>
    <w:semiHidden/>
    <w:qFormat/>
    <w:uiPriority w:val="99"/>
    <w:rPr>
      <w:rFonts w:ascii="宋体" w:hAnsi="宋体" w:eastAsia="宋体" w:cs="宋体"/>
      <w:kern w:val="0"/>
      <w:sz w:val="24"/>
      <w:szCs w:val="24"/>
    </w:rPr>
  </w:style>
  <w:style w:type="paragraph" w:styleId="20">
    <w:name w:val="List Paragraph"/>
    <w:basedOn w:val="1"/>
    <w:qFormat/>
    <w:uiPriority w:val="34"/>
    <w:pPr>
      <w:ind w:firstLine="420" w:firstLineChars="200"/>
    </w:pPr>
  </w:style>
  <w:style w:type="character" w:customStyle="1" w:styleId="21">
    <w:name w:val="纯文本 Char"/>
    <w:basedOn w:val="15"/>
    <w:link w:val="7"/>
    <w:qFormat/>
    <w:uiPriority w:val="99"/>
    <w:rPr>
      <w:rFonts w:ascii="宋体" w:hAnsi="Courier New" w:eastAsia="宋体" w:cs="Times New Roman"/>
      <w:szCs w:val="20"/>
    </w:rPr>
  </w:style>
  <w:style w:type="character" w:customStyle="1" w:styleId="22">
    <w:name w:val="页脚 Char"/>
    <w:basedOn w:val="15"/>
    <w:link w:val="2"/>
    <w:qFormat/>
    <w:uiPriority w:val="0"/>
    <w:rPr>
      <w:rFonts w:ascii="Calibri" w:hAnsi="Calibri" w:eastAsia="宋体" w:cs="Times New Roman"/>
      <w:sz w:val="18"/>
      <w:szCs w:val="18"/>
    </w:rPr>
  </w:style>
  <w:style w:type="character" w:customStyle="1" w:styleId="23">
    <w:name w:val="批注文字 Char"/>
    <w:basedOn w:val="15"/>
    <w:link w:val="4"/>
    <w:qFormat/>
    <w:uiPriority w:val="0"/>
    <w:rPr>
      <w:rFonts w:ascii="Calibri" w:hAnsi="Calibri" w:eastAsia="宋体" w:cs="Times New Roman"/>
    </w:rPr>
  </w:style>
  <w:style w:type="character" w:customStyle="1" w:styleId="24">
    <w:name w:val="批注框文本 Char"/>
    <w:basedOn w:val="15"/>
    <w:link w:val="9"/>
    <w:semiHidden/>
    <w:qFormat/>
    <w:uiPriority w:val="99"/>
    <w:rPr>
      <w:sz w:val="18"/>
      <w:szCs w:val="18"/>
    </w:rPr>
  </w:style>
  <w:style w:type="character" w:customStyle="1" w:styleId="25">
    <w:name w:val="标题 4 Char"/>
    <w:basedOn w:val="15"/>
    <w:link w:val="3"/>
    <w:qFormat/>
    <w:uiPriority w:val="0"/>
    <w:rPr>
      <w:rFonts w:ascii="Arial" w:eastAsia="黑体"/>
      <w:kern w:val="0"/>
      <w:sz w:val="28"/>
      <w:szCs w:val="20"/>
    </w:rPr>
  </w:style>
  <w:style w:type="character" w:customStyle="1" w:styleId="26">
    <w:name w:val="font171"/>
    <w:basedOn w:val="15"/>
    <w:qFormat/>
    <w:uiPriority w:val="0"/>
    <w:rPr>
      <w:rFonts w:ascii="Arial" w:hAnsi="Arial" w:cs="Arial"/>
      <w:color w:val="000000"/>
      <w:sz w:val="16"/>
      <w:szCs w:val="16"/>
      <w:u w:val="none"/>
    </w:rPr>
  </w:style>
  <w:style w:type="character" w:customStyle="1" w:styleId="27">
    <w:name w:val="font191"/>
    <w:basedOn w:val="15"/>
    <w:qFormat/>
    <w:uiPriority w:val="0"/>
    <w:rPr>
      <w:rFonts w:hint="eastAsia" w:ascii="微软雅黑" w:hAnsi="微软雅黑" w:eastAsia="微软雅黑" w:cs="微软雅黑"/>
      <w:color w:val="000000"/>
      <w:sz w:val="16"/>
      <w:szCs w:val="16"/>
      <w:u w:val="none"/>
    </w:rPr>
  </w:style>
  <w:style w:type="character" w:customStyle="1" w:styleId="28">
    <w:name w:val="正文文本缩进 Char"/>
    <w:basedOn w:val="15"/>
    <w:link w:val="6"/>
    <w:semiHidden/>
    <w:qFormat/>
    <w:uiPriority w:val="99"/>
  </w:style>
  <w:style w:type="character" w:customStyle="1" w:styleId="29">
    <w:name w:val="正文首行缩进 2 Char"/>
    <w:basedOn w:val="28"/>
    <w:link w:val="12"/>
    <w:semiHidden/>
    <w:qFormat/>
    <w:uiPriority w:val="99"/>
  </w:style>
  <w:style w:type="character" w:customStyle="1" w:styleId="30">
    <w:name w:val="日期 Char"/>
    <w:basedOn w:val="15"/>
    <w:link w:val="8"/>
    <w:semiHidden/>
    <w:qFormat/>
    <w:uiPriority w:val="99"/>
  </w:style>
  <w:style w:type="character" w:customStyle="1" w:styleId="31">
    <w:name w:val="正文首行缩进 Char"/>
    <w:basedOn w:val="19"/>
    <w:link w:val="11"/>
    <w:qFormat/>
    <w:uiPriority w:val="0"/>
    <w:rPr>
      <w:rFonts w:ascii="Times New Roman" w:hAnsi="Times New Roman" w:eastAsia="宋体" w:cs="宋体"/>
      <w:kern w:val="0"/>
      <w:sz w:val="24"/>
      <w:szCs w:val="24"/>
    </w:rPr>
  </w:style>
  <w:style w:type="paragraph" w:customStyle="1" w:styleId="32">
    <w:name w:val="Table Paragraph"/>
    <w:basedOn w:val="1"/>
    <w:unhideWhenUsed/>
    <w:qFormat/>
    <w:uiPriority w:val="1"/>
    <w:rPr>
      <w:rFonts w:hint="eastAsia"/>
      <w:sz w:val="24"/>
      <w:szCs w:val="24"/>
    </w:rPr>
  </w:style>
  <w:style w:type="character" w:customStyle="1" w:styleId="33">
    <w:name w:val="页眉 Char"/>
    <w:basedOn w:val="15"/>
    <w:link w:val="10"/>
    <w:qFormat/>
    <w:uiPriority w:val="99"/>
    <w:rPr>
      <w:kern w:val="2"/>
      <w:sz w:val="18"/>
      <w:szCs w:val="18"/>
    </w:rPr>
  </w:style>
  <w:style w:type="paragraph" w:customStyle="1" w:styleId="34">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11129</Words>
  <Characters>11619</Characters>
  <Lines>39</Lines>
  <Paragraphs>11</Paragraphs>
  <TotalTime>0</TotalTime>
  <ScaleCrop>false</ScaleCrop>
  <LinksUpToDate>false</LinksUpToDate>
  <CharactersWithSpaces>13469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2024-08-23T09:25:10Z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D17A6724B052480980115F7B28906245_13</vt:lpwstr>
  </property>
</Properties>
</file>