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bookmarkStart w:id="18" w:name="_GoBack"/>
      <w:bookmarkEnd w:id="18"/>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762F763C">
      <w:pPr>
        <w:spacing w:line="360" w:lineRule="auto"/>
        <w:jc w:val="center"/>
        <w:rPr>
          <w:rFonts w:ascii="宋体" w:hAnsi="宋体"/>
          <w:b/>
          <w:color w:val="auto"/>
          <w:sz w:val="32"/>
          <w:szCs w:val="32"/>
        </w:rPr>
      </w:pPr>
    </w:p>
    <w:p w14:paraId="3F1C2F19">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w:t>
      </w:r>
      <w:r>
        <w:rPr>
          <w:rFonts w:hint="eastAsia" w:ascii="仿宋_GB2312" w:hAnsi="Courier New" w:eastAsia="仿宋_GB2312" w:cs="Courier New"/>
          <w:b/>
          <w:bCs/>
          <w:color w:val="000000"/>
          <w:kern w:val="0"/>
          <w:sz w:val="32"/>
          <w:szCs w:val="32"/>
          <w:lang w:val="zh-TW" w:eastAsia="zh-CN"/>
        </w:rPr>
        <w:t>2024年广西血液动员中心宣传片视频拍摄制作服务</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项目编号：NNBCFW202401</w:t>
      </w:r>
      <w:r>
        <w:rPr>
          <w:rFonts w:hint="eastAsia" w:ascii="仿宋_GB2312" w:hAnsi="Courier New" w:eastAsia="仿宋_GB2312" w:cs="Courier New"/>
          <w:b/>
          <w:bCs/>
          <w:color w:val="000000"/>
          <w:kern w:val="0"/>
          <w:sz w:val="32"/>
          <w:szCs w:val="32"/>
          <w:lang w:val="en-US" w:eastAsia="zh-CN"/>
        </w:rPr>
        <w:t>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23</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2024年广西血液动员中心宣传片视频拍摄制作服务采购公告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南宁中心血站按照采购计划，对2024年广西血液动员中心宣传片视频拍摄制作服务进行采购，现就该项目邀请具有资质的单位进行响应，采购信息如下：</w:t>
      </w:r>
    </w:p>
    <w:p w14:paraId="6A3E00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zh-TW" w:eastAsia="zh-TW"/>
        </w:rPr>
        <w:t>一、项目编号：NNBCFW202401</w:t>
      </w:r>
      <w:r>
        <w:rPr>
          <w:rFonts w:hint="eastAsia" w:ascii="黑体" w:hAnsi="黑体" w:eastAsia="黑体" w:cs="黑体"/>
          <w:color w:val="000000"/>
          <w:kern w:val="0"/>
          <w:sz w:val="32"/>
          <w:szCs w:val="32"/>
          <w:lang w:val="en-US" w:eastAsia="zh-CN"/>
        </w:rPr>
        <w:t>9</w:t>
      </w:r>
    </w:p>
    <w:p w14:paraId="24C50F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项目名称：2024年广西血液动员中心宣传片视频拍摄制作服务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25</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贰万伍仟元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25</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TW"/>
        </w:rPr>
        <w:t>，注册经营范围满足所采购内容</w:t>
      </w:r>
      <w:r>
        <w:rPr>
          <w:rFonts w:hint="eastAsia" w:ascii="仿宋_GB2312" w:hAnsi="Courier New" w:eastAsia="仿宋_GB2312" w:cs="Courier New"/>
          <w:color w:val="000000"/>
          <w:kern w:val="0"/>
          <w:sz w:val="32"/>
          <w:szCs w:val="32"/>
          <w:lang w:val="zh-TW" w:eastAsia="zh-CN"/>
        </w:rPr>
        <w:t>（经营范围包含视频拍摄、制作等与本项目相关内容）</w:t>
      </w:r>
      <w:r>
        <w:rPr>
          <w:rFonts w:hint="eastAsia" w:ascii="仿宋_GB2312" w:hAnsi="Courier New" w:eastAsia="仿宋_GB2312" w:cs="Courier New"/>
          <w:color w:val="000000"/>
          <w:kern w:val="0"/>
          <w:sz w:val="32"/>
          <w:szCs w:val="32"/>
          <w:lang w:val="zh-TW" w:eastAsia="zh-TW"/>
        </w:rPr>
        <w:t>的供应商</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A17CC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（十）广播电视节目制作经营许可证（如有请提供）；</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（十一）同类制作作品案例及获奖证明材料（如有请提供）；</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两</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24DCA04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58332A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329049">
      <w:pPr>
        <w:ind w:firstLine="600" w:firstLineChars="200"/>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2"/>
        <w:jc w:val="center"/>
        <w:rPr>
          <w:rFonts w:hint="eastAsia" w:hAnsi="宋体" w:cs="宋体"/>
          <w:b/>
          <w:sz w:val="36"/>
        </w:rPr>
      </w:pPr>
      <w:r>
        <w:rPr>
          <w:rFonts w:hint="eastAsia" w:hAnsi="宋体" w:cs="宋体"/>
          <w:b/>
          <w:sz w:val="36"/>
        </w:rPr>
        <w:t>采购需求一览表</w:t>
      </w:r>
    </w:p>
    <w:p w14:paraId="61E77BF8">
      <w:pPr>
        <w:pStyle w:val="3"/>
        <w:numPr>
          <w:ilvl w:val="0"/>
          <w:numId w:val="0"/>
        </w:numPr>
        <w:ind w:left="0" w:firstLine="0"/>
        <w:rPr>
          <w:rFonts w:hint="eastAsia" w:hAnsi="宋体" w:cs="宋体"/>
          <w:b/>
          <w:sz w:val="36"/>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4"/>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1"/>
        <w:gridCol w:w="742"/>
        <w:gridCol w:w="323"/>
        <w:gridCol w:w="532"/>
        <w:gridCol w:w="8333"/>
      </w:tblGrid>
      <w:tr w14:paraId="1E033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1248C565">
            <w:pPr>
              <w:pStyle w:val="2"/>
            </w:pPr>
          </w:p>
        </w:tc>
        <w:tc>
          <w:tcPr>
            <w:tcW w:w="742" w:type="dxa"/>
            <w:tcBorders>
              <w:top w:val="single" w:color="auto" w:sz="4" w:space="0"/>
              <w:left w:val="single" w:color="auto" w:sz="4" w:space="0"/>
              <w:bottom w:val="single" w:color="auto" w:sz="4" w:space="0"/>
              <w:right w:val="single" w:color="auto" w:sz="4" w:space="0"/>
            </w:tcBorders>
            <w:noWrap w:val="0"/>
            <w:vAlign w:val="center"/>
          </w:tcPr>
          <w:p w14:paraId="38CA7377">
            <w:pPr>
              <w:jc w:val="center"/>
              <w:rPr>
                <w:rFonts w:ascii="宋体" w:hAnsi="宋体"/>
                <w:b/>
                <w:color w:val="auto"/>
                <w:szCs w:val="21"/>
                <w:highlight w:val="none"/>
              </w:rPr>
            </w:pPr>
            <w:r>
              <w:rPr>
                <w:rFonts w:hint="eastAsia" w:ascii="宋体" w:hAnsi="宋体"/>
                <w:b/>
                <w:color w:val="auto"/>
                <w:szCs w:val="21"/>
                <w:highlight w:val="none"/>
              </w:rPr>
              <w:t>采购项目名称</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0E1D35C1">
            <w:pPr>
              <w:jc w:val="center"/>
              <w:rPr>
                <w:rFonts w:ascii="宋体" w:hAnsi="宋体"/>
                <w:b/>
                <w:color w:val="auto"/>
                <w:szCs w:val="21"/>
                <w:highlight w:val="none"/>
              </w:rPr>
            </w:pPr>
            <w:r>
              <w:rPr>
                <w:rFonts w:hint="eastAsia" w:ascii="宋体" w:hAnsi="宋体"/>
                <w:b/>
                <w:color w:val="auto"/>
                <w:szCs w:val="21"/>
                <w:highlight w:val="none"/>
              </w:rPr>
              <w:t>数量</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4053EE70">
            <w:pPr>
              <w:jc w:val="center"/>
              <w:rPr>
                <w:rFonts w:ascii="宋体" w:hAnsi="宋体"/>
                <w:b/>
                <w:color w:val="auto"/>
                <w:szCs w:val="21"/>
                <w:highlight w:val="none"/>
              </w:rPr>
            </w:pPr>
            <w:r>
              <w:rPr>
                <w:rFonts w:hint="eastAsia" w:ascii="宋体" w:hAnsi="宋体"/>
                <w:b/>
                <w:color w:val="auto"/>
                <w:szCs w:val="21"/>
                <w:highlight w:val="none"/>
              </w:rPr>
              <w:t>预算</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366C501D">
            <w:pPr>
              <w:jc w:val="center"/>
              <w:rPr>
                <w:rFonts w:ascii="宋体" w:hAnsi="宋体"/>
                <w:b/>
                <w:color w:val="auto"/>
                <w:szCs w:val="21"/>
                <w:highlight w:val="none"/>
              </w:rPr>
            </w:pPr>
            <w:r>
              <w:rPr>
                <w:rFonts w:hint="eastAsia" w:ascii="宋体" w:hAnsi="宋体"/>
                <w:b/>
                <w:color w:val="auto"/>
                <w:szCs w:val="21"/>
                <w:highlight w:val="none"/>
              </w:rPr>
              <w:t>采购</w:t>
            </w:r>
            <w:r>
              <w:rPr>
                <w:rFonts w:hint="eastAsia" w:ascii="宋体" w:hAnsi="宋体"/>
                <w:b/>
                <w:color w:val="auto"/>
                <w:szCs w:val="21"/>
                <w:highlight w:val="none"/>
                <w:lang w:val="en-US" w:eastAsia="zh-CN"/>
              </w:rPr>
              <w:t>服务</w:t>
            </w:r>
            <w:r>
              <w:rPr>
                <w:rFonts w:hint="eastAsia" w:ascii="宋体" w:hAnsi="宋体"/>
                <w:b/>
                <w:color w:val="auto"/>
                <w:szCs w:val="21"/>
                <w:highlight w:val="none"/>
              </w:rPr>
              <w:t>内容及要求</w:t>
            </w:r>
          </w:p>
        </w:tc>
      </w:tr>
      <w:tr w14:paraId="63C262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201112B5">
            <w:pPr>
              <w:jc w:val="center"/>
              <w:rPr>
                <w:rFonts w:ascii="宋体" w:hAnsi="宋体"/>
                <w:color w:val="auto"/>
                <w:szCs w:val="21"/>
                <w:highlight w:val="none"/>
              </w:rPr>
            </w:pPr>
            <w:r>
              <w:rPr>
                <w:rFonts w:ascii="宋体" w:hAnsi="宋体"/>
                <w:color w:val="auto"/>
                <w:szCs w:val="21"/>
                <w:highlight w:val="none"/>
              </w:rPr>
              <w:t>1</w:t>
            </w:r>
          </w:p>
        </w:tc>
        <w:tc>
          <w:tcPr>
            <w:tcW w:w="742" w:type="dxa"/>
            <w:tcBorders>
              <w:top w:val="single" w:color="auto" w:sz="4" w:space="0"/>
              <w:left w:val="single" w:color="auto" w:sz="4" w:space="0"/>
              <w:bottom w:val="single" w:color="auto" w:sz="4" w:space="0"/>
              <w:right w:val="single" w:color="auto" w:sz="4" w:space="0"/>
            </w:tcBorders>
            <w:noWrap w:val="0"/>
            <w:vAlign w:val="center"/>
          </w:tcPr>
          <w:p w14:paraId="103F0057">
            <w:pPr>
              <w:jc w:val="center"/>
              <w:rPr>
                <w:rFonts w:ascii="宋体" w:hAnsi="宋体"/>
                <w:color w:val="auto"/>
                <w:szCs w:val="21"/>
                <w:highlight w:val="none"/>
              </w:rPr>
            </w:pPr>
            <w:r>
              <w:rPr>
                <w:rFonts w:hint="eastAsia" w:ascii="宋体" w:hAnsi="宋体"/>
                <w:color w:val="auto"/>
                <w:szCs w:val="21"/>
                <w:highlight w:val="none"/>
              </w:rPr>
              <w:t>202</w:t>
            </w:r>
            <w:r>
              <w:rPr>
                <w:rFonts w:hint="eastAsia" w:ascii="宋体" w:hAnsi="宋体"/>
                <w:color w:val="auto"/>
                <w:szCs w:val="21"/>
                <w:highlight w:val="none"/>
                <w:lang w:val="en-US" w:eastAsia="zh-CN"/>
              </w:rPr>
              <w:t>4</w:t>
            </w:r>
            <w:r>
              <w:rPr>
                <w:rFonts w:hint="eastAsia" w:ascii="宋体" w:hAnsi="宋体"/>
                <w:color w:val="auto"/>
                <w:szCs w:val="21"/>
                <w:highlight w:val="none"/>
              </w:rPr>
              <w:t>年</w:t>
            </w:r>
            <w:r>
              <w:rPr>
                <w:rFonts w:hint="eastAsia" w:ascii="宋体" w:hAnsi="宋体"/>
                <w:color w:val="auto"/>
                <w:szCs w:val="21"/>
                <w:highlight w:val="none"/>
                <w:lang w:val="en-US" w:eastAsia="zh-CN"/>
              </w:rPr>
              <w:t>广西血液动员中心</w:t>
            </w:r>
            <w:r>
              <w:rPr>
                <w:rFonts w:hint="eastAsia" w:ascii="宋体" w:hAnsi="宋体"/>
                <w:color w:val="auto"/>
                <w:szCs w:val="21"/>
                <w:highlight w:val="none"/>
              </w:rPr>
              <w:t>宣传片视频拍摄制作</w:t>
            </w:r>
            <w:r>
              <w:rPr>
                <w:rFonts w:hint="eastAsia" w:ascii="宋体" w:hAnsi="宋体"/>
                <w:color w:val="auto"/>
                <w:szCs w:val="21"/>
                <w:highlight w:val="none"/>
                <w:lang w:eastAsia="zh-CN"/>
              </w:rPr>
              <w:t>服务</w:t>
            </w:r>
          </w:p>
        </w:tc>
        <w:tc>
          <w:tcPr>
            <w:tcW w:w="323" w:type="dxa"/>
            <w:tcBorders>
              <w:top w:val="single" w:color="auto" w:sz="4" w:space="0"/>
              <w:left w:val="single" w:color="auto" w:sz="4" w:space="0"/>
              <w:bottom w:val="single" w:color="auto" w:sz="4" w:space="0"/>
              <w:right w:val="single" w:color="auto" w:sz="4" w:space="0"/>
            </w:tcBorders>
            <w:noWrap w:val="0"/>
            <w:vAlign w:val="center"/>
          </w:tcPr>
          <w:p w14:paraId="46CF57A9">
            <w:pPr>
              <w:jc w:val="center"/>
              <w:rPr>
                <w:rFonts w:ascii="宋体" w:hAnsi="宋体"/>
                <w:color w:val="auto"/>
                <w:szCs w:val="21"/>
                <w:highlight w:val="none"/>
              </w:rPr>
            </w:pPr>
            <w:r>
              <w:rPr>
                <w:rFonts w:hint="eastAsia" w:ascii="宋体" w:hAnsi="宋体"/>
                <w:color w:val="auto"/>
                <w:szCs w:val="21"/>
                <w:highlight w:val="none"/>
              </w:rPr>
              <w:t>1项</w:t>
            </w:r>
          </w:p>
        </w:tc>
        <w:tc>
          <w:tcPr>
            <w:tcW w:w="532" w:type="dxa"/>
            <w:tcBorders>
              <w:top w:val="single" w:color="auto" w:sz="4" w:space="0"/>
              <w:left w:val="single" w:color="auto" w:sz="4" w:space="0"/>
              <w:bottom w:val="single" w:color="auto" w:sz="4" w:space="0"/>
              <w:right w:val="single" w:color="auto" w:sz="4" w:space="0"/>
            </w:tcBorders>
            <w:noWrap w:val="0"/>
            <w:vAlign w:val="center"/>
          </w:tcPr>
          <w:p w14:paraId="185C93A1">
            <w:pPr>
              <w:jc w:val="both"/>
              <w:rPr>
                <w:rFonts w:ascii="宋体" w:hAnsi="宋体"/>
                <w:color w:val="auto"/>
                <w:szCs w:val="21"/>
                <w:highlight w:val="none"/>
              </w:rPr>
            </w:pPr>
            <w:r>
              <w:rPr>
                <w:rFonts w:hint="eastAsia" w:ascii="宋体" w:hAnsi="宋体"/>
                <w:color w:val="auto"/>
                <w:szCs w:val="21"/>
                <w:highlight w:val="none"/>
                <w:lang w:val="en-US" w:eastAsia="zh-CN"/>
              </w:rPr>
              <w:t>2.5</w:t>
            </w:r>
            <w:r>
              <w:rPr>
                <w:rFonts w:hint="eastAsia" w:ascii="宋体" w:hAnsi="宋体"/>
                <w:color w:val="auto"/>
                <w:szCs w:val="21"/>
                <w:highlight w:val="none"/>
              </w:rPr>
              <w:t>万元</w:t>
            </w:r>
          </w:p>
        </w:tc>
        <w:tc>
          <w:tcPr>
            <w:tcW w:w="8333" w:type="dxa"/>
            <w:tcBorders>
              <w:top w:val="single" w:color="auto" w:sz="4" w:space="0"/>
              <w:left w:val="single" w:color="auto" w:sz="4" w:space="0"/>
              <w:bottom w:val="single" w:color="auto" w:sz="4" w:space="0"/>
              <w:right w:val="single" w:color="auto" w:sz="4" w:space="0"/>
            </w:tcBorders>
            <w:noWrap w:val="0"/>
            <w:vAlign w:val="center"/>
          </w:tcPr>
          <w:p w14:paraId="05F22D2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一、项目概况：</w:t>
            </w:r>
          </w:p>
          <w:p w14:paraId="2EC57D5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为丰富宣传手段，扩大应急状态下采供血全流程的宣传效果，更好展示广西血液动员中心应急采供血工作成效，拟采购应急采供血精品短片摄制2024年广西血液动员中心宣传片视频拍摄制作服务。</w:t>
            </w:r>
          </w:p>
          <w:p w14:paraId="0169CA4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二、服务内容</w:t>
            </w:r>
          </w:p>
          <w:p w14:paraId="065478A8">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摄制一则广西血液动员中心宣传片，时长5-8分钟，视频以MP4格式导出1080P格式中字幕宣传片。</w:t>
            </w:r>
          </w:p>
          <w:p w14:paraId="34EBCF7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三、服务要求</w:t>
            </w:r>
          </w:p>
          <w:p w14:paraId="3ECA428A">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（一）宣传片总体要求</w:t>
            </w:r>
          </w:p>
          <w:p w14:paraId="726014C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立意高远、内涵丰富，能够体现出广西血液动员中心“平时服务，急时应急，战时应战”的初心与使命，高度概括动员中心应急采供血的内涵和宗旨，提高应对各种突发事件的血液供应和保障能力，推动无偿献血工作的健康和可持续发展。</w:t>
            </w:r>
          </w:p>
          <w:p w14:paraId="213186E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2.亮点突出、寓意深刻，能够体现应急状态下的采供血保障体系特点，突出工作业绩和创新成就。</w:t>
            </w:r>
          </w:p>
          <w:p w14:paraId="58962589">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感召力强、鼓舞人心，能够增强全站工作人员的凝聚力和责任感，提高中心处理重特大突发事件的整体水平和能力，快速组织采供血液，保障医疗急救用血，成为展现广西血液动员中心和南宁中心血站采供血高质量发展的鲜明注脚。</w:t>
            </w:r>
          </w:p>
          <w:p w14:paraId="64A3DAD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（二）具体服务要求</w:t>
            </w:r>
          </w:p>
          <w:p w14:paraId="03AABFB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1.宣传片时长5-8分钟，中文字幕。</w:t>
            </w:r>
          </w:p>
          <w:p w14:paraId="782AF73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成交供应商负责宣传片材料收集沟通、脚本撰写；现场录音、分镜脚本、编制拍摄计划；实地拍摄；后期剪辑、配音、配乐、视频特效、包装、后期合成、调色、修改完善等全过程服务，采购人提供相关文字资料和部分图像素材。</w:t>
            </w:r>
          </w:p>
          <w:p w14:paraId="7BFDE80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3.根据宣传片摄制需要，成交单位应合理综合运用实景拍摄、三维制作、航拍等手段表现。</w:t>
            </w:r>
          </w:p>
          <w:p w14:paraId="5F60D64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4.器材及技术要求：前期拍摄应包含航拍手段进行外景拍摄，并使用轨道进行相关镜头的拍摄，拍摄器材要求4K电影级数字摄像机，专业镜头组，4K（4096*2160）拍摄。</w:t>
            </w:r>
          </w:p>
          <w:p w14:paraId="6C76449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拍摄服务：本次拍摄服务费用为一次性支付，拍摄的前、中、后期产生的所有费用（包括但不限于拍摄道具及人员衣、食、住、行等）均由成交供应商自行负责。（注：拍摄除南宁市区内有拍摄需求、还有南宁市（含县份）两次下乡外景拍摄需求。）</w:t>
            </w:r>
          </w:p>
          <w:p w14:paraId="464E8D6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6.确定脚本后，采购人可以在不修改已确定脚本和影片数量的前提下，对影片要点的表现手法、要点内容和实现技术提出修改要求。</w:t>
            </w:r>
          </w:p>
          <w:p w14:paraId="0919703C">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宣传片交付要求：样片经采购人审查后，由成交供应商根据审查意见修改，并于审查意见出具后的7个工作日内，交付符合修改要求和质量的下一稿成片，按照采购人要求修改后的最终定稿需在2024年11月15日前完成。</w:t>
            </w:r>
          </w:p>
          <w:p w14:paraId="5160C4C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8.售后服务：承诺根据采购人要求提供后续剪辑的售后服务，在不改动视频框架的前提下，成交方提供不少于3次的视频修改服务，期间产生的所有费用由成交方自行负责。</w:t>
            </w:r>
          </w:p>
          <w:p w14:paraId="741FB5BA">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9.保密服务：成交方需遵守保密协议并签订合约，对相关资料素材的安全保密负全责，严禁擅自复制、拷贝、修改、销毁甲方的任何信息，涉及拍摄的所有素材及成片无字幕版都移交至给血站存档。</w:t>
            </w:r>
          </w:p>
          <w:p w14:paraId="30EF7D2E">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（三）制作要求</w:t>
            </w:r>
          </w:p>
          <w:p w14:paraId="6FF9622C">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1.技术水准</w:t>
            </w:r>
          </w:p>
          <w:p w14:paraId="1E3DEB3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（1）拥有高效稳定的制作团队，摄制组分工明确，责任到人。</w:t>
            </w:r>
          </w:p>
          <w:p w14:paraId="6EBD202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（2）摄制前须制定详细的总体拍摄方案和分镜头文字脚本，方案需现实可行。</w:t>
            </w:r>
          </w:p>
          <w:p w14:paraId="49D5EB2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（3）摄制人员有独到的艺术理念和策划意识，能够满足制作要求。</w:t>
            </w:r>
          </w:p>
          <w:p w14:paraId="4107F44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（4）团队拥有拍摄、编辑、撰稿、字幕、配音等专业要求。</w:t>
            </w:r>
          </w:p>
          <w:p w14:paraId="40362CEC">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2.硬件设备：成交方须有4K电影级以上数字摄像机，4K拍摄120帧升格，并配备专业镜头组，含12mm、35mm、50mm、85mm共4只镜头。灯光、4K分辨率航拍器、指向性话筒、高配影视后期制作电脑等硬件设备和Adobe Premiere、Adobe After Effects、Adobe Audition、3DMAX、达芬奇等软件设备。后期编辑须按照采购人要求进行，并积极配合修改、补充拍摄镜头，确保制作效果。</w:t>
            </w:r>
          </w:p>
          <w:p w14:paraId="694648CB">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3.工作团队组成：拥有高效稳定的制作团队，分工明确，人员配置合理，岗位明确。</w:t>
            </w:r>
          </w:p>
          <w:p w14:paraId="4781BA5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（四）宣传片效果要求</w:t>
            </w:r>
          </w:p>
          <w:p w14:paraId="0BFD5B9A">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实拍分辨率均达到4096*2160。调色系统用达芬奇DaVinci Resolve 15，拍摄全部采用电影级要求，画面全部为LOG模式，进行电影级调色水准。</w:t>
            </w:r>
          </w:p>
          <w:p w14:paraId="16A220C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（五）宣传片提交格式要求</w:t>
            </w:r>
          </w:p>
          <w:p w14:paraId="3AA884DE">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成品宣传片均提供1080P格式中文字幕成片，以光盘刻录或移动硬盘的方式交付至我站。</w:t>
            </w:r>
          </w:p>
          <w:p w14:paraId="40034A4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（六）其他要求</w:t>
            </w:r>
          </w:p>
          <w:p w14:paraId="6D11C0DB">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.供应商</w:t>
            </w:r>
            <w:r>
              <w:rPr>
                <w:rFonts w:hint="eastAsia" w:eastAsia="宋体" w:cs="Times New Roman"/>
                <w:color w:val="auto"/>
                <w:kern w:val="2"/>
                <w:sz w:val="21"/>
                <w:szCs w:val="24"/>
                <w:highlight w:val="none"/>
                <w:lang w:val="en-US" w:eastAsia="zh-CN" w:bidi="ar-SA"/>
              </w:rPr>
              <w:t>巨</w:t>
            </w:r>
            <w:r>
              <w:rPr>
                <w:rFonts w:hint="eastAsia" w:ascii="Times New Roman" w:hAnsi="Times New Roman" w:eastAsia="宋体" w:cs="Times New Roman"/>
                <w:color w:val="auto"/>
                <w:kern w:val="2"/>
                <w:sz w:val="21"/>
                <w:szCs w:val="24"/>
                <w:highlight w:val="none"/>
                <w:lang w:val="en-US" w:eastAsia="zh-CN" w:bidi="ar-SA"/>
              </w:rPr>
              <w:t>有广播电视节目制作经营许可证</w:t>
            </w:r>
            <w:r>
              <w:rPr>
                <w:rFonts w:hint="eastAsia" w:eastAsia="宋体" w:cs="Times New Roman"/>
                <w:color w:val="auto"/>
                <w:kern w:val="2"/>
                <w:sz w:val="21"/>
                <w:szCs w:val="24"/>
                <w:highlight w:val="none"/>
                <w:lang w:val="en-US" w:eastAsia="zh-CN" w:bidi="ar-SA"/>
              </w:rPr>
              <w:t>（如有请提供），</w:t>
            </w:r>
            <w:r>
              <w:rPr>
                <w:rFonts w:hint="eastAsia" w:ascii="Times New Roman" w:hAnsi="Times New Roman" w:eastAsia="宋体" w:cs="Times New Roman"/>
                <w:color w:val="auto"/>
                <w:kern w:val="2"/>
                <w:sz w:val="21"/>
                <w:szCs w:val="24"/>
                <w:highlight w:val="none"/>
                <w:lang w:val="en-US" w:eastAsia="zh-CN" w:bidi="ar-SA"/>
              </w:rPr>
              <w:t>优先选择。</w:t>
            </w:r>
          </w:p>
          <w:p w14:paraId="2B02EEA9">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.宣传片设计过程中运用的所有素材的使用权，以及宣传片版权归南宁中心血站所有；未经同意，成交方不得使用相关资料，否则南宁中心血站有权追究其相关责任。</w:t>
            </w:r>
          </w:p>
        </w:tc>
      </w:tr>
      <w:tr w14:paraId="6C943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21" w:type="dxa"/>
            <w:tcBorders>
              <w:top w:val="single" w:color="auto" w:sz="4" w:space="0"/>
              <w:left w:val="single" w:color="auto" w:sz="4" w:space="0"/>
              <w:bottom w:val="single" w:color="auto" w:sz="4" w:space="0"/>
              <w:right w:val="single" w:color="auto" w:sz="4" w:space="0"/>
            </w:tcBorders>
            <w:noWrap w:val="0"/>
            <w:tcMar>
              <w:left w:w="0" w:type="dxa"/>
              <w:right w:w="0" w:type="dxa"/>
            </w:tcMar>
            <w:vAlign w:val="center"/>
          </w:tcPr>
          <w:p w14:paraId="71092835">
            <w:pPr>
              <w:jc w:val="center"/>
              <w:rPr>
                <w:rFonts w:ascii="Times New Roman" w:hAnsi="Times New Roman"/>
                <w:color w:val="auto"/>
                <w:szCs w:val="21"/>
                <w:highlight w:val="none"/>
              </w:rPr>
            </w:pPr>
            <w:r>
              <w:rPr>
                <w:rFonts w:hint="eastAsia" w:ascii="Times New Roman" w:hAnsi="Times New Roman"/>
                <w:color w:val="auto"/>
                <w:szCs w:val="21"/>
                <w:highlight w:val="none"/>
              </w:rPr>
              <w:t>商务</w:t>
            </w:r>
            <w:r>
              <w:rPr>
                <w:rFonts w:ascii="Times New Roman" w:hAnsi="Times New Roman"/>
                <w:color w:val="auto"/>
                <w:szCs w:val="21"/>
                <w:highlight w:val="none"/>
              </w:rPr>
              <w:t>条款</w:t>
            </w:r>
          </w:p>
        </w:tc>
        <w:tc>
          <w:tcPr>
            <w:tcW w:w="9930" w:type="dxa"/>
            <w:gridSpan w:val="4"/>
            <w:tcBorders>
              <w:top w:val="single" w:color="auto" w:sz="4" w:space="0"/>
              <w:left w:val="single" w:color="auto" w:sz="4" w:space="0"/>
              <w:bottom w:val="single" w:color="auto" w:sz="4" w:space="0"/>
              <w:right w:val="single" w:color="auto" w:sz="4" w:space="0"/>
            </w:tcBorders>
            <w:noWrap w:val="0"/>
            <w:vAlign w:val="center"/>
          </w:tcPr>
          <w:p w14:paraId="19CF657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一、合同签订期：自采购结果公告发布之日起5个工作日内。</w:t>
            </w:r>
          </w:p>
          <w:p w14:paraId="680C81B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二、服务时间：自合同签订之日起至宣传片成片交付为止。</w:t>
            </w:r>
          </w:p>
          <w:p w14:paraId="5F283F56">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三、服务地点：采购人指定地点。</w:t>
            </w:r>
          </w:p>
          <w:p w14:paraId="227D5EFC">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四、售后服务要求：</w:t>
            </w:r>
          </w:p>
          <w:p w14:paraId="18D8FBE2">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1、质量保证期：自提供服务至服务验收合格之日止。</w:t>
            </w:r>
          </w:p>
          <w:p w14:paraId="77986F87">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2、处理问题响应时间：接到采购人处理问题通知后，1小时内给出反馈。如需到达采购人指定现场，采购人提前1天通知。</w:t>
            </w:r>
          </w:p>
          <w:p w14:paraId="577F3654">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3、根据采购人要求提供后续剪辑的售后服务。</w:t>
            </w:r>
          </w:p>
          <w:p w14:paraId="6F09A742">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五、服务质量要求：</w:t>
            </w:r>
          </w:p>
          <w:p w14:paraId="63B02E9D">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采购人审核要求对相关内容进行修改、调整时，成交供应商须按采购人的要求进行优化改进，采购人审核通过后方可成片，否则引起的经济损失等后果由成交供应商承担；服务过程中属于成交供应商原因造成的错漏等失误，由成交供应商负责改正，相关费用应由成交供应商自行承担。</w:t>
            </w:r>
          </w:p>
          <w:p w14:paraId="17180A74">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六、其他要求：</w:t>
            </w:r>
          </w:p>
          <w:p w14:paraId="5595010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1、报价必须含以下部分，包括：</w:t>
            </w:r>
          </w:p>
          <w:p w14:paraId="52356B42">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（1）服务的价格；</w:t>
            </w:r>
          </w:p>
          <w:p w14:paraId="27816DB4">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（2）必要的各项税金；</w:t>
            </w:r>
          </w:p>
          <w:p w14:paraId="35ECA53E">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（3）人工、交通、差旅、技术支持、售后服务等费用。</w:t>
            </w:r>
          </w:p>
          <w:p w14:paraId="2275A952">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2、付款方式：服务费用为一次性支付，服务结束并验收合格后支付100%合同款（付款前成交供应商需开具同等金额的合规的发票）。</w:t>
            </w:r>
          </w:p>
          <w:p w14:paraId="19BC7906">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3、宣传片设计过程中运用的所有素材的使用权，以及宣传片版权归南宁中心血站所有；未经同意，成交方不得使用相关资料，否则南宁中心血站有权追究其相关责任。</w:t>
            </w:r>
          </w:p>
          <w:p w14:paraId="4CF31831">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七、发生以下情形，采购人有权解除合同：</w:t>
            </w:r>
          </w:p>
          <w:p w14:paraId="0B08B8BB">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1、因不可抗拒因素导致无法完成服务；</w:t>
            </w:r>
          </w:p>
          <w:p w14:paraId="0D9E7B9D">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2、成交供应商服务情况严重偏离合同约定要求的；</w:t>
            </w:r>
          </w:p>
          <w:p w14:paraId="548FE8A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3、服务期间因成交供应商过错对采购人造成不利影响或重大负面舆情的，采购人有权解除合同，成交供应商须支付相应的违约金，如违约金不足以弥补采购人损失的部分继续由成交供应商承担并追究成交供应商相应法律责任。</w:t>
            </w:r>
          </w:p>
          <w:p w14:paraId="1EB34EE4">
            <w:pPr>
              <w:spacing w:line="276" w:lineRule="auto"/>
              <w:rPr>
                <w:rFonts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4、成交供应商在服务期间对采购人提供的服务负责。如出现未经采购人同意，擅自发布不利于采购人利益或产生社会负面影响的信息，由成交供应商负责消除不良影响并承担消除不良影响的相关费用和责任，采购人可根据实际情况拒付相应服务费并追究相关责任。</w:t>
            </w:r>
          </w:p>
        </w:tc>
      </w:tr>
    </w:tbl>
    <w:p w14:paraId="134EF087">
      <w:pPr>
        <w:pStyle w:val="6"/>
        <w:spacing w:line="500" w:lineRule="exact"/>
        <w:jc w:val="left"/>
        <w:rPr>
          <w:rFonts w:hint="eastAsia" w:ascii="仿宋" w:hAnsi="仿宋" w:eastAsia="仿宋"/>
          <w:color w:val="auto"/>
          <w:sz w:val="30"/>
          <w:szCs w:val="30"/>
        </w:rPr>
      </w:pPr>
    </w:p>
    <w:p w14:paraId="65F8DC69">
      <w:pPr>
        <w:pStyle w:val="6"/>
        <w:spacing w:line="500" w:lineRule="exact"/>
        <w:jc w:val="left"/>
        <w:rPr>
          <w:rFonts w:hint="eastAsia" w:ascii="仿宋" w:hAnsi="仿宋" w:eastAsia="仿宋"/>
          <w:color w:val="auto"/>
          <w:sz w:val="30"/>
          <w:szCs w:val="30"/>
        </w:rPr>
      </w:pPr>
    </w:p>
    <w:p w14:paraId="522228B5">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202</w:t>
      </w:r>
      <w:r>
        <w:rPr>
          <w:rFonts w:hint="eastAsia" w:asciiTheme="minorEastAsia" w:hAnsiTheme="minorEastAsia" w:eastAsiaTheme="minorEastAsia"/>
          <w:color w:val="auto"/>
          <w:sz w:val="21"/>
          <w:szCs w:val="21"/>
          <w:u w:val="single"/>
          <w:lang w:val="en-US" w:eastAsia="zh-CN"/>
        </w:rPr>
        <w:t>4</w:t>
      </w:r>
      <w:r>
        <w:rPr>
          <w:rFonts w:hint="eastAsia" w:asciiTheme="minorEastAsia" w:hAnsiTheme="minorEastAsia" w:eastAsiaTheme="minorEastAsia"/>
          <w:color w:val="auto"/>
          <w:sz w:val="21"/>
          <w:szCs w:val="21"/>
          <w:u w:val="single"/>
        </w:rPr>
        <w:t>年</w:t>
      </w:r>
      <w:r>
        <w:rPr>
          <w:rFonts w:hint="eastAsia" w:asciiTheme="minorEastAsia" w:hAnsiTheme="minorEastAsia" w:eastAsiaTheme="minorEastAsia"/>
          <w:color w:val="auto"/>
          <w:sz w:val="21"/>
          <w:szCs w:val="21"/>
          <w:u w:val="single"/>
          <w:lang w:val="en-US" w:eastAsia="zh-CN"/>
        </w:rPr>
        <w:t>广西血液动员中心</w:t>
      </w:r>
      <w:r>
        <w:rPr>
          <w:rFonts w:hint="eastAsia" w:asciiTheme="minorEastAsia" w:hAnsiTheme="minorEastAsia" w:eastAsiaTheme="minorEastAsia"/>
          <w:color w:val="auto"/>
          <w:sz w:val="21"/>
          <w:szCs w:val="21"/>
          <w:u w:val="single"/>
        </w:rPr>
        <w:t>宣传片视频拍摄制作</w:t>
      </w:r>
      <w:r>
        <w:rPr>
          <w:rFonts w:hint="eastAsia" w:asciiTheme="minorEastAsia" w:hAnsiTheme="minorEastAsia" w:eastAsiaTheme="minorEastAsia"/>
          <w:color w:val="auto"/>
          <w:sz w:val="21"/>
          <w:szCs w:val="21"/>
          <w:u w:val="single"/>
          <w:lang w:eastAsia="zh-CN"/>
        </w:rPr>
        <w:t>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3"/>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01"/>
        <w:gridCol w:w="22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7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2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7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rPr>
              <w:t>202</w:t>
            </w:r>
            <w:r>
              <w:rPr>
                <w:rFonts w:hint="eastAsia" w:ascii="宋体" w:hAnsi="宋体" w:eastAsia="宋体" w:cs="宋体"/>
                <w:kern w:val="0"/>
                <w:sz w:val="20"/>
                <w:szCs w:val="21"/>
                <w:lang w:val="en-US" w:eastAsia="zh-CN"/>
              </w:rPr>
              <w:t>4</w:t>
            </w:r>
            <w:r>
              <w:rPr>
                <w:rFonts w:hint="eastAsia" w:ascii="宋体" w:hAnsi="宋体" w:eastAsia="宋体" w:cs="宋体"/>
                <w:kern w:val="0"/>
                <w:sz w:val="20"/>
                <w:szCs w:val="21"/>
              </w:rPr>
              <w:t>年</w:t>
            </w:r>
            <w:r>
              <w:rPr>
                <w:rFonts w:hint="eastAsia" w:ascii="宋体" w:hAnsi="宋体" w:eastAsia="宋体" w:cs="宋体"/>
                <w:kern w:val="0"/>
                <w:sz w:val="20"/>
                <w:szCs w:val="21"/>
                <w:lang w:val="en-US" w:eastAsia="zh-CN"/>
              </w:rPr>
              <w:t>广西血液动员中心</w:t>
            </w:r>
            <w:r>
              <w:rPr>
                <w:rFonts w:hint="eastAsia" w:ascii="宋体" w:hAnsi="宋体" w:eastAsia="宋体" w:cs="宋体"/>
                <w:kern w:val="0"/>
                <w:sz w:val="20"/>
                <w:szCs w:val="21"/>
              </w:rPr>
              <w:t>宣传片视频拍摄制作</w:t>
            </w:r>
            <w:r>
              <w:rPr>
                <w:rFonts w:hint="eastAsia" w:ascii="宋体" w:hAnsi="宋体" w:eastAsia="宋体" w:cs="宋体"/>
                <w:kern w:val="0"/>
                <w:sz w:val="20"/>
                <w:szCs w:val="21"/>
                <w:lang w:eastAsia="zh-CN"/>
              </w:rPr>
              <w:t>服务</w:t>
            </w:r>
          </w:p>
        </w:tc>
        <w:tc>
          <w:tcPr>
            <w:tcW w:w="22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r>
              <w:rPr>
                <w:rFonts w:hint="eastAsia" w:asciiTheme="minorEastAsia" w:hAnsiTheme="minorEastAsia" w:cstheme="minorEastAsia"/>
                <w:b/>
                <w:color w:val="0000FF"/>
                <w:kern w:val="0"/>
                <w:sz w:val="20"/>
                <w:szCs w:val="21"/>
                <w:lang w:val="en-US" w:eastAsia="zh-CN"/>
              </w:rPr>
              <w:t>25000</w:t>
            </w:r>
            <w:r>
              <w:rPr>
                <w:rFonts w:hint="eastAsia" w:asciiTheme="minorEastAsia" w:hAnsiTheme="minorEastAsia" w:cstheme="minorEastAsia"/>
                <w:b/>
                <w:color w:val="0000FF"/>
                <w:kern w:val="0"/>
                <w:sz w:val="20"/>
                <w:szCs w:val="21"/>
              </w:rPr>
              <w:t>元。</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1EDF1802">
      <w:pPr>
        <w:pStyle w:val="6"/>
        <w:spacing w:line="440" w:lineRule="exact"/>
        <w:ind w:firstLine="420" w:firstLineChars="200"/>
        <w:rPr>
          <w:rFonts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D1ADF2E">
      <w:pPr>
        <w:pStyle w:val="6"/>
        <w:rPr>
          <w:rFonts w:hAnsi="宋体"/>
          <w:color w:val="auto"/>
          <w:szCs w:val="21"/>
        </w:rPr>
      </w:pPr>
    </w:p>
    <w:p w14:paraId="1E88FCC5">
      <w:pPr>
        <w:pStyle w:val="6"/>
        <w:rPr>
          <w:rFonts w:hAnsi="宋体"/>
          <w:color w:val="auto"/>
          <w:szCs w:val="21"/>
        </w:rPr>
      </w:pPr>
      <w:r>
        <w:rPr>
          <w:rFonts w:hint="eastAsia" w:hAnsi="宋体"/>
          <w:color w:val="auto"/>
          <w:szCs w:val="21"/>
          <w:u w:val="single"/>
        </w:rPr>
        <w:t>　　</w:t>
      </w:r>
      <w:r>
        <w:rPr>
          <w:rFonts w:hint="eastAsia" w:hAnsi="宋体"/>
          <w:color w:val="auto"/>
          <w:szCs w:val="21"/>
        </w:rPr>
        <w:t>分项（有分项时填写）</w:t>
      </w:r>
    </w:p>
    <w:tbl>
      <w:tblPr>
        <w:tblStyle w:val="14"/>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040"/>
        <w:gridCol w:w="3686"/>
        <w:gridCol w:w="1275"/>
        <w:gridCol w:w="2672"/>
        <w:gridCol w:w="872"/>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20"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726"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94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2"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20" w:type="dxa"/>
            <w:vMerge w:val="continue"/>
            <w:vAlign w:val="center"/>
          </w:tcPr>
          <w:p w14:paraId="250F1D49">
            <w:pPr>
              <w:pStyle w:val="6"/>
              <w:jc w:val="center"/>
              <w:rPr>
                <w:rFonts w:hAnsi="宋体"/>
                <w:color w:val="auto"/>
                <w:spacing w:val="-20"/>
                <w:szCs w:val="21"/>
              </w:rPr>
            </w:pPr>
          </w:p>
        </w:tc>
        <w:tc>
          <w:tcPr>
            <w:tcW w:w="1040" w:type="dxa"/>
            <w:vAlign w:val="center"/>
          </w:tcPr>
          <w:p w14:paraId="3B7AC663">
            <w:pPr>
              <w:jc w:val="center"/>
              <w:rPr>
                <w:rFonts w:ascii="宋体"/>
                <w:color w:val="auto"/>
                <w:szCs w:val="21"/>
              </w:rPr>
            </w:pPr>
            <w:r>
              <w:rPr>
                <w:rFonts w:hint="eastAsia" w:ascii="宋体" w:hAnsi="宋体"/>
                <w:color w:val="auto"/>
                <w:szCs w:val="21"/>
              </w:rPr>
              <w:t>货物名称</w:t>
            </w:r>
          </w:p>
        </w:tc>
        <w:tc>
          <w:tcPr>
            <w:tcW w:w="3686" w:type="dxa"/>
            <w:vAlign w:val="center"/>
          </w:tcPr>
          <w:p w14:paraId="34BC4A96">
            <w:pPr>
              <w:jc w:val="center"/>
              <w:rPr>
                <w:rFonts w:ascii="宋体"/>
                <w:color w:val="auto"/>
                <w:szCs w:val="21"/>
              </w:rPr>
            </w:pPr>
            <w:r>
              <w:rPr>
                <w:rFonts w:hint="eastAsia" w:ascii="宋体"/>
                <w:color w:val="auto"/>
                <w:szCs w:val="21"/>
              </w:rPr>
              <w:t>技术参数</w:t>
            </w:r>
          </w:p>
        </w:tc>
        <w:tc>
          <w:tcPr>
            <w:tcW w:w="1275" w:type="dxa"/>
            <w:vAlign w:val="center"/>
          </w:tcPr>
          <w:p w14:paraId="50260F94">
            <w:pPr>
              <w:jc w:val="center"/>
              <w:rPr>
                <w:rFonts w:ascii="宋体"/>
                <w:color w:val="auto"/>
                <w:szCs w:val="21"/>
              </w:rPr>
            </w:pPr>
            <w:r>
              <w:rPr>
                <w:rFonts w:hint="eastAsia" w:ascii="宋体" w:hAnsi="宋体"/>
                <w:color w:val="auto"/>
                <w:szCs w:val="21"/>
              </w:rPr>
              <w:t>货物名称</w:t>
            </w:r>
          </w:p>
        </w:tc>
        <w:tc>
          <w:tcPr>
            <w:tcW w:w="2672"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2"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0"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40" w:type="dxa"/>
            <w:vAlign w:val="center"/>
          </w:tcPr>
          <w:p w14:paraId="23A9C877">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en-US" w:eastAsia="zh-CN" w:bidi="ar-SA"/>
              </w:rPr>
              <w:t>2024年广西血液动员中心宣传片视频拍摄制作服务</w:t>
            </w:r>
          </w:p>
        </w:tc>
        <w:tc>
          <w:tcPr>
            <w:tcW w:w="3686" w:type="dxa"/>
            <w:vAlign w:val="center"/>
          </w:tcPr>
          <w:p w14:paraId="52AA7DA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一、项目概况：</w:t>
            </w:r>
          </w:p>
          <w:p w14:paraId="29E14F2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为丰富宣传手段，扩大应急状态下采供血全流程的宣传效果，更好展示广西血液动员中心应急采供血工作成效，拟采购应急采供血精品短片摄制2024年广西血液动员中心宣传片视频拍摄制作服务。</w:t>
            </w:r>
          </w:p>
          <w:p w14:paraId="36E602A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二、服务内容</w:t>
            </w:r>
          </w:p>
          <w:p w14:paraId="79C0F0EF">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摄制一则广西血液动员中心宣传片，时长5-8分钟，视频以MP4格式导出1080P格式中字幕宣传片。</w:t>
            </w:r>
          </w:p>
          <w:p w14:paraId="4BEF5AE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三、服务要求</w:t>
            </w:r>
          </w:p>
          <w:p w14:paraId="0DAB3558">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（一）宣传片总体要求</w:t>
            </w:r>
          </w:p>
          <w:p w14:paraId="046958AE">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立意高远、内涵丰富，能够体现出广西血液动员中心“平时服务，急时应急，战时应战”的初心与使命，高度概括动员中心应急采供血的内涵和宗旨，提高应对各种突发事件的血液供应和保障能力，推动无偿献血工作的健康和可持续发展。</w:t>
            </w:r>
          </w:p>
          <w:p w14:paraId="6B1A3B2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2.亮点突出、寓意深刻，能够体现应急状态下的采供血保障体系特点，突出工作业绩和创新成就。</w:t>
            </w:r>
          </w:p>
          <w:p w14:paraId="4DD4458C">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感召力强、鼓舞人心，能够增强全站工作人员的凝聚力和责任感，提高中心处理重特大突发事件的整体水平和能力，快速组织采供血液，保障医疗急救用血，成为展现广西血液动员中心和南宁中心血站采供血高质量发展的鲜明注脚。</w:t>
            </w:r>
          </w:p>
          <w:p w14:paraId="73EDF358">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（二）具体服务要求</w:t>
            </w:r>
          </w:p>
          <w:p w14:paraId="17E9ADC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1.宣传片时长5-8分钟，中文字幕。</w:t>
            </w:r>
          </w:p>
          <w:p w14:paraId="1F207F38">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成交供应商负责宣传片材料收集沟通、脚本撰写；现场录音、分镜脚本、编制拍摄计划；实地拍摄；后期剪辑、配音、配乐、视频特效、包装、后期合成、调色、修改完善等全过程服务，采购人提供相关文字资料和部分图像素材。</w:t>
            </w:r>
          </w:p>
          <w:p w14:paraId="0AD87F2B">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3.根据宣传片摄制需要，成交单位应合理综合运用实景拍摄、三维制作、航拍等手段表现。</w:t>
            </w:r>
          </w:p>
          <w:p w14:paraId="02747A2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4.器材及技术要求：前期拍摄应包含航拍手段进行外景拍摄，并使用轨道进行相关镜头的拍摄，拍摄器材要求4K电影级数字摄像机，专业镜头组，4K（4096*2160）拍摄。</w:t>
            </w:r>
          </w:p>
          <w:p w14:paraId="5EA2848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拍摄服务：本次拍摄服务费用为一次性支付，拍摄的前、中、后期产生的所有费用（包括但不限于拍摄道具及人员衣、食、住、行等）均由成交供应商自行负责。（注：拍摄除南宁市区内有拍摄需求、还有南宁市（含县份）两次下乡外景拍摄需求。）</w:t>
            </w:r>
          </w:p>
          <w:p w14:paraId="541A92E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6.确定脚本后，采购人可以在不修改已确定脚本和影片数量的前提下，对影片要点的表现手法、要点内容和实现技术提出修改要求。</w:t>
            </w:r>
          </w:p>
          <w:p w14:paraId="0FEA980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宣传片交付要求：样片经采购人审查后，由成交供应商根据审查意见修改，并于审查意见出具后的7个工作日内，交付符合修改要求和质量的下一稿成片，按照采购人要求修改后的最终定稿需在2024年11月15日前完成。</w:t>
            </w:r>
          </w:p>
          <w:p w14:paraId="31F1AEE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8.售后服务：承诺根据采购人要求提供后续剪辑的售后服务，在不改动视频框架的前提下，成交方提供不少于3次的视频修改服务，期间产生的所有费用由成交方自行负责。</w:t>
            </w:r>
          </w:p>
          <w:p w14:paraId="066A7E7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9.保密服务：成交方需遵守保密协议并签订合约，对相关资料素材的安全保密负全责，严禁擅自复制、拷贝、修改、销毁甲方的任何信息，涉及拍摄的所有素材及成片无字幕版都移交至给血站存档。</w:t>
            </w:r>
          </w:p>
          <w:p w14:paraId="63E188A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（三）制作要求</w:t>
            </w:r>
          </w:p>
          <w:p w14:paraId="4B94370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1.技术水准</w:t>
            </w:r>
          </w:p>
          <w:p w14:paraId="29A75B6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（1）拥有高效稳定的制作团队，摄制组分工明确，责任到人。</w:t>
            </w:r>
          </w:p>
          <w:p w14:paraId="5BC48F9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（2）摄制前须制定详细的总体拍摄方案和分镜头文字脚本，方案需现实可行。</w:t>
            </w:r>
          </w:p>
          <w:p w14:paraId="4DF46B5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（3）摄制人员有独到的艺术理念和策划意识，能够满足制作要求。</w:t>
            </w:r>
          </w:p>
          <w:p w14:paraId="105609D5">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（4）团队拥有拍摄、编辑、撰稿、字幕、配音等专业要求。</w:t>
            </w:r>
          </w:p>
          <w:p w14:paraId="0634A73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2.硬件设备：成交方须有4K电影级以上数字摄像机，4K拍摄120帧升格，并配备专业镜头组，含12mm、35mm、50mm、85mm共4只镜头。灯光、4K分辨率航拍器、指向性话筒、高配影视后期制作电脑等硬件设备和Adobe Premiere、Adobe After Effects、Adobe Audition、3DMAX、达芬奇等软件设备。后期编辑须按照采购人要求进行，并积极配合修改、补充拍摄镜头，确保制作效果。</w:t>
            </w:r>
          </w:p>
          <w:p w14:paraId="060A7EBF">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3.工作团队组成：拥有高效稳定的制作团队，分工明确，人员配置合理，岗位明确。</w:t>
            </w:r>
          </w:p>
          <w:p w14:paraId="3E5CE01F">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（四）宣传片效果要求</w:t>
            </w:r>
          </w:p>
          <w:p w14:paraId="281762E0">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实拍分辨率均达到4096*2160。调色系统用达芬奇DaVinci Resolve 15，拍摄全部采用电影级要求，画面全部为LOG模式，进行电影级调色水准。</w:t>
            </w:r>
          </w:p>
          <w:p w14:paraId="5EFB95B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（五）宣传片提交格式要求</w:t>
            </w:r>
          </w:p>
          <w:p w14:paraId="11A6B193">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成品宣传片均提供1080P格式中文字幕成片，以光盘刻录或移动硬盘的方式交付至我站。</w:t>
            </w:r>
          </w:p>
          <w:p w14:paraId="28A27FA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（六）其他要求</w:t>
            </w:r>
          </w:p>
          <w:p w14:paraId="6E13D487">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eastAsia="宋体" w:cs="Times New Roman"/>
                <w:color w:val="auto"/>
                <w:kern w:val="2"/>
                <w:sz w:val="21"/>
                <w:szCs w:val="24"/>
                <w:highlight w:val="none"/>
                <w:lang w:val="en-US" w:eastAsia="zh-CN" w:bidi="ar-SA"/>
              </w:rPr>
              <w:t>1</w:t>
            </w:r>
            <w:r>
              <w:rPr>
                <w:rFonts w:hint="eastAsia" w:ascii="Times New Roman" w:hAnsi="Times New Roman" w:eastAsia="宋体" w:cs="Times New Roman"/>
                <w:color w:val="auto"/>
                <w:kern w:val="2"/>
                <w:sz w:val="21"/>
                <w:szCs w:val="24"/>
                <w:highlight w:val="none"/>
                <w:lang w:val="en-US" w:eastAsia="zh-CN" w:bidi="ar-SA"/>
              </w:rPr>
              <w:t>.供应商</w:t>
            </w:r>
            <w:r>
              <w:rPr>
                <w:rFonts w:hint="eastAsia" w:eastAsia="宋体" w:cs="Times New Roman"/>
                <w:color w:val="auto"/>
                <w:kern w:val="2"/>
                <w:sz w:val="21"/>
                <w:szCs w:val="24"/>
                <w:highlight w:val="none"/>
                <w:lang w:val="en-US" w:eastAsia="zh-CN" w:bidi="ar-SA"/>
              </w:rPr>
              <w:t>巨</w:t>
            </w:r>
            <w:r>
              <w:rPr>
                <w:rFonts w:hint="eastAsia" w:ascii="Times New Roman" w:hAnsi="Times New Roman" w:eastAsia="宋体" w:cs="Times New Roman"/>
                <w:color w:val="auto"/>
                <w:kern w:val="2"/>
                <w:sz w:val="21"/>
                <w:szCs w:val="24"/>
                <w:highlight w:val="none"/>
                <w:lang w:val="en-US" w:eastAsia="zh-CN" w:bidi="ar-SA"/>
              </w:rPr>
              <w:t>有广播电视节目制作经营许可证的</w:t>
            </w:r>
            <w:r>
              <w:rPr>
                <w:rFonts w:hint="eastAsia" w:eastAsia="宋体" w:cs="Times New Roman"/>
                <w:color w:val="auto"/>
                <w:kern w:val="2"/>
                <w:sz w:val="21"/>
                <w:szCs w:val="24"/>
                <w:highlight w:val="none"/>
                <w:lang w:val="en-US" w:eastAsia="zh-CN" w:bidi="ar-SA"/>
              </w:rPr>
              <w:t>（如有请提供），</w:t>
            </w:r>
            <w:r>
              <w:rPr>
                <w:rFonts w:hint="eastAsia" w:ascii="Times New Roman" w:hAnsi="Times New Roman" w:eastAsia="宋体" w:cs="Times New Roman"/>
                <w:color w:val="auto"/>
                <w:kern w:val="2"/>
                <w:sz w:val="21"/>
                <w:szCs w:val="24"/>
                <w:highlight w:val="none"/>
                <w:lang w:val="en-US" w:eastAsia="zh-CN" w:bidi="ar-SA"/>
              </w:rPr>
              <w:t>优先选择。</w:t>
            </w:r>
          </w:p>
          <w:p w14:paraId="5D4D47CC">
            <w:pPr>
              <w:pStyle w:val="12"/>
              <w:ind w:left="0" w:leftChars="0" w:firstLine="0" w:firstLineChars="0"/>
            </w:pPr>
            <w:r>
              <w:rPr>
                <w:rFonts w:hint="eastAsia"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en-US" w:eastAsia="zh-CN" w:bidi="ar-SA"/>
              </w:rPr>
              <w:t>.宣传片设计过程中运用的所有素材的使用权，以及宣传片版权归南宁中心血站所有；未经同意，成交方不得使用相关资料，否则南宁中心血站有权追究其相关责任。</w:t>
            </w:r>
          </w:p>
        </w:tc>
        <w:tc>
          <w:tcPr>
            <w:tcW w:w="1275" w:type="dxa"/>
            <w:vAlign w:val="center"/>
          </w:tcPr>
          <w:p w14:paraId="4ADE18A6">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en-US" w:eastAsia="zh-CN" w:bidi="ar-SA"/>
              </w:rPr>
              <w:t>2024年广西血液动员中心宣传片视频拍摄制作服务</w:t>
            </w:r>
          </w:p>
        </w:tc>
        <w:tc>
          <w:tcPr>
            <w:tcW w:w="2672"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2" w:type="dxa"/>
            <w:vAlign w:val="center"/>
          </w:tcPr>
          <w:p w14:paraId="6E15C104">
            <w:pPr>
              <w:rPr>
                <w:rFonts w:ascii="宋体" w:hAnsi="宋体"/>
                <w:color w:val="auto"/>
                <w:sz w:val="16"/>
                <w:szCs w:val="16"/>
              </w:rPr>
            </w:pPr>
            <w:r>
              <w:rPr>
                <w:rFonts w:ascii="宋体" w:hAnsi="宋体"/>
                <w:color w:val="auto"/>
                <w:sz w:val="16"/>
                <w:szCs w:val="16"/>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3"/>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36DB9A8B">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33"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94" w:type="dxa"/>
            <w:vAlign w:val="center"/>
          </w:tcPr>
          <w:p w14:paraId="79233D77">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一、合同签订期：自采购结果公告发布之日起5个工作日内。</w:t>
            </w:r>
          </w:p>
          <w:p w14:paraId="7C0735A7">
            <w:pPr>
              <w:spacing w:line="276" w:lineRule="auto"/>
              <w:rPr>
                <w:rFonts w:ascii="仿宋" w:hAnsi="仿宋" w:eastAsia="仿宋"/>
                <w:color w:val="auto"/>
                <w:sz w:val="20"/>
                <w:szCs w:val="20"/>
              </w:rPr>
            </w:pP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58"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794" w:type="dxa"/>
            <w:vAlign w:val="center"/>
          </w:tcPr>
          <w:p w14:paraId="306D63A1">
            <w:pPr>
              <w:spacing w:line="276" w:lineRule="auto"/>
              <w:rPr>
                <w:rFonts w:ascii="仿宋" w:hAnsi="仿宋" w:eastAsia="仿宋" w:cs="宋体"/>
                <w:color w:val="auto"/>
                <w:sz w:val="20"/>
                <w:szCs w:val="20"/>
              </w:rPr>
            </w:pPr>
            <w:r>
              <w:rPr>
                <w:rFonts w:hint="eastAsia" w:ascii="Times New Roman" w:hAnsi="Times New Roman"/>
                <w:color w:val="auto"/>
                <w:szCs w:val="21"/>
                <w:highlight w:val="none"/>
                <w:lang w:val="en-US" w:eastAsia="zh-CN"/>
              </w:rPr>
              <w:t>二、服务时间：自合同签订之日起至宣传片成片交付为止。</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85"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7CEAB268">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三、服务地点：采购人指定地点。</w:t>
            </w:r>
          </w:p>
          <w:p w14:paraId="0C880BD6">
            <w:pPr>
              <w:spacing w:line="276" w:lineRule="auto"/>
              <w:rPr>
                <w:rFonts w:ascii="仿宋" w:hAnsi="仿宋" w:eastAsia="仿宋"/>
                <w:color w:val="auto"/>
                <w:sz w:val="20"/>
                <w:szCs w:val="20"/>
              </w:rPr>
            </w:pPr>
            <w:r>
              <w:rPr>
                <w:rFonts w:ascii="Times New Roman" w:hAnsi="Times New Roman"/>
                <w:color w:val="auto"/>
                <w:szCs w:val="21"/>
                <w:highlight w:val="none"/>
              </w:rPr>
              <w:t xml:space="preserve">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5F9149C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四、售后服务要求：</w:t>
            </w:r>
          </w:p>
          <w:p w14:paraId="1100581F">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1、质量保证期：自提供服务至服务验收合格之日止。</w:t>
            </w:r>
          </w:p>
          <w:p w14:paraId="63106B89">
            <w:pPr>
              <w:spacing w:line="276" w:lineRule="auto"/>
              <w:rPr>
                <w:rFonts w:hint="eastAsia" w:ascii="Times New Roman" w:hAnsi="Times New Roman"/>
                <w:color w:val="auto"/>
                <w:szCs w:val="21"/>
                <w:highlight w:val="none"/>
                <w:lang w:val="en-US" w:eastAsia="zh-CN"/>
              </w:rPr>
            </w:pPr>
            <w:r>
              <w:rPr>
                <w:rFonts w:hint="eastAsia" w:ascii="Times New Roman" w:hAnsi="Times New Roman"/>
                <w:color w:val="auto"/>
                <w:szCs w:val="21"/>
                <w:highlight w:val="none"/>
                <w:lang w:val="en-US" w:eastAsia="zh-CN"/>
              </w:rPr>
              <w:t>2、处理问题响应时间：接到采购人处理问题通知后，1小时内给出反馈。如需到达采购人指定现场，采购人提前1天通知。</w:t>
            </w:r>
          </w:p>
          <w:p w14:paraId="5033BAA9">
            <w:pPr>
              <w:spacing w:line="276" w:lineRule="auto"/>
              <w:rPr>
                <w:rFonts w:ascii="仿宋" w:hAnsi="仿宋" w:eastAsia="仿宋"/>
                <w:bCs/>
                <w:color w:val="auto"/>
                <w:sz w:val="20"/>
                <w:szCs w:val="20"/>
              </w:rPr>
            </w:pPr>
            <w:r>
              <w:rPr>
                <w:rFonts w:hint="eastAsia" w:ascii="Times New Roman" w:hAnsi="Times New Roman"/>
                <w:color w:val="auto"/>
                <w:szCs w:val="21"/>
                <w:highlight w:val="none"/>
                <w:lang w:val="en-US" w:eastAsia="zh-CN"/>
              </w:rPr>
              <w:t>3、根据采购人要求提供后续剪辑的售后服务。</w:t>
            </w:r>
            <w:r>
              <w:rPr>
                <w:rFonts w:ascii="Times New Roman" w:hAnsi="Times New Roman"/>
                <w:color w:val="auto"/>
                <w:szCs w:val="21"/>
                <w:highlight w:val="none"/>
              </w:rPr>
              <w:t xml:space="preserve"> </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5B59EB7B">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五、服务质量要求：</w:t>
            </w:r>
          </w:p>
          <w:p w14:paraId="74F05941">
            <w:pPr>
              <w:ind w:firstLine="420" w:firstLineChars="200"/>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采购人审核要求对相关内容进行修改、调整时，</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须按采购人的要求进行优化改进，采购人审核通过后方可成片，否则引起的经济损失等后果由</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承担；服务过程中属于</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原因造成的错漏等失误，由</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负责改正，相关费用应由</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自行承担。</w:t>
            </w:r>
          </w:p>
          <w:p w14:paraId="584DE28D">
            <w:pPr>
              <w:spacing w:line="276" w:lineRule="auto"/>
              <w:rPr>
                <w:rFonts w:ascii="仿宋" w:hAnsi="仿宋" w:eastAsia="仿宋"/>
                <w:bCs/>
                <w:color w:val="auto"/>
                <w:sz w:val="20"/>
                <w:szCs w:val="20"/>
              </w:rPr>
            </w:pP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4" w:type="dxa"/>
            <w:vAlign w:val="center"/>
          </w:tcPr>
          <w:p w14:paraId="487EEA66">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六、其他要求：</w:t>
            </w:r>
          </w:p>
          <w:p w14:paraId="12124DB0">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1、报价必须含以下部分，包括：</w:t>
            </w:r>
          </w:p>
          <w:p w14:paraId="64BA5AFF">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（1）服务的价格；</w:t>
            </w:r>
          </w:p>
          <w:p w14:paraId="44140D09">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（2）必要的各项税金；</w:t>
            </w:r>
          </w:p>
          <w:p w14:paraId="2EFF15A4">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（3）人工、交通、差旅、技术支持、售后服务等费用。</w:t>
            </w:r>
          </w:p>
          <w:p w14:paraId="3465D501">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2、付款方式：服务费用为一次性支付，服务结束并验收合格后支付100%合同款（付款前</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需开具同等金额的合规的发票）。</w:t>
            </w:r>
          </w:p>
          <w:p w14:paraId="24B957A0">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3、宣传片设计过程中运用的所有素材的使用权，以及宣传片版权归南宁中心血站所有；未经同意，成交方不得使用相关资料，否则南宁中心血站有权追究其相关责任。</w:t>
            </w:r>
          </w:p>
          <w:p w14:paraId="7B36D8A4">
            <w:pPr>
              <w:rPr>
                <w:rFonts w:ascii="仿宋" w:hAnsi="仿宋" w:eastAsia="仿宋"/>
                <w:color w:val="auto"/>
                <w:sz w:val="20"/>
                <w:szCs w:val="20"/>
              </w:rPr>
            </w:pPr>
          </w:p>
        </w:tc>
        <w:tc>
          <w:tcPr>
            <w:tcW w:w="2925"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327C7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40" w:type="dxa"/>
            <w:vAlign w:val="center"/>
          </w:tcPr>
          <w:p w14:paraId="349FF0E9">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4" w:type="dxa"/>
            <w:vAlign w:val="center"/>
          </w:tcPr>
          <w:p w14:paraId="1FE1566D">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七、发生以下情形，采购人有权解除合同：</w:t>
            </w:r>
          </w:p>
          <w:p w14:paraId="49AA83C9">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1、因不可抗拒因素导致无法完成服务；</w:t>
            </w:r>
          </w:p>
          <w:p w14:paraId="6FB3404C">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服务情况严重偏离合同约定要求的；</w:t>
            </w:r>
          </w:p>
          <w:p w14:paraId="46C79554">
            <w:pPr>
              <w:jc w:val="left"/>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3、服务期间因</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过错对采购人造成不利影响或重大负面舆情的，采购人有权解除合同，</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须支付相应的违约金，如违约金不足以弥补采购人损失的部分继续由</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承担并追究</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相应法律责任。</w:t>
            </w:r>
          </w:p>
          <w:p w14:paraId="2AFFEF4D">
            <w:pPr>
              <w:rPr>
                <w:rFonts w:ascii="仿宋" w:hAnsi="仿宋" w:eastAsia="仿宋"/>
                <w:color w:val="auto"/>
                <w:sz w:val="20"/>
                <w:szCs w:val="20"/>
              </w:rPr>
            </w:pPr>
            <w:r>
              <w:rPr>
                <w:rFonts w:hint="eastAsia" w:eastAsia="宋体"/>
                <w:color w:val="auto"/>
                <w:sz w:val="21"/>
                <w:szCs w:val="21"/>
                <w:highlight w:val="none"/>
                <w:lang w:val="en-US" w:eastAsia="zh-CN"/>
              </w:rPr>
              <w:t>4、</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在服务期间对采购人提供的服务负责。如出现未经采购人同意，擅自发布不利于采购人利益或产生社会负面影响的信息，由</w:t>
            </w:r>
            <w:r>
              <w:rPr>
                <w:rFonts w:hint="eastAsia"/>
                <w:color w:val="auto"/>
                <w:sz w:val="21"/>
                <w:szCs w:val="21"/>
                <w:highlight w:val="none"/>
                <w:lang w:val="en-US" w:eastAsia="zh-CN"/>
              </w:rPr>
              <w:t>成交供应商</w:t>
            </w:r>
            <w:r>
              <w:rPr>
                <w:rFonts w:hint="eastAsia" w:eastAsia="宋体"/>
                <w:color w:val="auto"/>
                <w:sz w:val="21"/>
                <w:szCs w:val="21"/>
                <w:highlight w:val="none"/>
                <w:lang w:val="en-US" w:eastAsia="zh-CN"/>
              </w:rPr>
              <w:t>负责消除不良影响并承担消除不良影响的相关费用和责任，采购人可根据实际情况拒付相应服务费并追究相关责任。</w:t>
            </w:r>
          </w:p>
        </w:tc>
        <w:tc>
          <w:tcPr>
            <w:tcW w:w="2925" w:type="dxa"/>
            <w:vAlign w:val="center"/>
          </w:tcPr>
          <w:p w14:paraId="7C3FE096">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571" w:type="dxa"/>
            <w:tcBorders>
              <w:right w:val="single" w:color="auto" w:sz="4" w:space="0"/>
            </w:tcBorders>
            <w:vAlign w:val="center"/>
          </w:tcPr>
          <w:p w14:paraId="71CCC9D2">
            <w:pPr>
              <w:adjustRightInd w:val="0"/>
              <w:snapToGrid w:val="0"/>
              <w:spacing w:line="400" w:lineRule="exact"/>
              <w:jc w:val="center"/>
              <w:outlineLvl w:val="0"/>
              <w:rPr>
                <w:rFonts w:ascii="宋体" w:hAnsi="宋体"/>
                <w:color w:val="auto"/>
                <w:sz w:val="16"/>
                <w:szCs w:val="16"/>
              </w:rPr>
            </w:pPr>
          </w:p>
        </w:tc>
      </w:tr>
    </w:tbl>
    <w:p w14:paraId="6DA421CC">
      <w:pPr>
        <w:pStyle w:val="6"/>
        <w:spacing w:line="400" w:lineRule="exact"/>
        <w:rPr>
          <w:rFonts w:hAnsi="宋体" w:cs="宋体"/>
          <w:color w:val="auto"/>
        </w:rPr>
      </w:pPr>
    </w:p>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3"/>
        <w:numPr>
          <w:ilvl w:val="3"/>
          <w:numId w:val="0"/>
        </w:numPr>
        <w:ind w:left="1077" w:leftChars="0"/>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5B16F573">
      <w:pPr>
        <w:rPr>
          <w:rFonts w:hint="eastAsia" w:ascii="仿宋" w:hAnsi="仿宋" w:eastAsia="仿宋"/>
          <w:color w:val="auto"/>
          <w:sz w:val="30"/>
          <w:szCs w:val="30"/>
        </w:rPr>
      </w:pPr>
    </w:p>
    <w:p w14:paraId="6D963BF1">
      <w:pPr>
        <w:rPr>
          <w:rFonts w:hint="eastAsia" w:ascii="仿宋" w:hAnsi="仿宋" w:eastAsia="仿宋"/>
          <w:color w:val="auto"/>
          <w:sz w:val="30"/>
          <w:szCs w:val="30"/>
        </w:rPr>
      </w:pPr>
    </w:p>
    <w:p w14:paraId="0E4F31F9">
      <w:pPr>
        <w:rPr>
          <w:rFonts w:hint="eastAsia" w:ascii="仿宋" w:hAnsi="仿宋" w:eastAsia="仿宋"/>
          <w:color w:val="auto"/>
          <w:sz w:val="30"/>
          <w:szCs w:val="30"/>
        </w:rPr>
      </w:pPr>
    </w:p>
    <w:p w14:paraId="1080B051">
      <w:pPr>
        <w:rPr>
          <w:rFonts w:hint="eastAsia" w:ascii="仿宋" w:hAnsi="仿宋" w:eastAsia="仿宋"/>
          <w:color w:val="auto"/>
          <w:sz w:val="30"/>
          <w:szCs w:val="30"/>
        </w:rPr>
      </w:pPr>
    </w:p>
    <w:p w14:paraId="158E12F3">
      <w:pPr>
        <w:rPr>
          <w:rFonts w:hint="eastAsia" w:ascii="仿宋" w:hAnsi="仿宋" w:eastAsia="仿宋"/>
          <w:color w:val="auto"/>
          <w:sz w:val="30"/>
          <w:szCs w:val="30"/>
        </w:rPr>
      </w:pPr>
    </w:p>
    <w:p w14:paraId="3A718621">
      <w:pPr>
        <w:rPr>
          <w:rFonts w:hint="eastAsia" w:ascii="仿宋" w:hAnsi="仿宋" w:eastAsia="仿宋"/>
          <w:color w:val="auto"/>
          <w:sz w:val="30"/>
          <w:szCs w:val="30"/>
        </w:rPr>
      </w:pPr>
    </w:p>
    <w:p w14:paraId="6CFA7AAC">
      <w:pPr>
        <w:rPr>
          <w:rFonts w:hint="eastAsia" w:ascii="仿宋" w:hAnsi="仿宋" w:eastAsia="仿宋"/>
          <w:color w:val="auto"/>
          <w:sz w:val="30"/>
          <w:szCs w:val="30"/>
        </w:rPr>
      </w:pPr>
    </w:p>
    <w:p w14:paraId="0E23A476">
      <w:pPr>
        <w:rPr>
          <w:rFonts w:hint="eastAsia" w:ascii="仿宋" w:hAnsi="仿宋" w:eastAsia="仿宋"/>
          <w:color w:val="auto"/>
          <w:sz w:val="30"/>
          <w:szCs w:val="30"/>
        </w:rPr>
      </w:pPr>
    </w:p>
    <w:p w14:paraId="3837D172">
      <w:pPr>
        <w:rPr>
          <w:rFonts w:hint="eastAsia" w:ascii="仿宋" w:hAnsi="仿宋" w:eastAsia="仿宋"/>
          <w:color w:val="auto"/>
          <w:sz w:val="30"/>
          <w:szCs w:val="30"/>
        </w:rPr>
      </w:pPr>
    </w:p>
    <w:p w14:paraId="1712CEFD">
      <w:pPr>
        <w:rPr>
          <w:rFonts w:hint="eastAsia" w:ascii="仿宋" w:hAnsi="仿宋" w:eastAsia="仿宋"/>
          <w:color w:val="auto"/>
          <w:sz w:val="30"/>
          <w:szCs w:val="30"/>
        </w:rPr>
      </w:pPr>
    </w:p>
    <w:p w14:paraId="319072D0">
      <w:pPr>
        <w:rPr>
          <w:rFonts w:hint="eastAsia" w:ascii="仿宋" w:hAnsi="仿宋" w:eastAsia="仿宋"/>
          <w:color w:val="auto"/>
          <w:sz w:val="30"/>
          <w:szCs w:val="30"/>
        </w:rPr>
      </w:pPr>
    </w:p>
    <w:p w14:paraId="0E0D097D">
      <w:pPr>
        <w:rPr>
          <w:rFonts w:hint="eastAsia" w:ascii="仿宋" w:hAnsi="仿宋" w:eastAsia="仿宋"/>
          <w:color w:val="auto"/>
          <w:sz w:val="30"/>
          <w:szCs w:val="30"/>
        </w:rPr>
      </w:pPr>
    </w:p>
    <w:p w14:paraId="4C0CB342">
      <w:pPr>
        <w:rPr>
          <w:rFonts w:hint="eastAsia" w:ascii="仿宋" w:hAnsi="仿宋" w:eastAsia="仿宋"/>
          <w:color w:val="auto"/>
          <w:sz w:val="30"/>
          <w:szCs w:val="30"/>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CN"/>
        </w:rPr>
        <w:t>2024年广西血液动员中心宣传片视频拍摄制作服务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2"/>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3"/>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3"/>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DD97E5-9B72-4815-A275-E3D0BDEF156F}"/>
  </w:font>
  <w:font w:name="Courier New">
    <w:panose1 w:val="02070309020205020404"/>
    <w:charset w:val="01"/>
    <w:family w:val="modern"/>
    <w:pitch w:val="default"/>
    <w:sig w:usb0="E0002EFF" w:usb1="C0007843" w:usb2="00000009" w:usb3="00000000" w:csb0="400001FF" w:csb1="FFFF0000"/>
    <w:embedRegular r:id="rId2" w:fontKey="{A5A53541-8B8D-4FD5-A75E-D103A83534D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F1124657-FAE4-491F-8208-25EDB5673438}"/>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5A7F03E0-6AAD-4F4D-9305-DE55925BD519}"/>
  </w:font>
  <w:font w:name="仿宋_GB2312">
    <w:panose1 w:val="02010609030101010101"/>
    <w:charset w:val="86"/>
    <w:family w:val="modern"/>
    <w:pitch w:val="default"/>
    <w:sig w:usb0="00000001" w:usb1="080E0000" w:usb2="00000000" w:usb3="00000000" w:csb0="00040000" w:csb1="00000000"/>
    <w:embedRegular r:id="rId5" w:fontKey="{4062656D-E686-4803-B470-39AF7E6C0EFA}"/>
  </w:font>
  <w:font w:name="Lucida Sans Unicode">
    <w:panose1 w:val="020B0602030504020204"/>
    <w:charset w:val="00"/>
    <w:family w:val="swiss"/>
    <w:pitch w:val="default"/>
    <w:sig w:usb0="80001AFF" w:usb1="0000396B" w:usb2="00000000" w:usb3="00000000" w:csb0="200000BF" w:csb1="D7F70000"/>
    <w:embedRegular r:id="rId6" w:fontKey="{AB0FF30B-7980-4254-BEEA-73E7845D8474}"/>
  </w:font>
  <w:font w:name="方正楷体_GB2312">
    <w:panose1 w:val="02000000000000000000"/>
    <w:charset w:val="86"/>
    <w:family w:val="auto"/>
    <w:pitch w:val="default"/>
    <w:sig w:usb0="A00002BF" w:usb1="184F6CFA" w:usb2="00000012" w:usb3="00000000" w:csb0="00040001" w:csb1="00000000"/>
    <w:embedRegular r:id="rId7" w:fontKey="{5F97CFA1-1493-44F8-839D-79D2872EFDAA}"/>
  </w:font>
  <w:font w:name="仿宋">
    <w:panose1 w:val="02010609060101010101"/>
    <w:charset w:val="86"/>
    <w:family w:val="modern"/>
    <w:pitch w:val="default"/>
    <w:sig w:usb0="800002BF" w:usb1="38CF7CFA" w:usb2="00000016" w:usb3="00000000" w:csb0="00040001" w:csb1="00000000"/>
    <w:embedRegular r:id="rId8" w:fontKey="{9321CECA-EA3E-4DA4-9362-3D9B7258CC46}"/>
  </w:font>
  <w:font w:name="Wingdings 2">
    <w:panose1 w:val="05020102010507070707"/>
    <w:charset w:val="02"/>
    <w:family w:val="roman"/>
    <w:pitch w:val="default"/>
    <w:sig w:usb0="00000000" w:usb1="00000000" w:usb2="00000000" w:usb3="00000000" w:csb0="80000000" w:csb1="00000000"/>
    <w:embedRegular r:id="rId9" w:fontKey="{057FC40C-D1B6-4116-99F0-5461EADCCCE2}"/>
  </w:font>
  <w:font w:name="方正公文小标宋">
    <w:panose1 w:val="02000500000000000000"/>
    <w:charset w:val="86"/>
    <w:family w:val="auto"/>
    <w:pitch w:val="default"/>
    <w:sig w:usb0="A00002BF" w:usb1="38CF7CFA" w:usb2="00000016" w:usb3="00000000" w:csb0="00040001" w:csb1="00000000"/>
    <w:embedRegular r:id="rId10" w:fontKey="{BAEADC82-504E-49B7-AB5C-EDFD5BFBB3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6117E795"/>
    <w:multiLevelType w:val="singleLevel"/>
    <w:tmpl w:val="6117E795"/>
    <w:lvl w:ilvl="0" w:tentative="0">
      <w:start w:val="9"/>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2D74B40"/>
    <w:rsid w:val="031B2C7F"/>
    <w:rsid w:val="0350496E"/>
    <w:rsid w:val="03670C57"/>
    <w:rsid w:val="046C750A"/>
    <w:rsid w:val="08517143"/>
    <w:rsid w:val="0B656E1E"/>
    <w:rsid w:val="0C0A5403"/>
    <w:rsid w:val="12C67FE1"/>
    <w:rsid w:val="14DC1B42"/>
    <w:rsid w:val="15D77522"/>
    <w:rsid w:val="16022C53"/>
    <w:rsid w:val="18504D21"/>
    <w:rsid w:val="18ED07C2"/>
    <w:rsid w:val="19A5109C"/>
    <w:rsid w:val="1B1F4E7E"/>
    <w:rsid w:val="1B5C39DD"/>
    <w:rsid w:val="1C9D2311"/>
    <w:rsid w:val="1D1B7434"/>
    <w:rsid w:val="1E4569AA"/>
    <w:rsid w:val="1E4824ED"/>
    <w:rsid w:val="1E6848B0"/>
    <w:rsid w:val="20EC5803"/>
    <w:rsid w:val="23DF7159"/>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EC14DCA"/>
    <w:rsid w:val="3EDF7B5A"/>
    <w:rsid w:val="3F794BDA"/>
    <w:rsid w:val="41717D14"/>
    <w:rsid w:val="444D69AF"/>
    <w:rsid w:val="44942BEF"/>
    <w:rsid w:val="45D636A5"/>
    <w:rsid w:val="495E2059"/>
    <w:rsid w:val="49CF5B75"/>
    <w:rsid w:val="4A2E27D8"/>
    <w:rsid w:val="4B7122DD"/>
    <w:rsid w:val="4BE930B0"/>
    <w:rsid w:val="4DF267BC"/>
    <w:rsid w:val="508825A3"/>
    <w:rsid w:val="50901C87"/>
    <w:rsid w:val="5099641F"/>
    <w:rsid w:val="53DA23BC"/>
    <w:rsid w:val="53E47AF0"/>
    <w:rsid w:val="54714A29"/>
    <w:rsid w:val="55731FB9"/>
    <w:rsid w:val="5745560C"/>
    <w:rsid w:val="57671164"/>
    <w:rsid w:val="59401951"/>
    <w:rsid w:val="5B2D3245"/>
    <w:rsid w:val="5DFB7A90"/>
    <w:rsid w:val="60884935"/>
    <w:rsid w:val="61F52ED8"/>
    <w:rsid w:val="63267838"/>
    <w:rsid w:val="667523D3"/>
    <w:rsid w:val="66F31915"/>
    <w:rsid w:val="674A2C89"/>
    <w:rsid w:val="6AC63F9C"/>
    <w:rsid w:val="703B4AE4"/>
    <w:rsid w:val="718A5132"/>
    <w:rsid w:val="71C86016"/>
    <w:rsid w:val="726C367A"/>
    <w:rsid w:val="732B5B1E"/>
    <w:rsid w:val="745C607B"/>
    <w:rsid w:val="75CC2D87"/>
    <w:rsid w:val="7877401B"/>
    <w:rsid w:val="78CC1807"/>
    <w:rsid w:val="792579EC"/>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4"/>
    <w:qFormat/>
    <w:uiPriority w:val="0"/>
    <w:pPr>
      <w:jc w:val="left"/>
    </w:pPr>
    <w:rPr>
      <w:rFonts w:ascii="Calibri" w:hAnsi="Calibri" w:eastAsia="宋体" w:cs="Times New Roman"/>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3"/>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2"/>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2"/>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4"/>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3"/>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28</Pages>
  <Words>12279</Words>
  <Characters>12964</Characters>
  <Lines>39</Lines>
  <Paragraphs>11</Paragraphs>
  <TotalTime>17</TotalTime>
  <ScaleCrop>false</ScaleCrop>
  <LinksUpToDate>false</LinksUpToDate>
  <CharactersWithSpaces>14329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2024-08-23T08:47:10Z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DBAAD00E7FFC4A1DA3C59792FBC1CCF8_13</vt:lpwstr>
  </property>
</Properties>
</file>