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4"/>
      </w:pPr>
    </w:p>
    <w:p w14:paraId="762F763C">
      <w:pPr>
        <w:spacing w:line="360" w:lineRule="auto"/>
        <w:jc w:val="center"/>
        <w:rPr>
          <w:rFonts w:ascii="宋体" w:hAnsi="宋体"/>
          <w:b/>
          <w:color w:val="auto"/>
          <w:sz w:val="32"/>
          <w:szCs w:val="32"/>
        </w:rPr>
      </w:pPr>
    </w:p>
    <w:p w14:paraId="41BEE39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项目名称：南宁中心血站2024年UPS铅酸蓄电池采购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w:t>
      </w:r>
      <w:r>
        <w:rPr>
          <w:rFonts w:hint="eastAsia" w:ascii="仿宋_GB2312" w:hAnsi="Courier New" w:eastAsia="仿宋_GB2312" w:cs="Courier New"/>
          <w:b/>
          <w:bCs/>
          <w:color w:val="000000"/>
          <w:kern w:val="0"/>
          <w:sz w:val="32"/>
          <w:szCs w:val="32"/>
          <w:lang w:val="en-US" w:eastAsia="zh-CN"/>
        </w:rPr>
        <w:t>10</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4"/>
        <w:rPr>
          <w:rFonts w:hint="eastAsia" w:ascii="仿宋_GB2312" w:hAnsi="Courier New" w:eastAsia="仿宋_GB2312" w:cs="Courier New"/>
          <w:b/>
          <w:bCs/>
          <w:color w:val="000000"/>
          <w:kern w:val="0"/>
          <w:sz w:val="32"/>
          <w:szCs w:val="32"/>
          <w:lang w:val="zh-TW" w:eastAsia="zh-TW"/>
        </w:rPr>
      </w:pPr>
    </w:p>
    <w:p w14:paraId="6886C354">
      <w:pPr>
        <w:pStyle w:val="14"/>
        <w:rPr>
          <w:rFonts w:hint="eastAsia" w:ascii="仿宋_GB2312" w:hAnsi="Courier New" w:eastAsia="仿宋_GB2312" w:cs="Courier New"/>
          <w:b/>
          <w:bCs/>
          <w:color w:val="000000"/>
          <w:kern w:val="0"/>
          <w:sz w:val="32"/>
          <w:szCs w:val="32"/>
          <w:lang w:val="zh-TW" w:eastAsia="zh-TW"/>
        </w:rPr>
      </w:pPr>
    </w:p>
    <w:p w14:paraId="0AC542E0">
      <w:pPr>
        <w:pStyle w:val="14"/>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日</w:t>
      </w:r>
    </w:p>
    <w:p w14:paraId="14CCDB7F">
      <w:pPr>
        <w:pStyle w:val="14"/>
        <w:ind w:left="0" w:leftChars="0" w:firstLine="0" w:firstLineChars="0"/>
        <w:rPr>
          <w:rFonts w:hint="eastAsia" w:ascii="仿宋_GB2312" w:hAnsi="Courier New" w:eastAsia="仿宋_GB2312" w:cs="Courier New"/>
          <w:b/>
          <w:bCs/>
          <w:color w:val="000000"/>
          <w:kern w:val="0"/>
          <w:sz w:val="32"/>
          <w:szCs w:val="32"/>
          <w:lang w:val="zh-TW" w:eastAsia="zh-TW"/>
        </w:rPr>
      </w:pPr>
    </w:p>
    <w:p w14:paraId="3348E275">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南宁中心血站</w:t>
      </w:r>
      <w:r>
        <w:rPr>
          <w:rFonts w:hint="eastAsia" w:ascii="方正小标宋简体" w:hAnsi="方正小标宋简体" w:eastAsia="方正小标宋简体" w:cs="方正小标宋简体"/>
          <w:sz w:val="44"/>
          <w:szCs w:val="44"/>
          <w:lang w:val="en-US" w:eastAsia="zh-CN"/>
        </w:rPr>
        <w:t>2024年UPS铅酸蓄电池</w:t>
      </w:r>
    </w:p>
    <w:p w14:paraId="0223390D">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eastAsia="zh-CN"/>
        </w:rPr>
        <w:t>采购公告</w:t>
      </w:r>
    </w:p>
    <w:p w14:paraId="16DF326A">
      <w:pPr>
        <w:pStyle w:val="6"/>
        <w:keepNext w:val="0"/>
        <w:keepLines w:val="0"/>
        <w:pageBreakBefore w:val="0"/>
        <w:widowControl w:val="0"/>
        <w:kinsoku/>
        <w:wordWrap/>
        <w:overflowPunct/>
        <w:topLinePunct w:val="0"/>
        <w:autoSpaceDE/>
        <w:autoSpaceDN/>
        <w:bidi w:val="0"/>
        <w:adjustRightInd/>
        <w:snapToGrid/>
        <w:spacing w:line="6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南宁中心血站按照采购计划对UPS铅酸蓄电池进行采购，现就该项目邀请具有资质的单位进行响应，采购信息如下：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TW"/>
        </w:rPr>
      </w:pPr>
      <w:r>
        <w:rPr>
          <w:rFonts w:hint="eastAsia" w:ascii="仿宋_GB2312" w:hAnsi="Courier New" w:eastAsia="仿宋_GB2312" w:cs="Courier New"/>
          <w:color w:val="000000"/>
          <w:kern w:val="0"/>
          <w:sz w:val="32"/>
          <w:szCs w:val="32"/>
          <w:lang w:val="zh-TW" w:eastAsia="zh-TW"/>
        </w:rPr>
        <w:t>项目编号：NNBCHW2024010</w:t>
      </w:r>
    </w:p>
    <w:p w14:paraId="2E2122E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w:t>
      </w:r>
      <w:r>
        <w:rPr>
          <w:rFonts w:hint="eastAsia" w:ascii="仿宋_GB2312" w:hAnsi="Courier New" w:eastAsia="仿宋_GB2312" w:cs="Courier New"/>
          <w:color w:val="000000"/>
          <w:kern w:val="0"/>
          <w:sz w:val="32"/>
          <w:szCs w:val="32"/>
          <w:lang w:val="en-US" w:eastAsia="zh-CN"/>
        </w:rPr>
        <w:t>2024年UPS铅酸蓄电池</w:t>
      </w:r>
      <w:r>
        <w:rPr>
          <w:rFonts w:hint="eastAsia" w:ascii="仿宋_GB2312" w:hAnsi="Courier New" w:eastAsia="仿宋_GB2312" w:cs="Courier New"/>
          <w:color w:val="000000"/>
          <w:kern w:val="0"/>
          <w:sz w:val="32"/>
          <w:szCs w:val="32"/>
          <w:lang w:val="zh-TW" w:eastAsia="zh-TW"/>
        </w:rPr>
        <w:t xml:space="preserve">采购     </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叁万柒仟陆佰</w:t>
      </w:r>
      <w:r>
        <w:rPr>
          <w:rFonts w:hint="eastAsia" w:ascii="仿宋_GB2312" w:hAnsi="Courier New" w:eastAsia="仿宋_GB2312" w:cs="Courier New"/>
          <w:color w:val="000000"/>
          <w:kern w:val="0"/>
          <w:sz w:val="32"/>
          <w:szCs w:val="32"/>
          <w:lang w:val="zh-TW" w:eastAsia="zh-TW"/>
        </w:rPr>
        <w:t>元整（¥37600.00）</w:t>
      </w:r>
    </w:p>
    <w:p w14:paraId="2068529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叁万柒仟陆佰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7600.00）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73FBE2E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评选方式：最低价评选法（根据质量和服务均能满足采购文件实质性响应要求的，按照报价从低到高进行排名，排名第一的（报价最低的原则）供应商确定为成交供应商。）</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TW"/>
        </w:rPr>
        <w:t>，注册经营范围满足所采购内容的供应商</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646740BD">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廉洁响应承诺书（详见附件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w:t>
      </w:r>
      <w:r>
        <w:rPr>
          <w:rFonts w:hint="eastAsia" w:ascii="仿宋_GB2312" w:hAnsi="Courier New" w:eastAsia="仿宋_GB2312" w:cs="Courier New"/>
          <w:color w:val="000000"/>
          <w:kern w:val="0"/>
          <w:sz w:val="32"/>
          <w:szCs w:val="32"/>
          <w:lang w:val="zh-TW" w:eastAsia="zh-CN" w:bidi="ar-SA"/>
        </w:rPr>
        <w:t>；</w:t>
      </w:r>
    </w:p>
    <w:p w14:paraId="053F1B2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采购需求一览表中要求提供的证明材料。</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四、</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287B075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66381C03">
      <w:pPr>
        <w:pStyle w:val="6"/>
        <w:keepNext w:val="0"/>
        <w:keepLines w:val="0"/>
        <w:pageBreakBefore w:val="0"/>
        <w:widowControl w:val="0"/>
        <w:numPr>
          <w:ilvl w:val="0"/>
          <w:numId w:val="3"/>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10D432A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1D9607E0">
      <w:pPr>
        <w:pStyle w:val="6"/>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67A16378">
      <w:pPr>
        <w:pStyle w:val="6"/>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43724208">
      <w:pPr>
        <w:pStyle w:val="6"/>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060147E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日</w:t>
      </w:r>
    </w:p>
    <w:p w14:paraId="530D68DC">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5C772AE0">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6ECBE23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52E25219">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56867C2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7D1256B5">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127B52D3">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p>
    <w:p w14:paraId="0D91C643">
      <w:pPr>
        <w:pStyle w:val="8"/>
        <w:ind w:firstLine="560" w:firstLineChars="200"/>
        <w:jc w:val="left"/>
        <w:outlineLvl w:val="0"/>
        <w:rPr>
          <w:rFonts w:hint="eastAsia" w:ascii="宋体" w:hAnsi="宋体" w:eastAsia="宋体" w:cs="宋体"/>
          <w:sz w:val="28"/>
          <w:szCs w:val="28"/>
        </w:rPr>
      </w:pPr>
      <w:bookmarkStart w:id="0" w:name="_Toc27988011"/>
      <w:r>
        <w:rPr>
          <w:rFonts w:hint="eastAsia" w:ascii="宋体" w:hAnsi="宋体" w:eastAsia="宋体" w:cs="宋体"/>
          <w:sz w:val="28"/>
          <w:szCs w:val="28"/>
        </w:rPr>
        <w:t>附件1</w:t>
      </w:r>
    </w:p>
    <w:bookmarkEnd w:id="0"/>
    <w:p w14:paraId="364285F4">
      <w:pPr>
        <w:pStyle w:val="8"/>
        <w:jc w:val="center"/>
        <w:rPr>
          <w:b/>
          <w:sz w:val="32"/>
        </w:rPr>
      </w:pPr>
      <w:r>
        <w:rPr>
          <w:rFonts w:hint="eastAsia"/>
          <w:b/>
          <w:sz w:val="32"/>
        </w:rPr>
        <w:t>采购需求一览表</w:t>
      </w:r>
    </w:p>
    <w:p w14:paraId="384FC144">
      <w:pPr>
        <w:pStyle w:val="8"/>
        <w:ind w:firstLine="210" w:firstLineChars="100"/>
        <w:rPr>
          <w:rFonts w:asciiTheme="minorEastAsia" w:hAnsiTheme="minorEastAsia" w:cstheme="minorEastAsia"/>
          <w:szCs w:val="21"/>
        </w:rPr>
      </w:pPr>
      <w:r>
        <w:rPr>
          <w:rFonts w:hint="eastAsia" w:asciiTheme="minorEastAsia" w:hAnsiTheme="minorEastAsia" w:cstheme="minorEastAsia"/>
          <w:szCs w:val="21"/>
        </w:rPr>
        <w:t xml:space="preserve"> </w:t>
      </w:r>
      <w:r>
        <w:rPr>
          <w:rFonts w:hint="eastAsia" w:hAnsi="宋体"/>
          <w:b/>
          <w:bCs/>
        </w:rPr>
        <w:t>说明：本采购需求一览表中</w:t>
      </w:r>
      <w:r>
        <w:rPr>
          <w:rFonts w:hint="eastAsia" w:hAnsi="宋体"/>
          <w:b/>
          <w:bCs/>
          <w:lang w:val="en-US" w:eastAsia="zh-CN"/>
        </w:rPr>
        <w:t>各参数要求需要全部满足，不允许</w:t>
      </w:r>
      <w:r>
        <w:rPr>
          <w:rFonts w:hint="eastAsia" w:hAnsi="宋体"/>
          <w:b/>
          <w:bCs/>
        </w:rPr>
        <w:t>负偏离</w:t>
      </w:r>
      <w:r>
        <w:rPr>
          <w:rFonts w:hint="eastAsia" w:hAnsi="宋体"/>
          <w:b/>
          <w:bCs/>
          <w:lang w:eastAsia="zh-CN"/>
        </w:rPr>
        <w:t>，</w:t>
      </w:r>
      <w:r>
        <w:rPr>
          <w:rFonts w:hint="eastAsia" w:hAnsi="宋体"/>
          <w:b/>
          <w:bCs/>
          <w:lang w:val="en-US" w:eastAsia="zh-CN"/>
        </w:rPr>
        <w:t>负偏离</w:t>
      </w:r>
      <w:r>
        <w:rPr>
          <w:rFonts w:hint="eastAsia" w:hAnsi="宋体"/>
          <w:b/>
          <w:bCs/>
        </w:rPr>
        <w:t>视为无效响应。</w:t>
      </w:r>
    </w:p>
    <w:tbl>
      <w:tblPr>
        <w:tblStyle w:val="16"/>
        <w:tblW w:w="86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19"/>
        <w:gridCol w:w="669"/>
        <w:gridCol w:w="391"/>
        <w:gridCol w:w="6553"/>
        <w:gridCol w:w="741"/>
      </w:tblGrid>
      <w:tr w14:paraId="588BC2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31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EA96A88">
            <w:pPr>
              <w:jc w:val="center"/>
              <w:rPr>
                <w:rFonts w:ascii="宋体" w:hAnsi="宋体"/>
                <w:b/>
                <w:szCs w:val="21"/>
              </w:rPr>
            </w:pPr>
            <w:r>
              <w:rPr>
                <w:rFonts w:hint="eastAsia" w:ascii="宋体" w:hAnsi="宋体"/>
                <w:b/>
                <w:szCs w:val="21"/>
              </w:rPr>
              <w:t>项号</w:t>
            </w:r>
          </w:p>
        </w:tc>
        <w:tc>
          <w:tcPr>
            <w:tcW w:w="669" w:type="dxa"/>
            <w:tcBorders>
              <w:top w:val="single" w:color="auto" w:sz="4" w:space="0"/>
              <w:left w:val="single" w:color="auto" w:sz="4" w:space="0"/>
              <w:bottom w:val="single" w:color="auto" w:sz="4" w:space="0"/>
              <w:right w:val="single" w:color="auto" w:sz="4" w:space="0"/>
            </w:tcBorders>
            <w:vAlign w:val="center"/>
          </w:tcPr>
          <w:p w14:paraId="71ABBBBD">
            <w:pPr>
              <w:jc w:val="center"/>
              <w:rPr>
                <w:rFonts w:ascii="宋体" w:hAnsi="宋体"/>
                <w:b/>
                <w:szCs w:val="21"/>
              </w:rPr>
            </w:pPr>
            <w:r>
              <w:rPr>
                <w:rFonts w:hint="eastAsia" w:ascii="宋体" w:hAnsi="宋体"/>
                <w:b/>
                <w:szCs w:val="21"/>
              </w:rPr>
              <w:t>采购项目名称</w:t>
            </w:r>
          </w:p>
        </w:tc>
        <w:tc>
          <w:tcPr>
            <w:tcW w:w="391" w:type="dxa"/>
            <w:tcBorders>
              <w:top w:val="single" w:color="auto" w:sz="4" w:space="0"/>
              <w:left w:val="single" w:color="auto" w:sz="4" w:space="0"/>
              <w:bottom w:val="single" w:color="auto" w:sz="4" w:space="0"/>
              <w:right w:val="single" w:color="auto" w:sz="4" w:space="0"/>
            </w:tcBorders>
            <w:vAlign w:val="center"/>
          </w:tcPr>
          <w:p w14:paraId="597DFF5A">
            <w:pPr>
              <w:jc w:val="center"/>
              <w:rPr>
                <w:rFonts w:ascii="宋体" w:hAnsi="宋体"/>
                <w:b/>
                <w:szCs w:val="21"/>
              </w:rPr>
            </w:pPr>
            <w:r>
              <w:rPr>
                <w:rFonts w:hint="eastAsia" w:ascii="宋体" w:hAnsi="宋体"/>
                <w:b/>
                <w:szCs w:val="21"/>
              </w:rPr>
              <w:t>数量</w:t>
            </w:r>
          </w:p>
        </w:tc>
        <w:tc>
          <w:tcPr>
            <w:tcW w:w="6517" w:type="dxa"/>
            <w:tcBorders>
              <w:top w:val="single" w:color="auto" w:sz="4" w:space="0"/>
              <w:left w:val="single" w:color="auto" w:sz="4" w:space="0"/>
              <w:bottom w:val="single" w:color="auto" w:sz="4" w:space="0"/>
              <w:right w:val="single" w:color="auto" w:sz="4" w:space="0"/>
            </w:tcBorders>
            <w:vAlign w:val="center"/>
          </w:tcPr>
          <w:p w14:paraId="24F73239">
            <w:pPr>
              <w:jc w:val="center"/>
              <w:rPr>
                <w:rFonts w:ascii="宋体" w:hAnsi="宋体"/>
                <w:b/>
                <w:szCs w:val="21"/>
              </w:rPr>
            </w:pPr>
            <w:r>
              <w:rPr>
                <w:rFonts w:hint="eastAsia" w:ascii="宋体" w:hAnsi="宋体"/>
                <w:b/>
                <w:szCs w:val="21"/>
              </w:rPr>
              <w:t>采购项目的具体内容和要求</w:t>
            </w:r>
          </w:p>
        </w:tc>
        <w:tc>
          <w:tcPr>
            <w:tcW w:w="741" w:type="dxa"/>
            <w:tcBorders>
              <w:top w:val="single" w:color="auto" w:sz="4" w:space="0"/>
              <w:left w:val="single" w:color="auto" w:sz="4" w:space="0"/>
              <w:bottom w:val="single" w:color="auto" w:sz="4" w:space="0"/>
              <w:right w:val="single" w:color="auto" w:sz="4" w:space="0"/>
            </w:tcBorders>
            <w:vAlign w:val="center"/>
          </w:tcPr>
          <w:p w14:paraId="1B8CBB67">
            <w:pPr>
              <w:jc w:val="center"/>
              <w:rPr>
                <w:rFonts w:hint="eastAsia" w:ascii="宋体" w:hAnsi="宋体" w:eastAsiaTheme="minorEastAsia"/>
                <w:b/>
                <w:szCs w:val="21"/>
                <w:lang w:eastAsia="zh-CN"/>
              </w:rPr>
            </w:pPr>
            <w:r>
              <w:rPr>
                <w:rFonts w:hint="eastAsia" w:ascii="宋体" w:hAnsi="宋体"/>
                <w:b/>
                <w:szCs w:val="21"/>
                <w:lang w:val="en-US" w:eastAsia="zh-CN"/>
              </w:rPr>
              <w:t>分项预算合计</w:t>
            </w:r>
          </w:p>
        </w:tc>
      </w:tr>
      <w:tr w14:paraId="525DCA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1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52E3EEA">
            <w:pPr>
              <w:jc w:val="center"/>
              <w:rPr>
                <w:rFonts w:ascii="宋体" w:hAnsi="宋体"/>
                <w:szCs w:val="21"/>
              </w:rPr>
            </w:pPr>
            <w:r>
              <w:rPr>
                <w:rFonts w:ascii="宋体" w:hAnsi="宋体"/>
                <w:szCs w:val="21"/>
              </w:rPr>
              <w:t>1</w:t>
            </w:r>
          </w:p>
        </w:tc>
        <w:tc>
          <w:tcPr>
            <w:tcW w:w="669" w:type="dxa"/>
            <w:tcBorders>
              <w:top w:val="single" w:color="auto" w:sz="4" w:space="0"/>
              <w:left w:val="single" w:color="auto" w:sz="4" w:space="0"/>
              <w:bottom w:val="single" w:color="auto" w:sz="4" w:space="0"/>
              <w:right w:val="single" w:color="auto" w:sz="4" w:space="0"/>
            </w:tcBorders>
            <w:vAlign w:val="center"/>
          </w:tcPr>
          <w:p w14:paraId="26CB27CC">
            <w:pPr>
              <w:jc w:val="center"/>
              <w:rPr>
                <w:rFonts w:ascii="宋体" w:hAnsi="宋体"/>
                <w:szCs w:val="21"/>
              </w:rPr>
            </w:pPr>
            <w:r>
              <w:rPr>
                <w:rFonts w:hint="eastAsia" w:ascii="宋体" w:hAnsi="宋体"/>
                <w:szCs w:val="21"/>
              </w:rPr>
              <w:t>铅酸蓄电池</w:t>
            </w:r>
          </w:p>
        </w:tc>
        <w:tc>
          <w:tcPr>
            <w:tcW w:w="391" w:type="dxa"/>
            <w:tcBorders>
              <w:top w:val="single" w:color="auto" w:sz="4" w:space="0"/>
              <w:left w:val="single" w:color="auto" w:sz="4" w:space="0"/>
              <w:bottom w:val="single" w:color="auto" w:sz="4" w:space="0"/>
              <w:right w:val="single" w:color="auto" w:sz="4" w:space="0"/>
            </w:tcBorders>
            <w:vAlign w:val="center"/>
          </w:tcPr>
          <w:p w14:paraId="5D7AD478">
            <w:pPr>
              <w:jc w:val="center"/>
              <w:rPr>
                <w:rFonts w:ascii="宋体" w:hAnsi="宋体"/>
                <w:szCs w:val="21"/>
              </w:rPr>
            </w:pPr>
            <w:r>
              <w:rPr>
                <w:rFonts w:hint="eastAsia" w:cs="宋体" w:asciiTheme="minorEastAsia" w:hAnsiTheme="minorEastAsia"/>
                <w:color w:val="000000"/>
                <w:szCs w:val="21"/>
              </w:rPr>
              <w:t>16只</w:t>
            </w:r>
          </w:p>
        </w:tc>
        <w:tc>
          <w:tcPr>
            <w:tcW w:w="6517" w:type="dxa"/>
            <w:tcBorders>
              <w:top w:val="single" w:color="auto" w:sz="4" w:space="0"/>
              <w:left w:val="single" w:color="auto" w:sz="4" w:space="0"/>
              <w:bottom w:val="single" w:color="auto" w:sz="4" w:space="0"/>
              <w:right w:val="single" w:color="auto" w:sz="4" w:space="0"/>
            </w:tcBorders>
            <w:vAlign w:val="center"/>
          </w:tcPr>
          <w:p w14:paraId="4D301F02">
            <w:pPr>
              <w:rPr>
                <w:rFonts w:ascii="宋体"/>
                <w:szCs w:val="21"/>
              </w:rPr>
            </w:pPr>
            <w:r>
              <w:rPr>
                <w:rFonts w:hint="eastAsia" w:ascii="宋体"/>
                <w:szCs w:val="21"/>
              </w:rPr>
              <w:t>1、单只容量：12V24AH（10小时率）,15min恒功率≥83.2W/cell(1.67V/cell</w:t>
            </w:r>
            <w:r>
              <w:rPr>
                <w:rFonts w:hint="eastAsia"/>
              </w:rPr>
              <w:t xml:space="preserve">  </w:t>
            </w:r>
            <w:r>
              <w:rPr>
                <w:rFonts w:hint="eastAsia" w:ascii="宋体"/>
                <w:szCs w:val="21"/>
              </w:rPr>
              <w:t>25℃)；</w:t>
            </w:r>
          </w:p>
          <w:p w14:paraId="15AEFBA6">
            <w:pPr>
              <w:rPr>
                <w:rFonts w:ascii="宋体"/>
                <w:szCs w:val="21"/>
              </w:rPr>
            </w:pPr>
            <w:r>
              <w:rPr>
                <w:rFonts w:hint="eastAsia" w:ascii="宋体"/>
                <w:szCs w:val="21"/>
              </w:rPr>
              <w:t>2、阀控式铅酸免维护高效蓄电池，壳体采用优质阻燃材ABS槽壳，符合UL94V-0标准；</w:t>
            </w:r>
          </w:p>
          <w:p w14:paraId="3EB682D6">
            <w:pPr>
              <w:rPr>
                <w:rFonts w:ascii="宋体"/>
                <w:szCs w:val="21"/>
              </w:rPr>
            </w:pPr>
            <w:r>
              <w:rPr>
                <w:rFonts w:hint="eastAsia" w:ascii="宋体"/>
                <w:szCs w:val="21"/>
              </w:rPr>
              <w:t>3、板栅采用铅钙锡多元合金，具有较强耐腐蚀性、抗蠕变性，板栅筋条结构采用菱形结构设计，合理设计板栅与活性物质比例；</w:t>
            </w:r>
          </w:p>
          <w:p w14:paraId="50D699A7">
            <w:pPr>
              <w:rPr>
                <w:rFonts w:ascii="宋体"/>
                <w:szCs w:val="21"/>
              </w:rPr>
            </w:pPr>
            <w:r>
              <w:rPr>
                <w:rFonts w:hint="eastAsia" w:ascii="宋体"/>
                <w:szCs w:val="21"/>
              </w:rPr>
              <w:t>4、采用高灵敏度安全阀自动调节电池内压，滤酸片具有防酸雾及防爆功能；专利多层极柱密封结构，确保电池寿命期间极柱密封的可靠；</w:t>
            </w:r>
          </w:p>
          <w:p w14:paraId="0AA75BFD">
            <w:pPr>
              <w:rPr>
                <w:rFonts w:ascii="宋体"/>
                <w:szCs w:val="21"/>
              </w:rPr>
            </w:pPr>
            <w:r>
              <w:rPr>
                <w:rFonts w:hint="eastAsia" w:ascii="宋体"/>
                <w:szCs w:val="21"/>
              </w:rPr>
              <w:t>5、正极活性物质采用4BS成核技术和高温高湿固化工艺，提高蓄电池循环寿命，电池浮充设计寿命高于10年（25℃）；</w:t>
            </w:r>
          </w:p>
          <w:p w14:paraId="121EE733">
            <w:pPr>
              <w:rPr>
                <w:rFonts w:ascii="宋体"/>
                <w:b/>
                <w:bCs/>
                <w:szCs w:val="21"/>
              </w:rPr>
            </w:pPr>
            <w:r>
              <w:rPr>
                <w:rFonts w:hint="eastAsia" w:ascii="宋体"/>
                <w:szCs w:val="21"/>
              </w:rPr>
              <w:t>6、</w:t>
            </w:r>
            <w:r>
              <w:rPr>
                <w:rFonts w:hint="eastAsia" w:ascii="宋体"/>
                <w:b/>
                <w:bCs/>
                <w:szCs w:val="21"/>
              </w:rPr>
              <w:t>电池保质期为</w:t>
            </w:r>
            <w:r>
              <w:rPr>
                <w:rFonts w:hint="eastAsia" w:ascii="宋体"/>
                <w:b/>
                <w:bCs/>
                <w:szCs w:val="21"/>
                <w:lang w:val="en-US" w:eastAsia="zh-CN"/>
              </w:rPr>
              <w:t>3</w:t>
            </w:r>
            <w:r>
              <w:rPr>
                <w:rFonts w:hint="eastAsia" w:ascii="宋体"/>
                <w:b/>
                <w:bCs/>
                <w:szCs w:val="21"/>
              </w:rPr>
              <w:t>年，到货日期至电池的生产日期不大于90天；</w:t>
            </w:r>
          </w:p>
          <w:p w14:paraId="5919E55A">
            <w:pPr>
              <w:rPr>
                <w:rFonts w:ascii="宋体"/>
                <w:szCs w:val="21"/>
              </w:rPr>
            </w:pPr>
            <w:r>
              <w:rPr>
                <w:rFonts w:hint="eastAsia" w:ascii="宋体"/>
                <w:szCs w:val="21"/>
              </w:rPr>
              <w:t>7、容量保存率：在工作环境温度为25℃时蓄电池静置28天后容量保存率不低于98％，</w:t>
            </w:r>
            <w:r>
              <w:rPr>
                <w:rFonts w:hint="eastAsia" w:ascii="宋体"/>
                <w:szCs w:val="21"/>
                <w:lang w:val="en-US" w:eastAsia="zh-CN"/>
              </w:rPr>
              <w:t>投标时响应文件响应文件</w:t>
            </w:r>
            <w:r>
              <w:rPr>
                <w:rFonts w:hint="eastAsia" w:ascii="宋体"/>
                <w:szCs w:val="21"/>
              </w:rPr>
              <w:t>需提供同系列产品泰尔认证证书及检验报告；</w:t>
            </w:r>
            <w:bookmarkStart w:id="1" w:name="_GoBack"/>
            <w:bookmarkEnd w:id="1"/>
          </w:p>
          <w:p w14:paraId="48BCABC6">
            <w:pPr>
              <w:rPr>
                <w:rFonts w:ascii="宋体"/>
                <w:szCs w:val="21"/>
              </w:rPr>
            </w:pPr>
            <w:r>
              <w:rPr>
                <w:rFonts w:hint="eastAsia" w:ascii="宋体"/>
                <w:szCs w:val="21"/>
              </w:rPr>
              <w:t>8、密封反应效率：蓄电池密封反应效率应不低于97%，</w:t>
            </w:r>
            <w:r>
              <w:rPr>
                <w:rFonts w:hint="eastAsia" w:ascii="宋体"/>
                <w:b/>
                <w:bCs/>
                <w:szCs w:val="21"/>
                <w:lang w:val="en-US" w:eastAsia="zh-CN"/>
              </w:rPr>
              <w:t>投标时响应文件响应文件内</w:t>
            </w:r>
            <w:r>
              <w:rPr>
                <w:rFonts w:hint="eastAsia" w:ascii="宋体"/>
                <w:b/>
                <w:bCs/>
                <w:szCs w:val="21"/>
              </w:rPr>
              <w:t>需提供同系列产品泰尔认证证书及检验报告</w:t>
            </w:r>
            <w:r>
              <w:rPr>
                <w:rFonts w:hint="eastAsia" w:ascii="宋体"/>
                <w:szCs w:val="21"/>
              </w:rPr>
              <w:t>；</w:t>
            </w:r>
          </w:p>
          <w:p w14:paraId="5C8F9E39">
            <w:pPr>
              <w:rPr>
                <w:rFonts w:ascii="宋体"/>
                <w:szCs w:val="21"/>
              </w:rPr>
            </w:pPr>
            <w:r>
              <w:rPr>
                <w:rFonts w:hint="eastAsia" w:ascii="宋体"/>
                <w:szCs w:val="21"/>
              </w:rPr>
              <w:t>9、蓄电池端电压的均衡性：由若干个单体组成的蓄电池组，其单体间的开路电压最高与最低差值≤70mV（12V）；蓄电池组进入浮充状态24h后，各蓄电池间的端电压差值≤180mV（12V）；</w:t>
            </w:r>
          </w:p>
          <w:p w14:paraId="0A35C882">
            <w:pPr>
              <w:rPr>
                <w:rFonts w:ascii="宋体"/>
                <w:szCs w:val="21"/>
              </w:rPr>
            </w:pPr>
            <w:r>
              <w:rPr>
                <w:rFonts w:hint="eastAsia" w:ascii="宋体"/>
                <w:szCs w:val="21"/>
              </w:rPr>
              <w:t xml:space="preserve">10、电池连接条压降：蓄电池按1h率电流放电，在两只电池极柱根部测量的电池之间的连接条压降≤10mV；   </w:t>
            </w:r>
          </w:p>
          <w:p w14:paraId="1CC8EE24">
            <w:pPr>
              <w:ind w:left="105" w:hanging="105" w:hangingChars="50"/>
              <w:rPr>
                <w:rFonts w:ascii="宋体"/>
                <w:szCs w:val="21"/>
              </w:rPr>
            </w:pPr>
            <w:r>
              <w:rPr>
                <w:rFonts w:hint="eastAsia" w:ascii="宋体"/>
                <w:szCs w:val="21"/>
              </w:rPr>
              <w:t>11、10小时率放电：以 1.0I</w:t>
            </w:r>
            <w:r>
              <w:rPr>
                <w:rFonts w:hint="eastAsia" w:ascii="宋体"/>
                <w:sz w:val="13"/>
                <w:szCs w:val="13"/>
              </w:rPr>
              <w:t>10</w:t>
            </w:r>
            <w:r>
              <w:rPr>
                <w:rFonts w:hint="eastAsia" w:ascii="宋体"/>
                <w:szCs w:val="21"/>
              </w:rPr>
              <w:t>放电至终止电压 1.80V/单体，其放电容量应</w:t>
            </w:r>
            <w:r>
              <w:rPr>
                <w:rFonts w:hint="eastAsia" w:asciiTheme="minorEastAsia" w:hAnsiTheme="minorEastAsia"/>
                <w:szCs w:val="21"/>
              </w:rPr>
              <w:t>≥</w:t>
            </w:r>
            <w:r>
              <w:rPr>
                <w:rFonts w:hint="eastAsia" w:ascii="宋体"/>
                <w:szCs w:val="21"/>
              </w:rPr>
              <w:t>1.00C</w:t>
            </w:r>
            <w:r>
              <w:rPr>
                <w:rFonts w:hint="eastAsia" w:ascii="宋体"/>
                <w:sz w:val="13"/>
                <w:szCs w:val="13"/>
              </w:rPr>
              <w:t>10</w:t>
            </w:r>
            <w:r>
              <w:rPr>
                <w:rFonts w:hint="eastAsia" w:ascii="宋体"/>
                <w:szCs w:val="21"/>
              </w:rPr>
              <w:t>。(150.0)；3小时率放电：以2.5I</w:t>
            </w:r>
            <w:r>
              <w:rPr>
                <w:rFonts w:hint="eastAsia" w:ascii="宋体"/>
                <w:sz w:val="13"/>
                <w:szCs w:val="13"/>
              </w:rPr>
              <w:t>10</w:t>
            </w:r>
            <w:r>
              <w:rPr>
                <w:rFonts w:hint="eastAsia" w:ascii="宋体"/>
                <w:szCs w:val="21"/>
              </w:rPr>
              <w:t>放电至终止电压 1.80V/单体，其放电容量应</w:t>
            </w:r>
            <w:r>
              <w:rPr>
                <w:rFonts w:hint="eastAsia" w:asciiTheme="minorEastAsia" w:hAnsiTheme="minorEastAsia"/>
                <w:szCs w:val="21"/>
              </w:rPr>
              <w:t>≥</w:t>
            </w:r>
            <w:r>
              <w:rPr>
                <w:rFonts w:hint="eastAsia" w:ascii="宋体"/>
                <w:szCs w:val="21"/>
              </w:rPr>
              <w:t>0.75C</w:t>
            </w:r>
            <w:r>
              <w:rPr>
                <w:rFonts w:hint="eastAsia" w:ascii="宋体"/>
                <w:sz w:val="13"/>
                <w:szCs w:val="13"/>
              </w:rPr>
              <w:t>10</w:t>
            </w:r>
            <w:r>
              <w:rPr>
                <w:rFonts w:hint="eastAsia" w:ascii="宋体"/>
                <w:szCs w:val="21"/>
              </w:rPr>
              <w:t>。(112.5.0)；1小时率放电：以5.5I</w:t>
            </w:r>
            <w:r>
              <w:rPr>
                <w:rFonts w:hint="eastAsia" w:ascii="宋体"/>
                <w:sz w:val="13"/>
                <w:szCs w:val="13"/>
              </w:rPr>
              <w:t>10</w:t>
            </w:r>
            <w:r>
              <w:rPr>
                <w:rFonts w:hint="eastAsia" w:ascii="宋体"/>
                <w:szCs w:val="21"/>
              </w:rPr>
              <w:t>放电至终止电压 1.75V/单体，其放电容量应</w:t>
            </w:r>
            <w:r>
              <w:rPr>
                <w:rFonts w:hint="eastAsia" w:asciiTheme="minorEastAsia" w:hAnsiTheme="minorEastAsia"/>
                <w:szCs w:val="21"/>
              </w:rPr>
              <w:t>≥</w:t>
            </w:r>
            <w:r>
              <w:rPr>
                <w:rFonts w:hint="eastAsia" w:ascii="宋体"/>
                <w:szCs w:val="21"/>
              </w:rPr>
              <w:t>0.55C</w:t>
            </w:r>
            <w:r>
              <w:rPr>
                <w:rFonts w:hint="eastAsia" w:ascii="宋体"/>
                <w:sz w:val="13"/>
                <w:szCs w:val="13"/>
              </w:rPr>
              <w:t>10</w:t>
            </w:r>
            <w:r>
              <w:rPr>
                <w:rFonts w:hint="eastAsia" w:ascii="宋体"/>
                <w:szCs w:val="21"/>
              </w:rPr>
              <w:t>(82.5)；</w:t>
            </w:r>
            <w:r>
              <w:rPr>
                <w:rFonts w:hint="eastAsia" w:ascii="宋体"/>
                <w:b/>
                <w:bCs/>
                <w:szCs w:val="21"/>
                <w:lang w:val="en-US" w:eastAsia="zh-CN"/>
              </w:rPr>
              <w:t>投标时响应文内需</w:t>
            </w:r>
            <w:r>
              <w:rPr>
                <w:rFonts w:hint="eastAsia" w:ascii="宋体"/>
                <w:b/>
                <w:bCs/>
                <w:szCs w:val="21"/>
              </w:rPr>
              <w:t>提供同系列产品泰尔检验报告。</w:t>
            </w:r>
            <w:r>
              <w:rPr>
                <w:rFonts w:hint="eastAsia" w:ascii="宋体"/>
                <w:szCs w:val="21"/>
              </w:rPr>
              <w:t xml:space="preserve">              </w:t>
            </w:r>
          </w:p>
          <w:p w14:paraId="7669993A">
            <w:pPr>
              <w:rPr>
                <w:rFonts w:ascii="宋体"/>
                <w:szCs w:val="21"/>
              </w:rPr>
            </w:pPr>
            <w:r>
              <w:rPr>
                <w:rFonts w:hint="eastAsia" w:ascii="宋体"/>
                <w:szCs w:val="21"/>
              </w:rPr>
              <w:t>12、气密性：蓄电池应能承受50kPa的正压或负压而不破裂、不开胶，压力释放后壳体无残余变形；</w:t>
            </w:r>
          </w:p>
          <w:p w14:paraId="065CFA57">
            <w:pPr>
              <w:rPr>
                <w:rFonts w:ascii="宋体"/>
                <w:b/>
                <w:bCs/>
                <w:szCs w:val="21"/>
              </w:rPr>
            </w:pPr>
            <w:r>
              <w:rPr>
                <w:rFonts w:hint="eastAsia" w:ascii="宋体"/>
                <w:szCs w:val="21"/>
              </w:rPr>
              <w:t>13、防酸雾性能：蓄电池在正常工作中应无酸雾逸出为合格，</w:t>
            </w:r>
            <w:r>
              <w:rPr>
                <w:rFonts w:hint="eastAsia" w:ascii="宋体"/>
                <w:b/>
                <w:bCs/>
                <w:szCs w:val="21"/>
                <w:lang w:val="en-US" w:eastAsia="zh-CN"/>
              </w:rPr>
              <w:t>投标时响应文件内需</w:t>
            </w:r>
            <w:r>
              <w:rPr>
                <w:rFonts w:hint="eastAsia" w:ascii="宋体"/>
                <w:b/>
                <w:bCs/>
                <w:szCs w:val="21"/>
              </w:rPr>
              <w:t>提供泰尔检验报告；</w:t>
            </w:r>
          </w:p>
          <w:p w14:paraId="7D309392">
            <w:pPr>
              <w:rPr>
                <w:rFonts w:ascii="宋体"/>
                <w:szCs w:val="21"/>
              </w:rPr>
            </w:pPr>
            <w:r>
              <w:rPr>
                <w:rFonts w:hint="eastAsia" w:ascii="宋体"/>
                <w:szCs w:val="21"/>
              </w:rPr>
              <w:t>14、防爆性能：蓄电池合格为在充电过程中遇有明火内部不应引爆，</w:t>
            </w:r>
            <w:r>
              <w:rPr>
                <w:rFonts w:hint="eastAsia" w:ascii="宋体"/>
                <w:b/>
                <w:bCs/>
                <w:szCs w:val="21"/>
                <w:lang w:val="en-US" w:eastAsia="zh-CN"/>
              </w:rPr>
              <w:t>投标时响应文件需</w:t>
            </w:r>
            <w:r>
              <w:rPr>
                <w:rFonts w:hint="eastAsia" w:ascii="宋体"/>
                <w:b/>
                <w:bCs/>
                <w:szCs w:val="21"/>
              </w:rPr>
              <w:t>提供同系列产品泰尔检验报告</w:t>
            </w:r>
            <w:r>
              <w:rPr>
                <w:rFonts w:hint="eastAsia" w:ascii="宋体"/>
                <w:szCs w:val="21"/>
              </w:rPr>
              <w:t>；</w:t>
            </w:r>
          </w:p>
          <w:p w14:paraId="65FEA7E7">
            <w:pPr>
              <w:rPr>
                <w:rFonts w:ascii="宋体"/>
                <w:b/>
                <w:bCs/>
                <w:szCs w:val="21"/>
              </w:rPr>
            </w:pPr>
            <w:r>
              <w:rPr>
                <w:rFonts w:hint="eastAsia" w:ascii="宋体"/>
                <w:szCs w:val="21"/>
              </w:rPr>
              <w:t>15、阻燃性能：应符合 YD/T799-2010 中第 6.4条的要求。</w:t>
            </w:r>
            <w:r>
              <w:rPr>
                <w:rFonts w:hint="eastAsia" w:ascii="宋体"/>
                <w:b/>
                <w:bCs/>
                <w:szCs w:val="21"/>
                <w:lang w:val="en-US" w:eastAsia="zh-CN"/>
              </w:rPr>
              <w:t>投标时响应文件内需</w:t>
            </w:r>
            <w:r>
              <w:rPr>
                <w:rFonts w:hint="eastAsia" w:ascii="宋体"/>
                <w:b/>
                <w:bCs/>
                <w:szCs w:val="21"/>
              </w:rPr>
              <w:t>提供同系列产品泰尔检验报告；</w:t>
            </w:r>
          </w:p>
          <w:p w14:paraId="3F47F434">
            <w:pPr>
              <w:rPr>
                <w:rFonts w:ascii="宋体"/>
                <w:szCs w:val="21"/>
              </w:rPr>
            </w:pPr>
            <w:r>
              <w:rPr>
                <w:rFonts w:hint="eastAsia" w:ascii="宋体"/>
                <w:szCs w:val="21"/>
              </w:rPr>
              <w:t>16、产品须具有防伪标识，并具有400或800电话提供查询；</w:t>
            </w:r>
          </w:p>
          <w:p w14:paraId="5176656E">
            <w:pPr>
              <w:rPr>
                <w:rFonts w:ascii="宋体"/>
                <w:szCs w:val="21"/>
              </w:rPr>
            </w:pPr>
            <w:r>
              <w:rPr>
                <w:rFonts w:hint="eastAsia" w:ascii="宋体"/>
                <w:szCs w:val="21"/>
              </w:rPr>
              <w:t>17、安全阀要求：安全阀应具有自动开启和自动关闭的功能；</w:t>
            </w:r>
          </w:p>
          <w:p w14:paraId="39063EA7">
            <w:pPr>
              <w:rPr>
                <w:rFonts w:ascii="宋体"/>
                <w:szCs w:val="21"/>
              </w:rPr>
            </w:pPr>
            <w:r>
              <w:rPr>
                <w:rFonts w:hint="eastAsia" w:ascii="宋体"/>
                <w:szCs w:val="21"/>
              </w:rPr>
              <w:t>18、蓄电池外观不得有变形、漏液、裂纹及污迹，标志要清晰；</w:t>
            </w:r>
          </w:p>
          <w:p w14:paraId="14389B17">
            <w:pPr>
              <w:rPr>
                <w:rFonts w:hint="eastAsia" w:ascii="宋体" w:hAnsi="宋体" w:cs="宋体" w:eastAsiaTheme="minorEastAsia"/>
                <w:sz w:val="24"/>
                <w:szCs w:val="32"/>
                <w:lang w:eastAsia="zh-CN"/>
              </w:rPr>
            </w:pPr>
            <w:r>
              <w:rPr>
                <w:rFonts w:hint="eastAsia" w:ascii="宋体"/>
                <w:szCs w:val="21"/>
              </w:rPr>
              <w:t>19、</w:t>
            </w:r>
            <w:r>
              <w:rPr>
                <w:rFonts w:hint="eastAsia" w:ascii="宋体"/>
                <w:b/>
                <w:bCs/>
                <w:szCs w:val="21"/>
              </w:rPr>
              <w:t>蓄电池组工作电压：根据配套UPS主机</w:t>
            </w:r>
            <w:r>
              <w:rPr>
                <w:rFonts w:hint="eastAsia" w:ascii="宋体"/>
                <w:b/>
                <w:bCs/>
                <w:szCs w:val="21"/>
                <w:lang w:eastAsia="zh-CN"/>
              </w:rPr>
              <w:t>（</w:t>
            </w:r>
            <w:r>
              <w:rPr>
                <w:rFonts w:hint="eastAsia" w:ascii="宋体"/>
                <w:b/>
                <w:bCs/>
                <w:szCs w:val="21"/>
                <w:lang w:val="en-US" w:eastAsia="zh-CN"/>
              </w:rPr>
              <w:t>PCM）</w:t>
            </w:r>
            <w:r>
              <w:rPr>
                <w:rFonts w:hint="eastAsia" w:ascii="宋体"/>
                <w:b/>
                <w:bCs/>
                <w:szCs w:val="21"/>
              </w:rPr>
              <w:t>确定，要求能够满足和匹配UPS设备的技术标准并提供原厂技术说明；</w:t>
            </w:r>
          </w:p>
        </w:tc>
        <w:tc>
          <w:tcPr>
            <w:tcW w:w="741" w:type="dxa"/>
            <w:tcBorders>
              <w:top w:val="single" w:color="auto" w:sz="4" w:space="0"/>
              <w:left w:val="single" w:color="auto" w:sz="4" w:space="0"/>
              <w:bottom w:val="single" w:color="auto" w:sz="4" w:space="0"/>
              <w:right w:val="single" w:color="auto" w:sz="4" w:space="0"/>
            </w:tcBorders>
            <w:vAlign w:val="center"/>
          </w:tcPr>
          <w:p w14:paraId="1F3F07ED">
            <w:pPr>
              <w:rPr>
                <w:rFonts w:hint="default" w:ascii="宋体" w:eastAsiaTheme="minorEastAsia"/>
                <w:szCs w:val="21"/>
                <w:lang w:val="en-US" w:eastAsia="zh-CN"/>
              </w:rPr>
            </w:pPr>
            <w:r>
              <w:rPr>
                <w:rFonts w:hint="eastAsia" w:ascii="宋体"/>
                <w:szCs w:val="21"/>
                <w:lang w:val="en-US" w:eastAsia="zh-CN"/>
              </w:rPr>
              <w:t>8560元</w:t>
            </w:r>
          </w:p>
        </w:tc>
      </w:tr>
      <w:tr w14:paraId="194836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31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96C0722">
            <w:pPr>
              <w:jc w:val="center"/>
              <w:rPr>
                <w:rFonts w:ascii="宋体" w:hAnsi="宋体"/>
                <w:szCs w:val="21"/>
              </w:rPr>
            </w:pPr>
            <w:r>
              <w:rPr>
                <w:rFonts w:hint="eastAsia" w:ascii="宋体" w:hAnsi="宋体"/>
                <w:szCs w:val="21"/>
              </w:rPr>
              <w:t>2</w:t>
            </w:r>
          </w:p>
        </w:tc>
        <w:tc>
          <w:tcPr>
            <w:tcW w:w="669" w:type="dxa"/>
            <w:tcBorders>
              <w:top w:val="single" w:color="auto" w:sz="4" w:space="0"/>
              <w:left w:val="single" w:color="auto" w:sz="4" w:space="0"/>
              <w:bottom w:val="single" w:color="auto" w:sz="4" w:space="0"/>
              <w:right w:val="single" w:color="auto" w:sz="4" w:space="0"/>
            </w:tcBorders>
            <w:vAlign w:val="center"/>
          </w:tcPr>
          <w:p w14:paraId="2AD4564D">
            <w:pPr>
              <w:jc w:val="center"/>
              <w:rPr>
                <w:rFonts w:ascii="宋体" w:hAnsi="宋体"/>
                <w:szCs w:val="21"/>
              </w:rPr>
            </w:pPr>
            <w:r>
              <w:rPr>
                <w:rFonts w:hint="eastAsia" w:ascii="宋体" w:hAnsi="宋体"/>
                <w:szCs w:val="21"/>
              </w:rPr>
              <w:t>铅酸蓄电池</w:t>
            </w:r>
          </w:p>
        </w:tc>
        <w:tc>
          <w:tcPr>
            <w:tcW w:w="391" w:type="dxa"/>
            <w:tcBorders>
              <w:top w:val="single" w:color="auto" w:sz="4" w:space="0"/>
              <w:left w:val="single" w:color="auto" w:sz="4" w:space="0"/>
              <w:bottom w:val="single" w:color="auto" w:sz="4" w:space="0"/>
              <w:right w:val="single" w:color="auto" w:sz="4" w:space="0"/>
            </w:tcBorders>
            <w:vAlign w:val="center"/>
          </w:tcPr>
          <w:p w14:paraId="285FF5AB">
            <w:pPr>
              <w:jc w:val="center"/>
              <w:rPr>
                <w:rFonts w:ascii="宋体" w:hAnsi="宋体"/>
                <w:szCs w:val="21"/>
              </w:rPr>
            </w:pPr>
            <w:r>
              <w:rPr>
                <w:rFonts w:hint="eastAsia" w:ascii="宋体" w:hAnsi="宋体"/>
                <w:szCs w:val="21"/>
              </w:rPr>
              <w:t>24只</w:t>
            </w:r>
          </w:p>
        </w:tc>
        <w:tc>
          <w:tcPr>
            <w:tcW w:w="6517" w:type="dxa"/>
            <w:tcBorders>
              <w:top w:val="single" w:color="auto" w:sz="4" w:space="0"/>
              <w:left w:val="single" w:color="auto" w:sz="4" w:space="0"/>
              <w:bottom w:val="single" w:color="auto" w:sz="4" w:space="0"/>
              <w:right w:val="single" w:color="auto" w:sz="4" w:space="0"/>
            </w:tcBorders>
            <w:vAlign w:val="center"/>
          </w:tcPr>
          <w:p w14:paraId="0F6A2197">
            <w:pPr>
              <w:rPr>
                <w:rFonts w:ascii="宋体"/>
                <w:szCs w:val="21"/>
              </w:rPr>
            </w:pPr>
            <w:r>
              <w:rPr>
                <w:rFonts w:hint="eastAsia" w:ascii="宋体"/>
                <w:szCs w:val="21"/>
              </w:rPr>
              <w:t>1、单只容量：12V40AH（10小时率）,15min恒功率≥83.2W/cell(1.67V/cell 25℃)；</w:t>
            </w:r>
          </w:p>
          <w:p w14:paraId="1A1197FE">
            <w:pPr>
              <w:rPr>
                <w:rFonts w:ascii="宋体"/>
                <w:szCs w:val="21"/>
              </w:rPr>
            </w:pPr>
            <w:r>
              <w:rPr>
                <w:rFonts w:hint="eastAsia" w:ascii="宋体"/>
                <w:szCs w:val="21"/>
              </w:rPr>
              <w:t>2、阀控式铅酸免维护高效蓄电池，壳体采用优质阻燃材ABS槽壳，符合UL94V-0标准；</w:t>
            </w:r>
          </w:p>
          <w:p w14:paraId="019860A9">
            <w:pPr>
              <w:rPr>
                <w:rFonts w:ascii="宋体"/>
                <w:szCs w:val="21"/>
              </w:rPr>
            </w:pPr>
            <w:r>
              <w:rPr>
                <w:rFonts w:hint="eastAsia" w:ascii="宋体"/>
                <w:szCs w:val="21"/>
              </w:rPr>
              <w:t>3、板栅采用铅钙锡多元合金，具有较强耐腐蚀性、抗蠕变性，板栅筋条结构采用菱形结构设计，合理设计板栅与活性物质比例；</w:t>
            </w:r>
          </w:p>
          <w:p w14:paraId="6671560E">
            <w:pPr>
              <w:rPr>
                <w:rFonts w:ascii="宋体"/>
                <w:szCs w:val="21"/>
              </w:rPr>
            </w:pPr>
            <w:r>
              <w:rPr>
                <w:rFonts w:hint="eastAsia" w:ascii="宋体"/>
                <w:szCs w:val="21"/>
              </w:rPr>
              <w:t>4、采用高灵敏度安全阀自动调节电池内压，滤酸片具有防酸雾及防爆功能；专利多层极柱密封结构，确保电池寿命期间极柱密封的可靠；</w:t>
            </w:r>
          </w:p>
          <w:p w14:paraId="01D9ACFA">
            <w:pPr>
              <w:rPr>
                <w:rFonts w:ascii="宋体"/>
                <w:szCs w:val="21"/>
              </w:rPr>
            </w:pPr>
            <w:r>
              <w:rPr>
                <w:rFonts w:hint="eastAsia" w:ascii="宋体"/>
                <w:szCs w:val="21"/>
              </w:rPr>
              <w:t>5、正极活性物质采用4BS成核技术和高温高湿固化工艺，提高蓄电池循环寿命，电池浮充设计寿命高于10年（25℃）；</w:t>
            </w:r>
          </w:p>
          <w:p w14:paraId="733042D5">
            <w:pPr>
              <w:rPr>
                <w:rFonts w:ascii="宋体"/>
                <w:szCs w:val="21"/>
              </w:rPr>
            </w:pPr>
            <w:r>
              <w:rPr>
                <w:rFonts w:hint="eastAsia" w:ascii="宋体"/>
                <w:szCs w:val="21"/>
              </w:rPr>
              <w:t>6、电池保质期为3年，到货日期至电池的生产日期不大于90天；</w:t>
            </w:r>
          </w:p>
          <w:p w14:paraId="242F55E4">
            <w:pPr>
              <w:rPr>
                <w:rFonts w:ascii="宋体"/>
                <w:b/>
                <w:bCs/>
                <w:szCs w:val="21"/>
              </w:rPr>
            </w:pPr>
            <w:r>
              <w:rPr>
                <w:rFonts w:hint="eastAsia" w:ascii="宋体"/>
                <w:szCs w:val="21"/>
              </w:rPr>
              <w:t>7、容量保存率：在工作环境温度为25℃时蓄电池静置28天后容量保存率不低于98％，</w:t>
            </w:r>
            <w:r>
              <w:rPr>
                <w:rFonts w:hint="eastAsia" w:ascii="宋体"/>
                <w:b/>
                <w:bCs/>
                <w:szCs w:val="21"/>
                <w:lang w:val="en-US" w:eastAsia="zh-CN"/>
              </w:rPr>
              <w:t>投标时响应文件内</w:t>
            </w:r>
            <w:r>
              <w:rPr>
                <w:rFonts w:hint="eastAsia" w:ascii="宋体"/>
                <w:b/>
                <w:bCs/>
                <w:szCs w:val="21"/>
              </w:rPr>
              <w:t>需提供同系列产品泰尔认证证书及检验报告；</w:t>
            </w:r>
          </w:p>
          <w:p w14:paraId="15A3D4FF">
            <w:pPr>
              <w:rPr>
                <w:rFonts w:ascii="宋体"/>
                <w:b/>
                <w:bCs/>
                <w:szCs w:val="21"/>
              </w:rPr>
            </w:pPr>
            <w:r>
              <w:rPr>
                <w:rFonts w:hint="eastAsia" w:ascii="宋体"/>
                <w:szCs w:val="21"/>
              </w:rPr>
              <w:t>8、密封反应效率：蓄电池密封反应效率应不低于97%，</w:t>
            </w:r>
            <w:r>
              <w:rPr>
                <w:rFonts w:hint="eastAsia" w:ascii="宋体"/>
                <w:b/>
                <w:bCs/>
                <w:szCs w:val="21"/>
                <w:lang w:val="en-US" w:eastAsia="zh-CN"/>
              </w:rPr>
              <w:t>投标时响应文件内</w:t>
            </w:r>
            <w:r>
              <w:rPr>
                <w:rFonts w:hint="eastAsia" w:ascii="宋体"/>
                <w:b/>
                <w:bCs/>
                <w:szCs w:val="21"/>
              </w:rPr>
              <w:t>需提供同系列产品泰尔认证证书及检验报告；</w:t>
            </w:r>
          </w:p>
          <w:p w14:paraId="0A642FA1">
            <w:pPr>
              <w:rPr>
                <w:rFonts w:ascii="宋体"/>
                <w:szCs w:val="21"/>
              </w:rPr>
            </w:pPr>
            <w:r>
              <w:rPr>
                <w:rFonts w:hint="eastAsia" w:ascii="宋体"/>
                <w:szCs w:val="21"/>
              </w:rPr>
              <w:t>9、蓄电池端电压的均衡性：由若干个单体组成的蓄电池组，其单体间的开路电压最高与最低差值≤70mV（12V）；蓄电池组进入浮充状态24h后，各蓄电池间的端电压差值≤180mV（12V）；</w:t>
            </w:r>
          </w:p>
          <w:p w14:paraId="470F2769">
            <w:pPr>
              <w:rPr>
                <w:rFonts w:ascii="宋体"/>
                <w:szCs w:val="21"/>
              </w:rPr>
            </w:pPr>
            <w:r>
              <w:rPr>
                <w:rFonts w:hint="eastAsia" w:ascii="宋体"/>
                <w:szCs w:val="21"/>
              </w:rPr>
              <w:t xml:space="preserve">10、电池连接条压降：蓄电池按1h率电流放电，在两只电池极柱根部测量的电池之间的连接条压降≤10mV；   </w:t>
            </w:r>
          </w:p>
          <w:p w14:paraId="124E179D">
            <w:pPr>
              <w:ind w:left="105" w:hanging="105" w:hangingChars="50"/>
              <w:rPr>
                <w:rFonts w:ascii="宋体"/>
                <w:szCs w:val="21"/>
              </w:rPr>
            </w:pPr>
            <w:r>
              <w:rPr>
                <w:rFonts w:hint="eastAsia" w:ascii="宋体"/>
                <w:szCs w:val="21"/>
              </w:rPr>
              <w:t>11、10小时率放电：以 1.0I</w:t>
            </w:r>
            <w:r>
              <w:rPr>
                <w:rFonts w:hint="eastAsia" w:ascii="宋体"/>
                <w:sz w:val="13"/>
                <w:szCs w:val="13"/>
              </w:rPr>
              <w:t>10</w:t>
            </w:r>
            <w:r>
              <w:rPr>
                <w:rFonts w:hint="eastAsia" w:ascii="宋体"/>
                <w:szCs w:val="21"/>
              </w:rPr>
              <w:t>放电至终止电压 1.80V/单体，其放电容量应</w:t>
            </w:r>
            <w:r>
              <w:rPr>
                <w:rFonts w:hint="eastAsia" w:asciiTheme="minorEastAsia" w:hAnsiTheme="minorEastAsia"/>
                <w:szCs w:val="21"/>
              </w:rPr>
              <w:t>≥</w:t>
            </w:r>
            <w:r>
              <w:rPr>
                <w:rFonts w:hint="eastAsia" w:ascii="宋体"/>
                <w:szCs w:val="21"/>
              </w:rPr>
              <w:t>1.00C</w:t>
            </w:r>
            <w:r>
              <w:rPr>
                <w:rFonts w:hint="eastAsia" w:ascii="宋体"/>
                <w:sz w:val="13"/>
                <w:szCs w:val="13"/>
              </w:rPr>
              <w:t>10</w:t>
            </w:r>
            <w:r>
              <w:rPr>
                <w:rFonts w:hint="eastAsia" w:ascii="宋体"/>
                <w:szCs w:val="21"/>
              </w:rPr>
              <w:t>。(150.0)；3小时率放电：以2.5I</w:t>
            </w:r>
            <w:r>
              <w:rPr>
                <w:rFonts w:hint="eastAsia" w:ascii="宋体"/>
                <w:sz w:val="13"/>
                <w:szCs w:val="13"/>
              </w:rPr>
              <w:t>10</w:t>
            </w:r>
            <w:r>
              <w:rPr>
                <w:rFonts w:hint="eastAsia" w:ascii="宋体"/>
                <w:szCs w:val="21"/>
              </w:rPr>
              <w:t>放电至终止电压 1.80V/单体，其放电容量应</w:t>
            </w:r>
            <w:r>
              <w:rPr>
                <w:rFonts w:hint="eastAsia" w:asciiTheme="minorEastAsia" w:hAnsiTheme="minorEastAsia"/>
                <w:szCs w:val="21"/>
              </w:rPr>
              <w:t>≥</w:t>
            </w:r>
            <w:r>
              <w:rPr>
                <w:rFonts w:hint="eastAsia" w:ascii="宋体"/>
                <w:szCs w:val="21"/>
              </w:rPr>
              <w:t>0.75C</w:t>
            </w:r>
            <w:r>
              <w:rPr>
                <w:rFonts w:hint="eastAsia" w:ascii="宋体"/>
                <w:sz w:val="13"/>
                <w:szCs w:val="13"/>
              </w:rPr>
              <w:t>10</w:t>
            </w:r>
            <w:r>
              <w:rPr>
                <w:rFonts w:hint="eastAsia" w:ascii="宋体"/>
                <w:szCs w:val="21"/>
              </w:rPr>
              <w:t>。(112.5.0)；1小时率放电：以5.5I</w:t>
            </w:r>
            <w:r>
              <w:rPr>
                <w:rFonts w:hint="eastAsia" w:ascii="宋体"/>
                <w:sz w:val="13"/>
                <w:szCs w:val="13"/>
              </w:rPr>
              <w:t>10</w:t>
            </w:r>
            <w:r>
              <w:rPr>
                <w:rFonts w:hint="eastAsia" w:ascii="宋体"/>
                <w:szCs w:val="21"/>
              </w:rPr>
              <w:t>放电至终止电压 1.75V/单体，其放电容量应</w:t>
            </w:r>
            <w:r>
              <w:rPr>
                <w:rFonts w:hint="eastAsia" w:asciiTheme="minorEastAsia" w:hAnsiTheme="minorEastAsia"/>
                <w:szCs w:val="21"/>
              </w:rPr>
              <w:t>≥</w:t>
            </w:r>
            <w:r>
              <w:rPr>
                <w:rFonts w:hint="eastAsia" w:ascii="宋体"/>
                <w:szCs w:val="21"/>
              </w:rPr>
              <w:t>0.55C</w:t>
            </w:r>
            <w:r>
              <w:rPr>
                <w:rFonts w:hint="eastAsia" w:ascii="宋体"/>
                <w:sz w:val="13"/>
                <w:szCs w:val="13"/>
              </w:rPr>
              <w:t>10</w:t>
            </w:r>
            <w:r>
              <w:rPr>
                <w:rFonts w:hint="eastAsia" w:ascii="宋体"/>
                <w:szCs w:val="21"/>
              </w:rPr>
              <w:t>(82.5)；</w:t>
            </w:r>
            <w:r>
              <w:rPr>
                <w:rFonts w:hint="eastAsia" w:ascii="宋体"/>
                <w:b/>
                <w:bCs/>
                <w:szCs w:val="21"/>
                <w:lang w:val="en-US" w:eastAsia="zh-CN"/>
              </w:rPr>
              <w:t>投标时响应文件内需</w:t>
            </w:r>
            <w:r>
              <w:rPr>
                <w:rFonts w:hint="eastAsia" w:ascii="宋体"/>
                <w:b/>
                <w:bCs/>
                <w:szCs w:val="21"/>
              </w:rPr>
              <w:t xml:space="preserve">提供同系列产品泰尔检验报告。 </w:t>
            </w:r>
            <w:r>
              <w:rPr>
                <w:rFonts w:hint="eastAsia" w:ascii="宋体"/>
                <w:szCs w:val="21"/>
              </w:rPr>
              <w:t xml:space="preserve">             </w:t>
            </w:r>
          </w:p>
          <w:p w14:paraId="538C60DE">
            <w:pPr>
              <w:rPr>
                <w:rFonts w:ascii="宋体"/>
                <w:szCs w:val="21"/>
              </w:rPr>
            </w:pPr>
            <w:r>
              <w:rPr>
                <w:rFonts w:hint="eastAsia" w:ascii="宋体"/>
                <w:szCs w:val="21"/>
              </w:rPr>
              <w:t>12、气密性：蓄电池应能承受50kPa的正压或负压而不破裂、不开胶，压力释放后壳体无残余变形；</w:t>
            </w:r>
          </w:p>
          <w:p w14:paraId="327FE3E1">
            <w:pPr>
              <w:rPr>
                <w:rFonts w:ascii="宋体"/>
                <w:b/>
                <w:bCs/>
                <w:szCs w:val="21"/>
              </w:rPr>
            </w:pPr>
            <w:r>
              <w:rPr>
                <w:rFonts w:hint="eastAsia" w:ascii="宋体"/>
                <w:szCs w:val="21"/>
              </w:rPr>
              <w:t>13、防酸雾性能：蓄电池在正常工作中应无酸雾逸出为合格，</w:t>
            </w:r>
            <w:r>
              <w:rPr>
                <w:rFonts w:hint="eastAsia" w:ascii="宋体"/>
                <w:b/>
                <w:bCs/>
                <w:szCs w:val="21"/>
                <w:lang w:val="en-US" w:eastAsia="zh-CN"/>
              </w:rPr>
              <w:t>投标时响应文件内需</w:t>
            </w:r>
            <w:r>
              <w:rPr>
                <w:rFonts w:hint="eastAsia" w:ascii="宋体"/>
                <w:b/>
                <w:bCs/>
                <w:szCs w:val="21"/>
              </w:rPr>
              <w:t>提供泰尔检验报告；</w:t>
            </w:r>
          </w:p>
          <w:p w14:paraId="176825DF">
            <w:pPr>
              <w:rPr>
                <w:rFonts w:ascii="宋体"/>
                <w:szCs w:val="21"/>
              </w:rPr>
            </w:pPr>
            <w:r>
              <w:rPr>
                <w:rFonts w:hint="eastAsia" w:ascii="宋体"/>
                <w:szCs w:val="21"/>
              </w:rPr>
              <w:t>14、防爆性能：蓄电池合格为在充电过程中遇有明火内部不应引爆，</w:t>
            </w:r>
            <w:r>
              <w:rPr>
                <w:rFonts w:hint="eastAsia" w:ascii="宋体"/>
                <w:b/>
                <w:bCs/>
                <w:szCs w:val="21"/>
                <w:lang w:val="en-US" w:eastAsia="zh-CN"/>
              </w:rPr>
              <w:t>投标时响应文件内需</w:t>
            </w:r>
            <w:r>
              <w:rPr>
                <w:rFonts w:hint="eastAsia" w:ascii="宋体"/>
                <w:b/>
                <w:bCs/>
                <w:szCs w:val="21"/>
              </w:rPr>
              <w:t>提供同系列产品泰尔检验报告；</w:t>
            </w:r>
          </w:p>
          <w:p w14:paraId="4DF8D83C">
            <w:pPr>
              <w:rPr>
                <w:rFonts w:ascii="宋体"/>
                <w:b/>
                <w:bCs/>
                <w:szCs w:val="21"/>
              </w:rPr>
            </w:pPr>
            <w:r>
              <w:rPr>
                <w:rFonts w:hint="eastAsia" w:ascii="宋体"/>
                <w:szCs w:val="21"/>
              </w:rPr>
              <w:t>15、阻燃性能：应符合 YD/T799-2010 中第 6.4条的要求。</w:t>
            </w:r>
            <w:r>
              <w:rPr>
                <w:rFonts w:hint="eastAsia" w:ascii="宋体"/>
                <w:b/>
                <w:bCs/>
                <w:szCs w:val="21"/>
                <w:lang w:val="en-US" w:eastAsia="zh-CN"/>
              </w:rPr>
              <w:t>投标时响应文件内需</w:t>
            </w:r>
            <w:r>
              <w:rPr>
                <w:rFonts w:hint="eastAsia" w:ascii="宋体"/>
                <w:b/>
                <w:bCs/>
                <w:szCs w:val="21"/>
              </w:rPr>
              <w:t>提供同系列产品泰尔检验报告；</w:t>
            </w:r>
          </w:p>
          <w:p w14:paraId="070D88BA">
            <w:pPr>
              <w:rPr>
                <w:rFonts w:ascii="宋体"/>
                <w:szCs w:val="21"/>
              </w:rPr>
            </w:pPr>
            <w:r>
              <w:rPr>
                <w:rFonts w:hint="eastAsia" w:ascii="宋体"/>
                <w:szCs w:val="21"/>
              </w:rPr>
              <w:t>16、产品须具有防伪标识，并具有400或800电话提供查询；</w:t>
            </w:r>
          </w:p>
          <w:p w14:paraId="3DA4DDAB">
            <w:pPr>
              <w:rPr>
                <w:rFonts w:ascii="宋体"/>
                <w:szCs w:val="21"/>
              </w:rPr>
            </w:pPr>
            <w:r>
              <w:rPr>
                <w:rFonts w:hint="eastAsia" w:ascii="宋体"/>
                <w:szCs w:val="21"/>
              </w:rPr>
              <w:t>17、安全阀要求：安全阀应具有自动开启和自动关闭的功能；</w:t>
            </w:r>
          </w:p>
          <w:p w14:paraId="715A6A7B">
            <w:pPr>
              <w:rPr>
                <w:rFonts w:ascii="宋体"/>
                <w:szCs w:val="21"/>
              </w:rPr>
            </w:pPr>
            <w:r>
              <w:rPr>
                <w:rFonts w:hint="eastAsia" w:ascii="宋体"/>
                <w:szCs w:val="21"/>
              </w:rPr>
              <w:t>18、蓄电池外观不得有变形、漏液、裂纹及污迹，标志要清晰；</w:t>
            </w:r>
          </w:p>
          <w:p w14:paraId="75E6BFCD">
            <w:pPr>
              <w:rPr>
                <w:rFonts w:asciiTheme="minorEastAsia" w:hAnsiTheme="minorEastAsia" w:cstheme="minorEastAsia"/>
                <w:bCs/>
                <w:sz w:val="24"/>
              </w:rPr>
            </w:pPr>
            <w:r>
              <w:rPr>
                <w:rFonts w:hint="eastAsia" w:ascii="宋体"/>
                <w:szCs w:val="21"/>
              </w:rPr>
              <w:t>19、</w:t>
            </w:r>
            <w:r>
              <w:rPr>
                <w:rFonts w:hint="eastAsia" w:ascii="宋体"/>
                <w:b/>
                <w:bCs/>
                <w:szCs w:val="21"/>
              </w:rPr>
              <w:t>蓄电池组工作电压：根据配套UPS主机</w:t>
            </w:r>
            <w:r>
              <w:rPr>
                <w:rFonts w:hint="eastAsia" w:ascii="宋体"/>
                <w:b/>
                <w:bCs/>
                <w:szCs w:val="21"/>
                <w:lang w:val="en-US" w:eastAsia="zh-CN"/>
              </w:rPr>
              <w:t>（山特）</w:t>
            </w:r>
            <w:r>
              <w:rPr>
                <w:rFonts w:hint="eastAsia" w:ascii="宋体"/>
                <w:b/>
                <w:bCs/>
                <w:szCs w:val="21"/>
              </w:rPr>
              <w:t>确定，要求能够满足和匹配UPS设备的技术标准并提供原厂技术说明；</w:t>
            </w:r>
          </w:p>
        </w:tc>
        <w:tc>
          <w:tcPr>
            <w:tcW w:w="741" w:type="dxa"/>
            <w:tcBorders>
              <w:top w:val="single" w:color="auto" w:sz="4" w:space="0"/>
              <w:left w:val="single" w:color="auto" w:sz="4" w:space="0"/>
              <w:bottom w:val="single" w:color="auto" w:sz="4" w:space="0"/>
              <w:right w:val="single" w:color="auto" w:sz="4" w:space="0"/>
            </w:tcBorders>
            <w:vAlign w:val="center"/>
          </w:tcPr>
          <w:p w14:paraId="6F81A790">
            <w:pPr>
              <w:rPr>
                <w:rFonts w:hint="default" w:ascii="宋体" w:eastAsiaTheme="minorEastAsia"/>
                <w:szCs w:val="21"/>
                <w:lang w:val="en-US" w:eastAsia="zh-CN"/>
              </w:rPr>
            </w:pPr>
            <w:r>
              <w:rPr>
                <w:rFonts w:hint="eastAsia" w:ascii="宋体"/>
                <w:szCs w:val="21"/>
                <w:lang w:val="en-US" w:eastAsia="zh-CN"/>
              </w:rPr>
              <w:t>17040元</w:t>
            </w:r>
          </w:p>
        </w:tc>
      </w:tr>
      <w:tr w14:paraId="6EA2D0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31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5E54CE1">
            <w:pPr>
              <w:jc w:val="center"/>
              <w:rPr>
                <w:rFonts w:ascii="宋体" w:hAnsi="宋体"/>
                <w:szCs w:val="21"/>
              </w:rPr>
            </w:pPr>
            <w:r>
              <w:rPr>
                <w:rFonts w:hint="eastAsia" w:ascii="宋体" w:hAnsi="宋体"/>
                <w:szCs w:val="21"/>
              </w:rPr>
              <w:t>3</w:t>
            </w:r>
          </w:p>
        </w:tc>
        <w:tc>
          <w:tcPr>
            <w:tcW w:w="669" w:type="dxa"/>
            <w:tcBorders>
              <w:top w:val="single" w:color="auto" w:sz="4" w:space="0"/>
              <w:left w:val="single" w:color="auto" w:sz="4" w:space="0"/>
              <w:bottom w:val="single" w:color="auto" w:sz="4" w:space="0"/>
              <w:right w:val="single" w:color="auto" w:sz="4" w:space="0"/>
            </w:tcBorders>
            <w:vAlign w:val="center"/>
          </w:tcPr>
          <w:p w14:paraId="2023D35E">
            <w:pPr>
              <w:jc w:val="center"/>
              <w:rPr>
                <w:rFonts w:ascii="宋体" w:hAnsi="宋体"/>
                <w:szCs w:val="21"/>
              </w:rPr>
            </w:pPr>
            <w:r>
              <w:rPr>
                <w:rFonts w:hint="eastAsia" w:ascii="宋体" w:hAnsi="宋体"/>
                <w:szCs w:val="21"/>
              </w:rPr>
              <w:t>铅酸蓄电池</w:t>
            </w:r>
          </w:p>
        </w:tc>
        <w:tc>
          <w:tcPr>
            <w:tcW w:w="391" w:type="dxa"/>
            <w:tcBorders>
              <w:top w:val="single" w:color="auto" w:sz="4" w:space="0"/>
              <w:left w:val="single" w:color="auto" w:sz="4" w:space="0"/>
              <w:bottom w:val="single" w:color="auto" w:sz="4" w:space="0"/>
              <w:right w:val="single" w:color="auto" w:sz="4" w:space="0"/>
            </w:tcBorders>
            <w:vAlign w:val="center"/>
          </w:tcPr>
          <w:p w14:paraId="43EDFEB9">
            <w:pPr>
              <w:jc w:val="center"/>
              <w:rPr>
                <w:rFonts w:ascii="宋体" w:hAnsi="宋体"/>
                <w:szCs w:val="21"/>
              </w:rPr>
            </w:pPr>
            <w:r>
              <w:rPr>
                <w:rFonts w:hint="eastAsia" w:ascii="宋体" w:hAnsi="宋体"/>
                <w:szCs w:val="21"/>
              </w:rPr>
              <w:t>8只</w:t>
            </w:r>
          </w:p>
        </w:tc>
        <w:tc>
          <w:tcPr>
            <w:tcW w:w="6517" w:type="dxa"/>
            <w:tcBorders>
              <w:top w:val="single" w:color="auto" w:sz="4" w:space="0"/>
              <w:left w:val="single" w:color="auto" w:sz="4" w:space="0"/>
              <w:bottom w:val="single" w:color="auto" w:sz="4" w:space="0"/>
              <w:right w:val="single" w:color="auto" w:sz="4" w:space="0"/>
            </w:tcBorders>
            <w:vAlign w:val="center"/>
          </w:tcPr>
          <w:p w14:paraId="70B77514">
            <w:pPr>
              <w:rPr>
                <w:rFonts w:ascii="宋体"/>
                <w:szCs w:val="21"/>
              </w:rPr>
            </w:pPr>
            <w:r>
              <w:rPr>
                <w:rFonts w:hint="eastAsia" w:ascii="宋体"/>
                <w:szCs w:val="21"/>
              </w:rPr>
              <w:t>1、单只容量：12V100AH（10小时率）,15min恒功率≥304W/cell(1.65V/cell 25℃)；</w:t>
            </w:r>
          </w:p>
          <w:p w14:paraId="60C23295">
            <w:pPr>
              <w:rPr>
                <w:rFonts w:ascii="宋体"/>
                <w:szCs w:val="21"/>
              </w:rPr>
            </w:pPr>
            <w:r>
              <w:rPr>
                <w:rFonts w:hint="eastAsia" w:ascii="宋体"/>
                <w:szCs w:val="21"/>
              </w:rPr>
              <w:t>2、阀控式铅酸免维护高效蓄电池，壳体采用优质阻燃材ABS槽壳，符合UL94V-0标准；</w:t>
            </w:r>
          </w:p>
          <w:p w14:paraId="52EA655A">
            <w:pPr>
              <w:rPr>
                <w:rFonts w:ascii="宋体"/>
                <w:szCs w:val="21"/>
              </w:rPr>
            </w:pPr>
            <w:r>
              <w:rPr>
                <w:rFonts w:hint="eastAsia" w:ascii="宋体"/>
                <w:szCs w:val="21"/>
              </w:rPr>
              <w:t>3、板栅采用铅钙锡多元合金，具有较强耐腐蚀性、抗蠕变性，板栅筋条结构采用菱形结构设计，合理设计板栅与活性物质比例；</w:t>
            </w:r>
          </w:p>
          <w:p w14:paraId="64D0FC5F">
            <w:pPr>
              <w:rPr>
                <w:rFonts w:ascii="宋体"/>
                <w:szCs w:val="21"/>
              </w:rPr>
            </w:pPr>
            <w:r>
              <w:rPr>
                <w:rFonts w:hint="eastAsia" w:ascii="宋体"/>
                <w:szCs w:val="21"/>
              </w:rPr>
              <w:t>4、采用高灵敏度安全阀自动调节电池内压，滤酸片具有防酸雾及防爆功能；专利多层极柱密封结构，确保电池寿命期间极柱密封的可靠；</w:t>
            </w:r>
          </w:p>
          <w:p w14:paraId="5498B5D8">
            <w:pPr>
              <w:rPr>
                <w:rFonts w:ascii="宋体"/>
                <w:szCs w:val="21"/>
              </w:rPr>
            </w:pPr>
            <w:r>
              <w:rPr>
                <w:rFonts w:hint="eastAsia" w:ascii="宋体"/>
                <w:szCs w:val="21"/>
              </w:rPr>
              <w:t>5、正极活性物质采用4BS成核技术和高温高湿固化工艺，提高蓄电池循环寿命，电池浮充设计寿命高于10年（25℃）；</w:t>
            </w:r>
          </w:p>
          <w:p w14:paraId="492A5CFA">
            <w:pPr>
              <w:rPr>
                <w:rFonts w:ascii="宋体"/>
                <w:szCs w:val="21"/>
              </w:rPr>
            </w:pPr>
            <w:r>
              <w:rPr>
                <w:rFonts w:hint="eastAsia" w:ascii="宋体"/>
                <w:szCs w:val="21"/>
              </w:rPr>
              <w:t>6、电池保质期为3年，到货日期至电池的生产日期不大于90天；</w:t>
            </w:r>
          </w:p>
          <w:p w14:paraId="18D004C0">
            <w:pPr>
              <w:rPr>
                <w:rFonts w:ascii="宋体"/>
                <w:b/>
                <w:bCs/>
                <w:szCs w:val="21"/>
              </w:rPr>
            </w:pPr>
            <w:r>
              <w:rPr>
                <w:rFonts w:hint="eastAsia" w:ascii="宋体"/>
                <w:szCs w:val="21"/>
              </w:rPr>
              <w:t>7、容量保存率：在工作环境温度为25℃时蓄电池静置28天后容量保存率不低于98％，</w:t>
            </w:r>
            <w:r>
              <w:rPr>
                <w:rFonts w:hint="eastAsia" w:ascii="宋体"/>
                <w:b/>
                <w:bCs/>
                <w:szCs w:val="21"/>
                <w:lang w:val="en-US" w:eastAsia="zh-CN"/>
              </w:rPr>
              <w:t>投标时响应文件内</w:t>
            </w:r>
            <w:r>
              <w:rPr>
                <w:rFonts w:hint="eastAsia" w:ascii="宋体"/>
                <w:b/>
                <w:bCs/>
                <w:szCs w:val="21"/>
              </w:rPr>
              <w:t>需提供同系列产品泰尔认证证书及检验报告；</w:t>
            </w:r>
          </w:p>
          <w:p w14:paraId="30B13ECE">
            <w:pPr>
              <w:rPr>
                <w:rFonts w:ascii="宋体"/>
                <w:b/>
                <w:bCs/>
                <w:szCs w:val="21"/>
              </w:rPr>
            </w:pPr>
            <w:r>
              <w:rPr>
                <w:rFonts w:hint="eastAsia" w:ascii="宋体"/>
                <w:szCs w:val="21"/>
              </w:rPr>
              <w:t>8、密封反应效率：蓄电池密封反应效率应不低于97%，</w:t>
            </w:r>
            <w:r>
              <w:rPr>
                <w:rFonts w:hint="eastAsia" w:ascii="宋体"/>
                <w:b/>
                <w:bCs/>
                <w:szCs w:val="21"/>
                <w:lang w:val="en-US" w:eastAsia="zh-CN"/>
              </w:rPr>
              <w:t>投标时响应文件内</w:t>
            </w:r>
            <w:r>
              <w:rPr>
                <w:rFonts w:hint="eastAsia" w:ascii="宋体"/>
                <w:b/>
                <w:bCs/>
                <w:szCs w:val="21"/>
              </w:rPr>
              <w:t>需提供同系列产品泰尔认证证书及检验报告；</w:t>
            </w:r>
          </w:p>
          <w:p w14:paraId="7DF97B2B">
            <w:pPr>
              <w:rPr>
                <w:rFonts w:ascii="宋体"/>
                <w:szCs w:val="21"/>
              </w:rPr>
            </w:pPr>
            <w:r>
              <w:rPr>
                <w:rFonts w:hint="eastAsia" w:ascii="宋体"/>
                <w:szCs w:val="21"/>
              </w:rPr>
              <w:t>9、蓄电池端电压的均衡性：由若干个单体组成的蓄电池组，其单体间的开路电压最高与最低差值≤70mV（12V）；蓄电池组进入浮充状态24h后，各蓄电池间的端电压差值≤180mV（12V）；</w:t>
            </w:r>
          </w:p>
          <w:p w14:paraId="335E05BC">
            <w:pPr>
              <w:rPr>
                <w:rFonts w:ascii="宋体"/>
                <w:szCs w:val="21"/>
              </w:rPr>
            </w:pPr>
            <w:r>
              <w:rPr>
                <w:rFonts w:hint="eastAsia" w:ascii="宋体"/>
                <w:szCs w:val="21"/>
              </w:rPr>
              <w:t xml:space="preserve">10、电池连接条压降：蓄电池按1h率电流放电，在两只电池极柱根部测量的电池之间的连接条压降≤10mV；   </w:t>
            </w:r>
          </w:p>
          <w:p w14:paraId="1C1030AA">
            <w:pPr>
              <w:ind w:left="105" w:hanging="105" w:hangingChars="50"/>
              <w:rPr>
                <w:rFonts w:ascii="宋体"/>
                <w:szCs w:val="21"/>
              </w:rPr>
            </w:pPr>
            <w:r>
              <w:rPr>
                <w:rFonts w:hint="eastAsia" w:ascii="宋体"/>
                <w:szCs w:val="21"/>
              </w:rPr>
              <w:t>11、10小时率放电：以 1.0I</w:t>
            </w:r>
            <w:r>
              <w:rPr>
                <w:rFonts w:hint="eastAsia" w:ascii="宋体"/>
                <w:sz w:val="13"/>
                <w:szCs w:val="13"/>
              </w:rPr>
              <w:t>10</w:t>
            </w:r>
            <w:r>
              <w:rPr>
                <w:rFonts w:hint="eastAsia" w:ascii="宋体"/>
                <w:szCs w:val="21"/>
              </w:rPr>
              <w:t>放电至终止电压 1.80V/单体，其放电容量应</w:t>
            </w:r>
            <w:r>
              <w:rPr>
                <w:rFonts w:hint="eastAsia" w:asciiTheme="minorEastAsia" w:hAnsiTheme="minorEastAsia"/>
                <w:szCs w:val="21"/>
              </w:rPr>
              <w:t>≥</w:t>
            </w:r>
            <w:r>
              <w:rPr>
                <w:rFonts w:hint="eastAsia" w:ascii="宋体"/>
                <w:szCs w:val="21"/>
              </w:rPr>
              <w:t>1.00C</w:t>
            </w:r>
            <w:r>
              <w:rPr>
                <w:rFonts w:hint="eastAsia" w:ascii="宋体"/>
                <w:sz w:val="13"/>
                <w:szCs w:val="13"/>
              </w:rPr>
              <w:t>10</w:t>
            </w:r>
            <w:r>
              <w:rPr>
                <w:rFonts w:hint="eastAsia" w:ascii="宋体"/>
                <w:szCs w:val="21"/>
              </w:rPr>
              <w:t>。(150.0)；3小时率放电：以2.5I</w:t>
            </w:r>
            <w:r>
              <w:rPr>
                <w:rFonts w:hint="eastAsia" w:ascii="宋体"/>
                <w:sz w:val="13"/>
                <w:szCs w:val="13"/>
              </w:rPr>
              <w:t>10</w:t>
            </w:r>
            <w:r>
              <w:rPr>
                <w:rFonts w:hint="eastAsia" w:ascii="宋体"/>
                <w:szCs w:val="21"/>
              </w:rPr>
              <w:t>放电至终止电压 1.80V/单体，其放电容量应</w:t>
            </w:r>
            <w:r>
              <w:rPr>
                <w:rFonts w:hint="eastAsia" w:asciiTheme="minorEastAsia" w:hAnsiTheme="minorEastAsia"/>
                <w:szCs w:val="21"/>
              </w:rPr>
              <w:t>≥</w:t>
            </w:r>
            <w:r>
              <w:rPr>
                <w:rFonts w:hint="eastAsia" w:ascii="宋体"/>
                <w:szCs w:val="21"/>
              </w:rPr>
              <w:t>0.75C</w:t>
            </w:r>
            <w:r>
              <w:rPr>
                <w:rFonts w:hint="eastAsia" w:ascii="宋体"/>
                <w:sz w:val="13"/>
                <w:szCs w:val="13"/>
              </w:rPr>
              <w:t>10</w:t>
            </w:r>
            <w:r>
              <w:rPr>
                <w:rFonts w:hint="eastAsia" w:ascii="宋体"/>
                <w:szCs w:val="21"/>
              </w:rPr>
              <w:t>。(112.5.0)；1小时率放电：以5.5I</w:t>
            </w:r>
            <w:r>
              <w:rPr>
                <w:rFonts w:hint="eastAsia" w:ascii="宋体"/>
                <w:sz w:val="13"/>
                <w:szCs w:val="13"/>
              </w:rPr>
              <w:t>10</w:t>
            </w:r>
            <w:r>
              <w:rPr>
                <w:rFonts w:hint="eastAsia" w:ascii="宋体"/>
                <w:szCs w:val="21"/>
              </w:rPr>
              <w:t>放电至终止电压 1.75V/单体，其放电容量应</w:t>
            </w:r>
            <w:r>
              <w:rPr>
                <w:rFonts w:hint="eastAsia" w:asciiTheme="minorEastAsia" w:hAnsiTheme="minorEastAsia"/>
                <w:szCs w:val="21"/>
              </w:rPr>
              <w:t>≥</w:t>
            </w:r>
            <w:r>
              <w:rPr>
                <w:rFonts w:hint="eastAsia" w:ascii="宋体"/>
                <w:szCs w:val="21"/>
              </w:rPr>
              <w:t>0.55C</w:t>
            </w:r>
            <w:r>
              <w:rPr>
                <w:rFonts w:hint="eastAsia" w:ascii="宋体"/>
                <w:sz w:val="13"/>
                <w:szCs w:val="13"/>
              </w:rPr>
              <w:t>10</w:t>
            </w:r>
            <w:r>
              <w:rPr>
                <w:rFonts w:hint="eastAsia" w:ascii="宋体"/>
                <w:szCs w:val="21"/>
              </w:rPr>
              <w:t>(82.5)；</w:t>
            </w:r>
            <w:r>
              <w:rPr>
                <w:rFonts w:hint="eastAsia" w:ascii="宋体"/>
                <w:b/>
                <w:bCs/>
                <w:szCs w:val="21"/>
                <w:lang w:val="en-US" w:eastAsia="zh-CN"/>
              </w:rPr>
              <w:t>投标时响应文件内需</w:t>
            </w:r>
            <w:r>
              <w:rPr>
                <w:rFonts w:hint="eastAsia" w:ascii="宋体"/>
                <w:b/>
                <w:bCs/>
                <w:szCs w:val="21"/>
              </w:rPr>
              <w:t>提供同系列产品泰尔检验报告。</w:t>
            </w:r>
            <w:r>
              <w:rPr>
                <w:rFonts w:hint="eastAsia" w:ascii="宋体"/>
                <w:szCs w:val="21"/>
              </w:rPr>
              <w:t xml:space="preserve">              </w:t>
            </w:r>
          </w:p>
          <w:p w14:paraId="0C0BE612">
            <w:pPr>
              <w:rPr>
                <w:rFonts w:ascii="宋体"/>
                <w:szCs w:val="21"/>
              </w:rPr>
            </w:pPr>
            <w:r>
              <w:rPr>
                <w:rFonts w:hint="eastAsia" w:ascii="宋体"/>
                <w:szCs w:val="21"/>
              </w:rPr>
              <w:t>12、气密性：蓄电池应能承受50kPa的正压或负压而不破裂、不开胶，压力释放后壳体无残余变形；</w:t>
            </w:r>
          </w:p>
          <w:p w14:paraId="17AA477F">
            <w:pPr>
              <w:rPr>
                <w:rFonts w:ascii="宋体"/>
                <w:b/>
                <w:bCs/>
                <w:szCs w:val="21"/>
              </w:rPr>
            </w:pPr>
            <w:r>
              <w:rPr>
                <w:rFonts w:hint="eastAsia" w:ascii="宋体"/>
                <w:szCs w:val="21"/>
              </w:rPr>
              <w:t>13、防酸雾性能：蓄电池在正常工作中应无酸雾逸出为合格，</w:t>
            </w:r>
            <w:r>
              <w:rPr>
                <w:rFonts w:hint="eastAsia" w:ascii="宋体"/>
                <w:b/>
                <w:bCs/>
                <w:szCs w:val="21"/>
                <w:lang w:val="en-US" w:eastAsia="zh-CN"/>
              </w:rPr>
              <w:t>投标时响应文件内需</w:t>
            </w:r>
            <w:r>
              <w:rPr>
                <w:rFonts w:hint="eastAsia" w:ascii="宋体"/>
                <w:b/>
                <w:bCs/>
                <w:szCs w:val="21"/>
              </w:rPr>
              <w:t>提供泰尔检验报告；</w:t>
            </w:r>
          </w:p>
          <w:p w14:paraId="2687A4BB">
            <w:pPr>
              <w:rPr>
                <w:rFonts w:ascii="宋体"/>
                <w:szCs w:val="21"/>
              </w:rPr>
            </w:pPr>
            <w:r>
              <w:rPr>
                <w:rFonts w:hint="eastAsia" w:ascii="宋体"/>
                <w:szCs w:val="21"/>
              </w:rPr>
              <w:t>14、防爆性能：蓄电池合格为在充电过程中遇有明火内部不应引爆，</w:t>
            </w:r>
            <w:r>
              <w:rPr>
                <w:rFonts w:hint="eastAsia" w:ascii="宋体"/>
                <w:b/>
                <w:bCs/>
                <w:szCs w:val="21"/>
                <w:lang w:val="en-US" w:eastAsia="zh-CN"/>
              </w:rPr>
              <w:t>投标时响应文件内需</w:t>
            </w:r>
            <w:r>
              <w:rPr>
                <w:rFonts w:hint="eastAsia" w:ascii="宋体"/>
                <w:b/>
                <w:bCs/>
                <w:szCs w:val="21"/>
              </w:rPr>
              <w:t>提供同系列产品泰尔检验报告；</w:t>
            </w:r>
          </w:p>
          <w:p w14:paraId="38F8651A">
            <w:pPr>
              <w:rPr>
                <w:rFonts w:ascii="宋体"/>
                <w:b/>
                <w:bCs/>
                <w:szCs w:val="21"/>
              </w:rPr>
            </w:pPr>
            <w:r>
              <w:rPr>
                <w:rFonts w:hint="eastAsia" w:ascii="宋体"/>
                <w:szCs w:val="21"/>
              </w:rPr>
              <w:t>15、阻燃性能：应符合 YD/T799-2010 中第 6.4条的要求。</w:t>
            </w:r>
            <w:r>
              <w:rPr>
                <w:rFonts w:hint="eastAsia" w:ascii="宋体"/>
                <w:b/>
                <w:bCs/>
                <w:szCs w:val="21"/>
                <w:lang w:val="en-US" w:eastAsia="zh-CN"/>
              </w:rPr>
              <w:t>投标时响应文件内需</w:t>
            </w:r>
            <w:r>
              <w:rPr>
                <w:rFonts w:hint="eastAsia" w:ascii="宋体"/>
                <w:b/>
                <w:bCs/>
                <w:szCs w:val="21"/>
              </w:rPr>
              <w:t>提供同系列产品泰尔检验报告；</w:t>
            </w:r>
          </w:p>
          <w:p w14:paraId="71FE576E">
            <w:pPr>
              <w:rPr>
                <w:rFonts w:ascii="宋体"/>
                <w:szCs w:val="21"/>
              </w:rPr>
            </w:pPr>
            <w:r>
              <w:rPr>
                <w:rFonts w:hint="eastAsia" w:ascii="宋体"/>
                <w:szCs w:val="21"/>
              </w:rPr>
              <w:t>16、产品须具有防伪标识，并具有400或800电话提供查询；</w:t>
            </w:r>
          </w:p>
          <w:p w14:paraId="79071FE4">
            <w:pPr>
              <w:rPr>
                <w:rFonts w:ascii="宋体"/>
                <w:szCs w:val="21"/>
              </w:rPr>
            </w:pPr>
            <w:r>
              <w:rPr>
                <w:rFonts w:hint="eastAsia" w:ascii="宋体"/>
                <w:szCs w:val="21"/>
              </w:rPr>
              <w:t>17、安全阀要求：安全阀应具有自动开启和自动关闭的功能；</w:t>
            </w:r>
          </w:p>
          <w:p w14:paraId="1241383C">
            <w:pPr>
              <w:rPr>
                <w:rFonts w:ascii="宋体"/>
                <w:szCs w:val="21"/>
              </w:rPr>
            </w:pPr>
            <w:r>
              <w:rPr>
                <w:rFonts w:hint="eastAsia" w:ascii="宋体"/>
                <w:szCs w:val="21"/>
              </w:rPr>
              <w:t>18、蓄电池外观不得有变形、漏液、裂纹及污迹，标志要清晰；</w:t>
            </w:r>
          </w:p>
          <w:p w14:paraId="55518FC3">
            <w:pPr>
              <w:rPr>
                <w:rFonts w:asciiTheme="minorEastAsia" w:hAnsiTheme="minorEastAsia" w:cstheme="minorEastAsia"/>
                <w:bCs/>
                <w:sz w:val="24"/>
              </w:rPr>
            </w:pPr>
            <w:r>
              <w:rPr>
                <w:rFonts w:hint="eastAsia" w:ascii="宋体"/>
                <w:szCs w:val="21"/>
              </w:rPr>
              <w:t>19、蓄电池组工作电压：</w:t>
            </w:r>
            <w:r>
              <w:rPr>
                <w:rFonts w:hint="eastAsia" w:ascii="宋体"/>
                <w:b/>
                <w:bCs/>
                <w:szCs w:val="21"/>
              </w:rPr>
              <w:t>根据配套UPS主机</w:t>
            </w:r>
            <w:r>
              <w:rPr>
                <w:rFonts w:hint="eastAsia" w:ascii="宋体"/>
                <w:b/>
                <w:bCs/>
                <w:szCs w:val="21"/>
                <w:lang w:eastAsia="zh-CN"/>
              </w:rPr>
              <w:t>（山特）</w:t>
            </w:r>
            <w:r>
              <w:rPr>
                <w:rFonts w:hint="eastAsia" w:ascii="宋体"/>
                <w:b/>
                <w:bCs/>
                <w:szCs w:val="21"/>
              </w:rPr>
              <w:t>确定，要求能够满足和匹配UPS设备的技术标准并提供原厂技术说明；</w:t>
            </w:r>
          </w:p>
        </w:tc>
        <w:tc>
          <w:tcPr>
            <w:tcW w:w="741" w:type="dxa"/>
            <w:tcBorders>
              <w:top w:val="single" w:color="auto" w:sz="4" w:space="0"/>
              <w:left w:val="single" w:color="auto" w:sz="4" w:space="0"/>
              <w:bottom w:val="single" w:color="auto" w:sz="4" w:space="0"/>
              <w:right w:val="single" w:color="auto" w:sz="4" w:space="0"/>
            </w:tcBorders>
            <w:vAlign w:val="center"/>
          </w:tcPr>
          <w:p w14:paraId="48760D24">
            <w:pPr>
              <w:rPr>
                <w:rFonts w:hint="default" w:ascii="宋体" w:eastAsiaTheme="minorEastAsia"/>
                <w:szCs w:val="21"/>
                <w:lang w:val="en-US" w:eastAsia="zh-CN"/>
              </w:rPr>
            </w:pPr>
            <w:r>
              <w:rPr>
                <w:rFonts w:hint="eastAsia" w:ascii="宋体"/>
                <w:szCs w:val="21"/>
                <w:lang w:val="en-US" w:eastAsia="zh-CN"/>
              </w:rPr>
              <w:t>12000元</w:t>
            </w:r>
          </w:p>
        </w:tc>
      </w:tr>
      <w:tr w14:paraId="51B05F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31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D1D6FD6">
            <w:pPr>
              <w:jc w:val="center"/>
              <w:rPr>
                <w:rFonts w:ascii="宋体" w:hAnsi="宋体"/>
                <w:szCs w:val="21"/>
              </w:rPr>
            </w:pPr>
            <w:r>
              <w:rPr>
                <w:rFonts w:hint="eastAsia" w:ascii="宋体" w:hAnsi="宋体"/>
                <w:szCs w:val="21"/>
              </w:rPr>
              <w:t>商务</w:t>
            </w:r>
            <w:r>
              <w:rPr>
                <w:rFonts w:ascii="宋体" w:hAnsi="宋体"/>
                <w:szCs w:val="21"/>
              </w:rPr>
              <w:t>条款</w:t>
            </w:r>
          </w:p>
        </w:tc>
        <w:tc>
          <w:tcPr>
            <w:tcW w:w="7613" w:type="dxa"/>
            <w:gridSpan w:val="3"/>
            <w:tcBorders>
              <w:top w:val="single" w:color="auto" w:sz="4" w:space="0"/>
              <w:left w:val="single" w:color="auto" w:sz="4" w:space="0"/>
              <w:bottom w:val="single" w:color="auto" w:sz="4" w:space="0"/>
              <w:right w:val="single" w:color="auto" w:sz="4" w:space="0"/>
            </w:tcBorders>
            <w:vAlign w:val="center"/>
          </w:tcPr>
          <w:p w14:paraId="4ED0DACA">
            <w:pPr>
              <w:spacing w:line="420" w:lineRule="exact"/>
              <w:rPr>
                <w:rFonts w:ascii="宋体" w:hAnsi="宋体"/>
                <w:szCs w:val="21"/>
              </w:rPr>
            </w:pPr>
            <w:r>
              <w:rPr>
                <w:rFonts w:hint="eastAsia" w:ascii="宋体" w:hAnsi="宋体"/>
                <w:szCs w:val="21"/>
              </w:rPr>
              <w:t>一、合同签订期：自采购结果公告结束之日起</w:t>
            </w:r>
            <w:r>
              <w:rPr>
                <w:rFonts w:hint="eastAsia" w:ascii="宋体" w:hAnsi="宋体"/>
                <w:szCs w:val="21"/>
                <w:lang w:val="en-US" w:eastAsia="zh-CN"/>
              </w:rPr>
              <w:t>10</w:t>
            </w:r>
            <w:r>
              <w:rPr>
                <w:rFonts w:hint="eastAsia" w:ascii="宋体" w:hAnsi="宋体"/>
                <w:szCs w:val="21"/>
              </w:rPr>
              <w:t>个工作日内。</w:t>
            </w:r>
          </w:p>
          <w:p w14:paraId="1DB4FFEE">
            <w:pPr>
              <w:spacing w:line="420" w:lineRule="exact"/>
              <w:rPr>
                <w:rFonts w:ascii="宋体" w:hAnsi="宋体"/>
                <w:szCs w:val="21"/>
              </w:rPr>
            </w:pPr>
            <w:r>
              <w:rPr>
                <w:rFonts w:hint="eastAsia" w:ascii="宋体" w:hAnsi="宋体"/>
                <w:szCs w:val="21"/>
              </w:rPr>
              <w:t>二、供货时间：合同签订之日起10个工作日供货安装完毕。</w:t>
            </w:r>
          </w:p>
          <w:p w14:paraId="13D3EC8A">
            <w:pPr>
              <w:spacing w:line="420" w:lineRule="exact"/>
              <w:rPr>
                <w:rFonts w:ascii="宋体" w:hAnsi="宋体"/>
                <w:szCs w:val="21"/>
              </w:rPr>
            </w:pPr>
            <w:r>
              <w:rPr>
                <w:rFonts w:hint="eastAsia" w:ascii="宋体" w:hAnsi="宋体"/>
                <w:szCs w:val="21"/>
              </w:rPr>
              <w:t>三、供货地点：南宁中心血站指定地点。</w:t>
            </w:r>
          </w:p>
          <w:p w14:paraId="49563AB1">
            <w:pPr>
              <w:spacing w:line="420" w:lineRule="exact"/>
              <w:rPr>
                <w:rFonts w:ascii="宋体" w:hAnsi="宋体"/>
                <w:szCs w:val="21"/>
              </w:rPr>
            </w:pPr>
            <w:r>
              <w:rPr>
                <w:rFonts w:hint="eastAsia" w:ascii="宋体" w:hAnsi="宋体"/>
                <w:szCs w:val="21"/>
              </w:rPr>
              <w:t>四、其他要求：</w:t>
            </w:r>
          </w:p>
          <w:p w14:paraId="19FB08A1">
            <w:pPr>
              <w:spacing w:line="420" w:lineRule="exact"/>
              <w:ind w:firstLine="420" w:firstLineChars="200"/>
              <w:rPr>
                <w:rFonts w:ascii="宋体" w:hAnsi="宋体"/>
                <w:szCs w:val="21"/>
              </w:rPr>
            </w:pPr>
            <w:r>
              <w:rPr>
                <w:rFonts w:hint="eastAsia" w:ascii="宋体" w:hAnsi="宋体"/>
                <w:szCs w:val="21"/>
              </w:rPr>
              <w:t>为保证产品的质量及正规销售渠道性</w:t>
            </w:r>
            <w:r>
              <w:rPr>
                <w:rFonts w:hint="eastAsia" w:ascii="宋体" w:hAnsi="宋体"/>
                <w:szCs w:val="21"/>
                <w:lang w:eastAsia="zh-CN"/>
              </w:rPr>
              <w:t>，</w:t>
            </w:r>
            <w:r>
              <w:rPr>
                <w:rFonts w:hint="eastAsia" w:ascii="宋体" w:hAnsi="宋体"/>
                <w:szCs w:val="21"/>
                <w:lang w:val="en-US" w:eastAsia="zh-CN"/>
              </w:rPr>
              <w:t>供货时</w:t>
            </w:r>
            <w:r>
              <w:rPr>
                <w:rFonts w:hint="eastAsia" w:ascii="宋体" w:hAnsi="宋体"/>
                <w:szCs w:val="21"/>
              </w:rPr>
              <w:t>须提供生产厂商</w:t>
            </w:r>
            <w:r>
              <w:rPr>
                <w:rFonts w:hint="eastAsia" w:ascii="宋体" w:hAnsi="宋体"/>
                <w:szCs w:val="21"/>
                <w:lang w:val="en-US" w:eastAsia="zh-CN"/>
              </w:rPr>
              <w:t>的</w:t>
            </w:r>
            <w:r>
              <w:rPr>
                <w:rFonts w:hint="eastAsia" w:ascii="宋体" w:hAnsi="宋体"/>
                <w:szCs w:val="21"/>
              </w:rPr>
              <w:t>供货证明和售后服务承诺函原件。</w:t>
            </w:r>
          </w:p>
          <w:p w14:paraId="2B1E8DEE">
            <w:pPr>
              <w:spacing w:line="420" w:lineRule="exact"/>
              <w:rPr>
                <w:rFonts w:ascii="宋体" w:hAnsi="宋体"/>
                <w:szCs w:val="21"/>
              </w:rPr>
            </w:pPr>
            <w:r>
              <w:rPr>
                <w:rFonts w:hint="eastAsia" w:ascii="宋体" w:hAnsi="宋体"/>
                <w:szCs w:val="21"/>
              </w:rPr>
              <w:t>五、报价必须含以下部分，包括：</w:t>
            </w:r>
          </w:p>
          <w:p w14:paraId="2AE501F7">
            <w:pPr>
              <w:spacing w:line="420" w:lineRule="exact"/>
              <w:rPr>
                <w:rFonts w:ascii="宋体" w:hAnsi="宋体"/>
                <w:szCs w:val="21"/>
              </w:rPr>
            </w:pPr>
            <w:r>
              <w:rPr>
                <w:rFonts w:hint="eastAsia" w:ascii="宋体" w:hAnsi="宋体"/>
                <w:szCs w:val="21"/>
              </w:rPr>
              <w:t>（1）服务的价格；</w:t>
            </w:r>
          </w:p>
          <w:p w14:paraId="0EC0093F">
            <w:pPr>
              <w:spacing w:line="420" w:lineRule="exact"/>
              <w:rPr>
                <w:rFonts w:ascii="宋体" w:hAnsi="宋体"/>
                <w:szCs w:val="21"/>
              </w:rPr>
            </w:pPr>
            <w:r>
              <w:rPr>
                <w:rFonts w:hint="eastAsia" w:ascii="宋体" w:hAnsi="宋体"/>
                <w:szCs w:val="21"/>
              </w:rPr>
              <w:t>（2）必要的保险费用和各项税金；</w:t>
            </w:r>
          </w:p>
          <w:p w14:paraId="74EF0C32">
            <w:pPr>
              <w:spacing w:line="420" w:lineRule="exact"/>
              <w:rPr>
                <w:rFonts w:hint="eastAsia" w:ascii="宋体" w:hAnsi="宋体"/>
                <w:szCs w:val="21"/>
              </w:rPr>
            </w:pPr>
            <w:r>
              <w:rPr>
                <w:rFonts w:hint="eastAsia" w:ascii="宋体" w:hAnsi="宋体"/>
                <w:szCs w:val="21"/>
              </w:rPr>
              <w:t>（3）其他如培训、交通、差旅、售后服务等费用。</w:t>
            </w:r>
          </w:p>
          <w:p w14:paraId="35D167DC">
            <w:pPr>
              <w:spacing w:line="420" w:lineRule="exact"/>
              <w:rPr>
                <w:rFonts w:hint="eastAsia" w:ascii="宋体" w:hAnsi="宋体" w:eastAsiaTheme="minorEastAsia"/>
                <w:szCs w:val="21"/>
                <w:lang w:eastAsia="zh-CN"/>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cs="宋体" w:asciiTheme="minorEastAsia" w:hAnsiTheme="minorEastAsia"/>
                <w:color w:val="000000"/>
                <w:szCs w:val="21"/>
              </w:rPr>
              <w:t>蓄电池拆卸、搬运及安装费</w:t>
            </w:r>
            <w:r>
              <w:rPr>
                <w:rFonts w:hint="eastAsia" w:cs="宋体" w:asciiTheme="minorEastAsia" w:hAnsiTheme="minorEastAsia"/>
                <w:color w:val="000000"/>
                <w:szCs w:val="21"/>
                <w:lang w:eastAsia="zh-CN"/>
              </w:rPr>
              <w:t>：</w:t>
            </w:r>
            <w:r>
              <w:rPr>
                <w:rFonts w:hint="eastAsia" w:cs="宋体" w:asciiTheme="minorEastAsia" w:hAnsiTheme="minorEastAsia"/>
                <w:color w:val="000000"/>
                <w:szCs w:val="21"/>
              </w:rPr>
              <w:t>含原48只旧蓄电池拆卸搬运至采购人指定地点及新替换48只新电池搬运安装调试。</w:t>
            </w:r>
          </w:p>
          <w:p w14:paraId="0EEBC278">
            <w:pPr>
              <w:spacing w:line="420" w:lineRule="exact"/>
              <w:rPr>
                <w:rFonts w:ascii="宋体" w:hAnsi="宋体"/>
                <w:szCs w:val="21"/>
              </w:rPr>
            </w:pPr>
            <w:r>
              <w:rPr>
                <w:rFonts w:hint="eastAsia" w:ascii="宋体" w:hAnsi="宋体"/>
                <w:szCs w:val="21"/>
              </w:rPr>
              <w:t>六、付款方式：本项目无预付款，成交供应商交付货物安装完成经验收合格后，支付合同款（付款前需提供增值税普通发票）。</w:t>
            </w:r>
          </w:p>
        </w:tc>
        <w:tc>
          <w:tcPr>
            <w:tcW w:w="741" w:type="dxa"/>
            <w:tcBorders>
              <w:top w:val="single" w:color="auto" w:sz="4" w:space="0"/>
              <w:left w:val="single" w:color="auto" w:sz="4" w:space="0"/>
              <w:bottom w:val="single" w:color="auto" w:sz="4" w:space="0"/>
              <w:right w:val="single" w:color="auto" w:sz="4" w:space="0"/>
            </w:tcBorders>
            <w:vAlign w:val="center"/>
          </w:tcPr>
          <w:p w14:paraId="2039B5B4">
            <w:pPr>
              <w:spacing w:line="420" w:lineRule="exact"/>
              <w:rPr>
                <w:rFonts w:hint="eastAsia" w:ascii="宋体" w:hAnsi="宋体"/>
                <w:szCs w:val="21"/>
              </w:rPr>
            </w:pPr>
          </w:p>
        </w:tc>
      </w:tr>
    </w:tbl>
    <w:p w14:paraId="165BFDCB"/>
    <w:p w14:paraId="19ED7D0B">
      <w:pPr>
        <w:pStyle w:val="8"/>
        <w:jc w:val="left"/>
        <w:rPr>
          <w:sz w:val="28"/>
          <w:szCs w:val="28"/>
        </w:rPr>
      </w:pPr>
    </w:p>
    <w:p w14:paraId="309ECDC4">
      <w:pPr>
        <w:pStyle w:val="8"/>
        <w:jc w:val="left"/>
        <w:rPr>
          <w:sz w:val="28"/>
          <w:szCs w:val="28"/>
        </w:rPr>
      </w:pPr>
    </w:p>
    <w:p w14:paraId="77D41410">
      <w:pPr>
        <w:pStyle w:val="3"/>
        <w:numPr>
          <w:ilvl w:val="3"/>
          <w:numId w:val="0"/>
        </w:numPr>
        <w:ind w:left="1077" w:leftChars="0"/>
      </w:pPr>
    </w:p>
    <w:p w14:paraId="30ADD63E">
      <w:pPr>
        <w:rPr>
          <w:sz w:val="28"/>
          <w:szCs w:val="28"/>
        </w:rPr>
      </w:pPr>
    </w:p>
    <w:p w14:paraId="1592AC6E">
      <w:pPr>
        <w:pStyle w:val="14"/>
        <w:rPr>
          <w:sz w:val="28"/>
          <w:szCs w:val="28"/>
        </w:rPr>
      </w:pPr>
    </w:p>
    <w:p w14:paraId="17809EAB">
      <w:pPr>
        <w:pStyle w:val="14"/>
        <w:rPr>
          <w:sz w:val="28"/>
          <w:szCs w:val="28"/>
        </w:rPr>
      </w:pPr>
    </w:p>
    <w:p w14:paraId="3DC123FE">
      <w:pPr>
        <w:pStyle w:val="8"/>
        <w:jc w:val="left"/>
        <w:rPr>
          <w:rFonts w:hint="eastAsia"/>
          <w:sz w:val="28"/>
          <w:szCs w:val="28"/>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南宁中心血站2024年UPS铅酸蓄电池采购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634BBAEC">
      <w:pPr>
        <w:pStyle w:val="14"/>
        <w:spacing w:line="360" w:lineRule="auto"/>
        <w:ind w:firstLineChars="200"/>
        <w:rPr>
          <w:color w:val="auto"/>
        </w:rPr>
      </w:pPr>
      <w:r>
        <w:rPr>
          <w:rFonts w:hint="eastAsia"/>
          <w:color w:val="auto"/>
        </w:rPr>
        <w:t>附：法定代表人身份证明书及委托代理人有效身份证正反面复印件</w:t>
      </w: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4"/>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20B965A">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w:t>
      </w:r>
      <w:r>
        <w:rPr>
          <w:rFonts w:hint="eastAsia"/>
          <w:b/>
          <w:szCs w:val="21"/>
          <w:u w:val="single"/>
          <w:lang w:val="zh-TW" w:eastAsia="zh-TW"/>
        </w:rPr>
        <w:t>南宁中心血站2024年UPS铅酸蓄电池</w:t>
      </w:r>
      <w:r>
        <w:rPr>
          <w:rFonts w:hint="eastAsia"/>
          <w:b/>
          <w:szCs w:val="21"/>
          <w:u w:val="single"/>
          <w:lang w:val="en-US" w:eastAsia="zh-CN"/>
        </w:rPr>
        <w:t xml:space="preserve">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7"/>
        <w:tblpPr w:leftFromText="180" w:rightFromText="180" w:vertAnchor="text" w:horzAnchor="page" w:tblpXSpec="center" w:tblpY="189"/>
        <w:tblOverlap w:val="never"/>
        <w:tblW w:w="53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2"/>
        <w:gridCol w:w="2181"/>
        <w:gridCol w:w="969"/>
        <w:gridCol w:w="1578"/>
        <w:gridCol w:w="1451"/>
        <w:gridCol w:w="1898"/>
        <w:gridCol w:w="1027"/>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19"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121"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498" w:type="pct"/>
            <w:vAlign w:val="center"/>
          </w:tcPr>
          <w:p w14:paraId="2C73D9C2">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3B16DF6D">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11" w:type="pct"/>
            <w:vAlign w:val="center"/>
          </w:tcPr>
          <w:p w14:paraId="529699A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响应品牌型号</w:t>
            </w:r>
          </w:p>
        </w:tc>
        <w:tc>
          <w:tcPr>
            <w:tcW w:w="745" w:type="pct"/>
            <w:vAlign w:val="center"/>
          </w:tcPr>
          <w:p w14:paraId="738B7C31">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4D9F169C">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975" w:type="pct"/>
            <w:vAlign w:val="center"/>
          </w:tcPr>
          <w:p w14:paraId="335F4380">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AB1752E">
            <w:pPr>
              <w:pStyle w:val="8"/>
              <w:jc w:val="center"/>
              <w:rPr>
                <w:rFonts w:asciiTheme="minorEastAsia" w:hAnsiTheme="minorEastAsia" w:cstheme="minorEastAsia"/>
                <w:szCs w:val="21"/>
              </w:rPr>
            </w:pPr>
            <w:r>
              <w:rPr>
                <w:rFonts w:hint="eastAsia" w:asciiTheme="minorEastAsia" w:hAnsiTheme="minorEastAsia" w:cstheme="minorEastAsia"/>
                <w:szCs w:val="21"/>
              </w:rPr>
              <w:t>③=①×②</w:t>
            </w:r>
          </w:p>
        </w:tc>
        <w:tc>
          <w:tcPr>
            <w:tcW w:w="52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exact"/>
          <w:jc w:val="center"/>
        </w:trPr>
        <w:tc>
          <w:tcPr>
            <w:tcW w:w="319" w:type="pct"/>
            <w:vAlign w:val="center"/>
          </w:tcPr>
          <w:p w14:paraId="65FF5224">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1121" w:type="pct"/>
            <w:vAlign w:val="center"/>
          </w:tcPr>
          <w:p w14:paraId="0C04D890">
            <w:pPr>
              <w:spacing w:line="276" w:lineRule="auto"/>
              <w:jc w:val="center"/>
              <w:rPr>
                <w:rFonts w:hint="eastAsia" w:ascii="宋体" w:hAnsi="宋体" w:cs="宋体" w:eastAsiaTheme="minorEastAsia"/>
                <w:sz w:val="21"/>
                <w:szCs w:val="21"/>
                <w:lang w:eastAsia="zh-CN"/>
              </w:rPr>
            </w:pPr>
            <w:r>
              <w:rPr>
                <w:rFonts w:hint="eastAsia" w:ascii="宋体" w:hAnsi="宋体"/>
                <w:szCs w:val="21"/>
              </w:rPr>
              <w:t>铅酸蓄电池</w:t>
            </w:r>
            <w:r>
              <w:rPr>
                <w:rFonts w:hint="eastAsia" w:ascii="宋体" w:hAnsi="宋体"/>
                <w:szCs w:val="21"/>
                <w:lang w:eastAsia="zh-CN"/>
              </w:rPr>
              <w:t>（</w:t>
            </w:r>
            <w:r>
              <w:rPr>
                <w:rFonts w:hint="eastAsia" w:ascii="宋体"/>
                <w:szCs w:val="21"/>
              </w:rPr>
              <w:t>单只容量：12V24AH</w:t>
            </w:r>
            <w:r>
              <w:rPr>
                <w:rFonts w:hint="eastAsia" w:ascii="宋体" w:hAnsi="宋体"/>
                <w:szCs w:val="21"/>
                <w:lang w:eastAsia="zh-CN"/>
              </w:rPr>
              <w:t>）</w:t>
            </w:r>
          </w:p>
        </w:tc>
        <w:tc>
          <w:tcPr>
            <w:tcW w:w="498" w:type="pct"/>
            <w:vAlign w:val="center"/>
          </w:tcPr>
          <w:p w14:paraId="0C7C61A9">
            <w:pPr>
              <w:pStyle w:val="8"/>
              <w:jc w:val="center"/>
              <w:rPr>
                <w:rFonts w:hint="default" w:ascii="宋体" w:hAnsi="宋体" w:eastAsia="宋体" w:cs="宋体"/>
                <w:sz w:val="21"/>
                <w:szCs w:val="21"/>
                <w:lang w:val="en-US" w:eastAsia="zh-CN"/>
              </w:rPr>
            </w:pPr>
            <w:r>
              <w:rPr>
                <w:rFonts w:hint="eastAsia" w:hAnsi="宋体" w:eastAsia="宋体" w:cs="宋体"/>
                <w:sz w:val="21"/>
                <w:szCs w:val="21"/>
                <w:lang w:val="en-US" w:eastAsia="zh-CN"/>
              </w:rPr>
              <w:t>16只</w:t>
            </w:r>
          </w:p>
        </w:tc>
        <w:tc>
          <w:tcPr>
            <w:tcW w:w="811" w:type="pct"/>
            <w:vAlign w:val="center"/>
          </w:tcPr>
          <w:p w14:paraId="6C432399">
            <w:pPr>
              <w:pStyle w:val="8"/>
              <w:rPr>
                <w:rFonts w:hint="eastAsia" w:ascii="宋体" w:hAnsi="宋体" w:eastAsia="宋体" w:cs="宋体"/>
                <w:sz w:val="21"/>
                <w:szCs w:val="21"/>
              </w:rPr>
            </w:pPr>
          </w:p>
        </w:tc>
        <w:tc>
          <w:tcPr>
            <w:tcW w:w="745" w:type="pct"/>
            <w:vAlign w:val="center"/>
          </w:tcPr>
          <w:p w14:paraId="176CB621">
            <w:pPr>
              <w:pStyle w:val="8"/>
              <w:rPr>
                <w:rFonts w:hint="eastAsia" w:ascii="宋体" w:hAnsi="宋体" w:eastAsia="宋体" w:cs="宋体"/>
                <w:sz w:val="21"/>
                <w:szCs w:val="21"/>
              </w:rPr>
            </w:pPr>
          </w:p>
        </w:tc>
        <w:tc>
          <w:tcPr>
            <w:tcW w:w="975" w:type="pct"/>
            <w:vAlign w:val="center"/>
          </w:tcPr>
          <w:p w14:paraId="7F7FCC7F">
            <w:pPr>
              <w:pStyle w:val="8"/>
              <w:rPr>
                <w:rFonts w:hint="eastAsia" w:ascii="宋体" w:hAnsi="宋体" w:eastAsia="宋体" w:cs="宋体"/>
                <w:sz w:val="21"/>
                <w:szCs w:val="21"/>
              </w:rPr>
            </w:pPr>
          </w:p>
        </w:tc>
        <w:tc>
          <w:tcPr>
            <w:tcW w:w="527" w:type="pct"/>
            <w:vAlign w:val="center"/>
          </w:tcPr>
          <w:p w14:paraId="7DCD5218">
            <w:pPr>
              <w:pStyle w:val="8"/>
              <w:rPr>
                <w:rFonts w:hint="eastAsia" w:ascii="宋体" w:hAnsi="宋体" w:eastAsia="宋体" w:cs="宋体"/>
                <w:sz w:val="21"/>
                <w:szCs w:val="21"/>
              </w:rPr>
            </w:pPr>
          </w:p>
        </w:tc>
      </w:tr>
      <w:tr w14:paraId="7F65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exact"/>
          <w:jc w:val="center"/>
        </w:trPr>
        <w:tc>
          <w:tcPr>
            <w:tcW w:w="319" w:type="pct"/>
            <w:vAlign w:val="center"/>
          </w:tcPr>
          <w:p w14:paraId="26D88ECC">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2</w:t>
            </w:r>
          </w:p>
        </w:tc>
        <w:tc>
          <w:tcPr>
            <w:tcW w:w="1121" w:type="pct"/>
            <w:vAlign w:val="center"/>
          </w:tcPr>
          <w:p w14:paraId="0C116536">
            <w:pPr>
              <w:spacing w:line="276" w:lineRule="auto"/>
              <w:jc w:val="center"/>
              <w:rPr>
                <w:rFonts w:hint="eastAsia" w:ascii="宋体" w:hAnsi="宋体" w:cs="宋体" w:eastAsiaTheme="minorEastAsia"/>
                <w:bCs/>
                <w:color w:val="000000"/>
                <w:kern w:val="0"/>
                <w:sz w:val="21"/>
                <w:szCs w:val="21"/>
                <w:lang w:val="en-US" w:eastAsia="zh-CN"/>
              </w:rPr>
            </w:pPr>
            <w:r>
              <w:rPr>
                <w:rFonts w:hint="eastAsia" w:ascii="宋体" w:hAnsi="宋体"/>
                <w:szCs w:val="21"/>
              </w:rPr>
              <w:t>铅酸蓄电池</w:t>
            </w:r>
            <w:r>
              <w:rPr>
                <w:rFonts w:hint="eastAsia" w:ascii="宋体" w:hAnsi="宋体"/>
                <w:szCs w:val="21"/>
                <w:lang w:eastAsia="zh-CN"/>
              </w:rPr>
              <w:t>（</w:t>
            </w:r>
            <w:r>
              <w:rPr>
                <w:rFonts w:hint="eastAsia" w:ascii="宋体"/>
                <w:szCs w:val="21"/>
              </w:rPr>
              <w:t>单只容量：12V40AH</w:t>
            </w:r>
            <w:r>
              <w:rPr>
                <w:rFonts w:hint="eastAsia" w:ascii="宋体" w:hAnsi="宋体"/>
                <w:szCs w:val="21"/>
                <w:lang w:eastAsia="zh-CN"/>
              </w:rPr>
              <w:t>）</w:t>
            </w:r>
          </w:p>
        </w:tc>
        <w:tc>
          <w:tcPr>
            <w:tcW w:w="498" w:type="pct"/>
            <w:vAlign w:val="center"/>
          </w:tcPr>
          <w:p w14:paraId="7D68FDAF">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24只</w:t>
            </w:r>
          </w:p>
        </w:tc>
        <w:tc>
          <w:tcPr>
            <w:tcW w:w="811" w:type="pct"/>
            <w:vAlign w:val="center"/>
          </w:tcPr>
          <w:p w14:paraId="0B7EF989">
            <w:pPr>
              <w:pStyle w:val="8"/>
              <w:rPr>
                <w:rFonts w:hint="eastAsia" w:ascii="宋体" w:hAnsi="宋体" w:eastAsia="宋体" w:cs="宋体"/>
                <w:sz w:val="21"/>
                <w:szCs w:val="21"/>
              </w:rPr>
            </w:pPr>
          </w:p>
        </w:tc>
        <w:tc>
          <w:tcPr>
            <w:tcW w:w="745" w:type="pct"/>
            <w:vAlign w:val="center"/>
          </w:tcPr>
          <w:p w14:paraId="3F13012F">
            <w:pPr>
              <w:pStyle w:val="8"/>
              <w:rPr>
                <w:rFonts w:hint="eastAsia" w:ascii="宋体" w:hAnsi="宋体" w:eastAsia="宋体" w:cs="宋体"/>
                <w:sz w:val="21"/>
                <w:szCs w:val="21"/>
              </w:rPr>
            </w:pPr>
          </w:p>
        </w:tc>
        <w:tc>
          <w:tcPr>
            <w:tcW w:w="975" w:type="pct"/>
            <w:vAlign w:val="center"/>
          </w:tcPr>
          <w:p w14:paraId="50DFA863">
            <w:pPr>
              <w:pStyle w:val="8"/>
              <w:rPr>
                <w:rFonts w:hint="eastAsia" w:ascii="宋体" w:hAnsi="宋体" w:eastAsia="宋体" w:cs="宋体"/>
                <w:sz w:val="21"/>
                <w:szCs w:val="21"/>
              </w:rPr>
            </w:pPr>
          </w:p>
        </w:tc>
        <w:tc>
          <w:tcPr>
            <w:tcW w:w="527" w:type="pct"/>
            <w:vAlign w:val="center"/>
          </w:tcPr>
          <w:p w14:paraId="4CDA3F44">
            <w:pPr>
              <w:pStyle w:val="8"/>
              <w:rPr>
                <w:rFonts w:hint="eastAsia" w:ascii="宋体" w:hAnsi="宋体" w:eastAsia="宋体" w:cs="宋体"/>
                <w:sz w:val="21"/>
                <w:szCs w:val="21"/>
              </w:rPr>
            </w:pPr>
          </w:p>
        </w:tc>
      </w:tr>
      <w:tr w14:paraId="37DE6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exact"/>
          <w:jc w:val="center"/>
        </w:trPr>
        <w:tc>
          <w:tcPr>
            <w:tcW w:w="319" w:type="pct"/>
            <w:vAlign w:val="center"/>
          </w:tcPr>
          <w:p w14:paraId="218D4979">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3</w:t>
            </w:r>
          </w:p>
        </w:tc>
        <w:tc>
          <w:tcPr>
            <w:tcW w:w="1121" w:type="pct"/>
            <w:vAlign w:val="center"/>
          </w:tcPr>
          <w:p w14:paraId="1F69E6FE">
            <w:pPr>
              <w:spacing w:line="276" w:lineRule="auto"/>
              <w:jc w:val="center"/>
              <w:rPr>
                <w:rFonts w:hint="eastAsia" w:ascii="宋体" w:hAnsi="宋体" w:cs="宋体" w:eastAsiaTheme="minorEastAsia"/>
                <w:bCs/>
                <w:color w:val="000000"/>
                <w:kern w:val="0"/>
                <w:sz w:val="21"/>
                <w:szCs w:val="21"/>
                <w:lang w:val="en-US" w:eastAsia="zh-CN"/>
              </w:rPr>
            </w:pPr>
            <w:r>
              <w:rPr>
                <w:rFonts w:hint="eastAsia" w:ascii="宋体" w:hAnsi="宋体"/>
                <w:szCs w:val="21"/>
              </w:rPr>
              <w:t>铅酸蓄电池</w:t>
            </w:r>
            <w:r>
              <w:rPr>
                <w:rFonts w:hint="eastAsia" w:ascii="宋体" w:hAnsi="宋体"/>
                <w:szCs w:val="21"/>
                <w:lang w:eastAsia="zh-CN"/>
              </w:rPr>
              <w:t>（</w:t>
            </w:r>
            <w:r>
              <w:rPr>
                <w:rFonts w:hint="eastAsia" w:ascii="宋体"/>
                <w:szCs w:val="21"/>
              </w:rPr>
              <w:t>单只容量：12V100AH</w:t>
            </w:r>
            <w:r>
              <w:rPr>
                <w:rFonts w:hint="eastAsia" w:ascii="宋体" w:hAnsi="宋体"/>
                <w:szCs w:val="21"/>
                <w:lang w:eastAsia="zh-CN"/>
              </w:rPr>
              <w:t>）</w:t>
            </w:r>
          </w:p>
        </w:tc>
        <w:tc>
          <w:tcPr>
            <w:tcW w:w="498" w:type="pct"/>
            <w:vAlign w:val="center"/>
          </w:tcPr>
          <w:p w14:paraId="1F0C3C92">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8只</w:t>
            </w:r>
          </w:p>
        </w:tc>
        <w:tc>
          <w:tcPr>
            <w:tcW w:w="811" w:type="pct"/>
            <w:vAlign w:val="center"/>
          </w:tcPr>
          <w:p w14:paraId="0062D000">
            <w:pPr>
              <w:pStyle w:val="8"/>
              <w:rPr>
                <w:rFonts w:hint="eastAsia" w:ascii="宋体" w:hAnsi="宋体" w:eastAsia="宋体" w:cs="宋体"/>
                <w:sz w:val="21"/>
                <w:szCs w:val="21"/>
              </w:rPr>
            </w:pPr>
          </w:p>
        </w:tc>
        <w:tc>
          <w:tcPr>
            <w:tcW w:w="745" w:type="pct"/>
            <w:vAlign w:val="center"/>
          </w:tcPr>
          <w:p w14:paraId="0B090973">
            <w:pPr>
              <w:pStyle w:val="8"/>
              <w:rPr>
                <w:rFonts w:hint="eastAsia" w:ascii="宋体" w:hAnsi="宋体" w:eastAsia="宋体" w:cs="宋体"/>
                <w:sz w:val="21"/>
                <w:szCs w:val="21"/>
              </w:rPr>
            </w:pPr>
          </w:p>
        </w:tc>
        <w:tc>
          <w:tcPr>
            <w:tcW w:w="975" w:type="pct"/>
            <w:vAlign w:val="center"/>
          </w:tcPr>
          <w:p w14:paraId="26E57569">
            <w:pPr>
              <w:pStyle w:val="8"/>
              <w:rPr>
                <w:rFonts w:hint="eastAsia" w:ascii="宋体" w:hAnsi="宋体" w:eastAsia="宋体" w:cs="宋体"/>
                <w:sz w:val="21"/>
                <w:szCs w:val="21"/>
              </w:rPr>
            </w:pPr>
          </w:p>
        </w:tc>
        <w:tc>
          <w:tcPr>
            <w:tcW w:w="527" w:type="pct"/>
            <w:vAlign w:val="center"/>
          </w:tcPr>
          <w:p w14:paraId="4A96B2D5">
            <w:pPr>
              <w:pStyle w:val="8"/>
              <w:rPr>
                <w:rFonts w:hint="eastAsia" w:ascii="宋体" w:hAnsi="宋体" w:eastAsia="宋体" w:cs="宋体"/>
                <w:sz w:val="21"/>
                <w:szCs w:val="21"/>
              </w:rPr>
            </w:pPr>
          </w:p>
        </w:tc>
      </w:tr>
      <w:tr w14:paraId="3BBEC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exact"/>
          <w:jc w:val="center"/>
        </w:trPr>
        <w:tc>
          <w:tcPr>
            <w:tcW w:w="5000" w:type="pct"/>
            <w:gridSpan w:val="7"/>
            <w:vAlign w:val="center"/>
          </w:tcPr>
          <w:p w14:paraId="63081B08">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7"/>
            <w:vAlign w:val="center"/>
          </w:tcPr>
          <w:p w14:paraId="7336F9E5">
            <w:pPr>
              <w:pStyle w:val="3"/>
              <w:numPr>
                <w:ilvl w:val="0"/>
                <w:numId w:val="0"/>
              </w:numPr>
              <w:outlineLvl w:val="3"/>
              <w:rPr>
                <w:rFonts w:asciiTheme="minorEastAsia" w:hAnsiTheme="minorEastAsia" w:eastAsiaTheme="minorEastAsia"/>
                <w:b/>
                <w:sz w:val="21"/>
                <w:szCs w:val="21"/>
              </w:rPr>
            </w:pPr>
            <w:r>
              <w:rPr>
                <w:rFonts w:hint="eastAsia" w:asciiTheme="minorEastAsia" w:hAnsiTheme="minorEastAsia" w:eastAsiaTheme="minorEastAsia"/>
                <w:b/>
                <w:color w:val="000000" w:themeColor="text1"/>
                <w:sz w:val="21"/>
                <w:szCs w:val="21"/>
                <w14:textFill>
                  <w14:solidFill>
                    <w14:schemeClr w14:val="tx1"/>
                  </w14:solidFill>
                </w14:textFill>
              </w:rPr>
              <w:t>说明：</w:t>
            </w:r>
            <w:r>
              <w:rPr>
                <w:rFonts w:hint="eastAsia" w:asciiTheme="minorEastAsia" w:hAnsiTheme="minorEastAsia" w:eastAsiaTheme="minorEastAsia"/>
                <w:b/>
                <w:color w:val="000000" w:themeColor="text1"/>
                <w:sz w:val="21"/>
                <w:szCs w:val="21"/>
                <w:lang w:val="en-US" w:eastAsia="zh-CN"/>
                <w14:textFill>
                  <w14:solidFill>
                    <w14:schemeClr w14:val="tx1"/>
                  </w14:solidFill>
                </w14:textFill>
              </w:rPr>
              <w:t>本项目仅做一次报价，请响应供应商一次报出不得更改的价格且单项报价合价</w:t>
            </w:r>
            <w:r>
              <w:rPr>
                <w:rFonts w:hint="eastAsia" w:asciiTheme="minorEastAsia" w:hAnsiTheme="minorEastAsia" w:eastAsiaTheme="minorEastAsia"/>
                <w:b/>
                <w:color w:val="000000" w:themeColor="text1"/>
                <w:sz w:val="21"/>
                <w:szCs w:val="21"/>
                <w14:textFill>
                  <w14:solidFill>
                    <w14:schemeClr w14:val="tx1"/>
                  </w14:solidFill>
                </w14:textFill>
              </w:rPr>
              <w:t>金额不能超过</w:t>
            </w:r>
            <w:r>
              <w:rPr>
                <w:rFonts w:hint="eastAsia" w:asciiTheme="minorEastAsia" w:hAnsiTheme="minorEastAsia" w:eastAsiaTheme="minorEastAsia"/>
                <w:b/>
                <w:color w:val="000000" w:themeColor="text1"/>
                <w:sz w:val="21"/>
                <w:szCs w:val="21"/>
                <w:lang w:val="en-US" w:eastAsia="zh-CN"/>
                <w14:textFill>
                  <w14:solidFill>
                    <w14:schemeClr w14:val="tx1"/>
                  </w14:solidFill>
                </w14:textFill>
              </w:rPr>
              <w:t>单项</w:t>
            </w:r>
            <w:r>
              <w:rPr>
                <w:rFonts w:hint="eastAsia" w:asciiTheme="minorEastAsia" w:hAnsiTheme="minorEastAsia" w:eastAsiaTheme="minorEastAsia"/>
                <w:b/>
                <w:color w:val="000000" w:themeColor="text1"/>
                <w:sz w:val="21"/>
                <w:szCs w:val="21"/>
                <w14:textFill>
                  <w14:solidFill>
                    <w14:schemeClr w14:val="tx1"/>
                  </w14:solidFill>
                </w14:textFill>
              </w:rPr>
              <w:t>最高限价。</w:t>
            </w:r>
          </w:p>
        </w:tc>
      </w:tr>
    </w:tbl>
    <w:p w14:paraId="45D484CE">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67185719">
      <w:pPr>
        <w:pStyle w:val="8"/>
        <w:spacing w:line="440" w:lineRule="exact"/>
        <w:ind w:firstLine="468"/>
        <w:rPr>
          <w:rFonts w:asciiTheme="minorEastAsia" w:hAnsiTheme="minorEastAsia" w:cstheme="minorEastAsia"/>
          <w:szCs w:val="21"/>
        </w:rPr>
      </w:pPr>
    </w:p>
    <w:p w14:paraId="0AB7E8BB">
      <w:pPr>
        <w:pStyle w:val="14"/>
        <w:ind w:left="0" w:leftChars="0" w:firstLine="0" w:firstLineChars="0"/>
        <w:rPr>
          <w:rFonts w:asciiTheme="minorEastAsia" w:hAnsiTheme="minorEastAsia" w:cstheme="minorEastAsia"/>
          <w:szCs w:val="21"/>
        </w:rPr>
      </w:pPr>
    </w:p>
    <w:p w14:paraId="6F8FFC76">
      <w:pPr>
        <w:pStyle w:val="14"/>
        <w:rPr>
          <w:rFonts w:asciiTheme="minorEastAsia" w:hAnsiTheme="minorEastAsia" w:cstheme="minorEastAsia"/>
          <w:szCs w:val="21"/>
        </w:rPr>
      </w:pPr>
    </w:p>
    <w:p w14:paraId="723C631A">
      <w:pPr>
        <w:pStyle w:val="14"/>
        <w:ind w:left="0" w:leftChars="0" w:firstLine="0" w:firstLineChars="0"/>
        <w:rPr>
          <w:rFonts w:asciiTheme="minorEastAsia" w:hAnsiTheme="minorEastAsia" w:cstheme="minorEastAsia"/>
          <w:szCs w:val="21"/>
        </w:rPr>
      </w:pPr>
    </w:p>
    <w:p w14:paraId="4EBF0912">
      <w:pPr>
        <w:pStyle w:val="8"/>
        <w:spacing w:line="440" w:lineRule="exact"/>
        <w:rPr>
          <w:rFonts w:hint="eastAsia" w:asciiTheme="minorEastAsia" w:hAnsiTheme="minorEastAsia" w:cstheme="majorEastAsia"/>
          <w:bCs/>
          <w:color w:val="000000"/>
          <w:sz w:val="28"/>
          <w:szCs w:val="28"/>
        </w:rPr>
      </w:pPr>
      <w:r>
        <w:rPr>
          <w:rFonts w:hint="eastAsia" w:asciiTheme="minorEastAsia" w:hAnsiTheme="minorEastAsia" w:cstheme="minorEastAsia"/>
          <w:szCs w:val="21"/>
        </w:rPr>
        <w:t>注：表格内容均需按要求填写并盖章，不得留空，否则按响应无效处理。</w:t>
      </w:r>
    </w:p>
    <w:p w14:paraId="7A767660">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南宁中心血站2024年UPS铅酸蓄电池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4"/>
        <w:spacing w:line="20" w:lineRule="exact"/>
        <w:ind w:firstLine="0" w:firstLineChars="0"/>
      </w:pPr>
    </w:p>
    <w:p w14:paraId="1CCF99B3">
      <w:pPr>
        <w:pStyle w:val="14"/>
        <w:spacing w:line="20" w:lineRule="exact"/>
        <w:ind w:firstLine="0" w:firstLineChars="0"/>
      </w:pPr>
    </w:p>
    <w:p w14:paraId="7E8FA178">
      <w:pPr>
        <w:pStyle w:val="14"/>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4"/>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4"/>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156E254-E026-4298-BB89-0CB81E191656}"/>
  </w:font>
  <w:font w:name="Courier New">
    <w:panose1 w:val="02070309020205020404"/>
    <w:charset w:val="01"/>
    <w:family w:val="modern"/>
    <w:pitch w:val="default"/>
    <w:sig w:usb0="E0002EFF" w:usb1="C0007843" w:usb2="00000009" w:usb3="00000000" w:csb0="400001FF" w:csb1="FFFF0000"/>
    <w:embedRegular r:id="rId2" w:fontKey="{110758DE-BAFF-498E-A1B4-0B244F71C3A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1C733406-9253-432B-A441-88985635D522}"/>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4" w:fontKey="{8FDFAA2F-713A-4594-86FF-54C4C07B4A58}"/>
  </w:font>
  <w:font w:name="仿宋_GB2312">
    <w:panose1 w:val="02010609030101010101"/>
    <w:charset w:val="86"/>
    <w:family w:val="modern"/>
    <w:pitch w:val="default"/>
    <w:sig w:usb0="00000001" w:usb1="080E0000" w:usb2="00000000" w:usb3="00000000" w:csb0="00040000" w:csb1="00000000"/>
    <w:embedRegular r:id="rId5" w:fontKey="{22B90FCE-C293-4FF1-8627-FA557A60D0FE}"/>
  </w:font>
  <w:font w:name="方正楷体_GB2312">
    <w:panose1 w:val="02000000000000000000"/>
    <w:charset w:val="86"/>
    <w:family w:val="auto"/>
    <w:pitch w:val="default"/>
    <w:sig w:usb0="A00002BF" w:usb1="184F6CFA" w:usb2="00000012" w:usb3="00000000" w:csb0="00040001" w:csb1="00000000"/>
    <w:embedRegular r:id="rId6" w:fontKey="{6953D60C-747D-49DB-99C9-7240F4877A26}"/>
  </w:font>
  <w:font w:name="仿宋">
    <w:panose1 w:val="02010609060101010101"/>
    <w:charset w:val="86"/>
    <w:family w:val="modern"/>
    <w:pitch w:val="default"/>
    <w:sig w:usb0="800002BF" w:usb1="38CF7CFA" w:usb2="00000016" w:usb3="00000000" w:csb0="00040001" w:csb1="00000000"/>
    <w:embedRegular r:id="rId7" w:fontKey="{F8A4936F-7CED-4DD4-B44A-4CD6240761D4}"/>
  </w:font>
  <w:font w:name="Wingdings 2">
    <w:panose1 w:val="05020102010507070707"/>
    <w:charset w:val="02"/>
    <w:family w:val="roman"/>
    <w:pitch w:val="default"/>
    <w:sig w:usb0="00000000" w:usb1="00000000" w:usb2="00000000" w:usb3="00000000" w:csb0="80000000" w:csb1="00000000"/>
    <w:embedRegular r:id="rId8" w:fontKey="{2315BDB6-E679-4702-8B17-C4F3966CE228}"/>
  </w:font>
  <w:font w:name="方正公文小标宋">
    <w:panose1 w:val="02000500000000000000"/>
    <w:charset w:val="86"/>
    <w:family w:val="auto"/>
    <w:pitch w:val="default"/>
    <w:sig w:usb0="A00002BF" w:usb1="38CF7CFA" w:usb2="00000016" w:usb3="00000000" w:csb0="00040001" w:csb1="00000000"/>
    <w:embedRegular r:id="rId9" w:fontKey="{C80B1962-E5A5-4C52-861D-9434EDF85AC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BEB34BA1"/>
    <w:multiLevelType w:val="singleLevel"/>
    <w:tmpl w:val="BEB34BA1"/>
    <w:lvl w:ilvl="0" w:tentative="0">
      <w:start w:val="4"/>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7556A"/>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5D3D48"/>
    <w:rsid w:val="0B5E058B"/>
    <w:rsid w:val="0B615E61"/>
    <w:rsid w:val="0B735223"/>
    <w:rsid w:val="0B7F3FC7"/>
    <w:rsid w:val="0B894A4A"/>
    <w:rsid w:val="0B913BC2"/>
    <w:rsid w:val="0B9736A9"/>
    <w:rsid w:val="0B9B42A5"/>
    <w:rsid w:val="0B9F01C5"/>
    <w:rsid w:val="0BA4101C"/>
    <w:rsid w:val="0BAB78CA"/>
    <w:rsid w:val="0BAC7A80"/>
    <w:rsid w:val="0BC52C93"/>
    <w:rsid w:val="0BC81AAD"/>
    <w:rsid w:val="0BD240F7"/>
    <w:rsid w:val="0BD25035"/>
    <w:rsid w:val="0BD80AD0"/>
    <w:rsid w:val="0BD95485"/>
    <w:rsid w:val="0BDF1807"/>
    <w:rsid w:val="0BE26691"/>
    <w:rsid w:val="0BE5207C"/>
    <w:rsid w:val="0C036612"/>
    <w:rsid w:val="0C0C6C4E"/>
    <w:rsid w:val="0C0D16D2"/>
    <w:rsid w:val="0C1A6AC5"/>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B5B75"/>
    <w:rsid w:val="0D9E6986"/>
    <w:rsid w:val="0D9F1A2C"/>
    <w:rsid w:val="0DAD4941"/>
    <w:rsid w:val="0DC05FA9"/>
    <w:rsid w:val="0DC3019B"/>
    <w:rsid w:val="0DC56EF5"/>
    <w:rsid w:val="0DD815E5"/>
    <w:rsid w:val="0DD83E1C"/>
    <w:rsid w:val="0DE14C55"/>
    <w:rsid w:val="0DE50968"/>
    <w:rsid w:val="0DF27FCC"/>
    <w:rsid w:val="0DFD256A"/>
    <w:rsid w:val="0E141277"/>
    <w:rsid w:val="0E15632F"/>
    <w:rsid w:val="0E172295"/>
    <w:rsid w:val="0E1B4581"/>
    <w:rsid w:val="0E20652A"/>
    <w:rsid w:val="0E211C32"/>
    <w:rsid w:val="0E3100A2"/>
    <w:rsid w:val="0E3A2B86"/>
    <w:rsid w:val="0E434A83"/>
    <w:rsid w:val="0E5E4367"/>
    <w:rsid w:val="0E5F126E"/>
    <w:rsid w:val="0E5F5BB1"/>
    <w:rsid w:val="0E5F7D33"/>
    <w:rsid w:val="0E6206F7"/>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2B30"/>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4F4BBB"/>
    <w:rsid w:val="1356229B"/>
    <w:rsid w:val="1374444E"/>
    <w:rsid w:val="138A315B"/>
    <w:rsid w:val="139469DE"/>
    <w:rsid w:val="139F0B29"/>
    <w:rsid w:val="13A15663"/>
    <w:rsid w:val="13AA2891"/>
    <w:rsid w:val="13AF6FC8"/>
    <w:rsid w:val="13BD6F36"/>
    <w:rsid w:val="13CE7877"/>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4369C"/>
    <w:rsid w:val="14FB3D92"/>
    <w:rsid w:val="15087C85"/>
    <w:rsid w:val="152D1341"/>
    <w:rsid w:val="15381DF6"/>
    <w:rsid w:val="15587106"/>
    <w:rsid w:val="155A1F76"/>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AC04B1"/>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951EE7"/>
    <w:rsid w:val="2CA83E8D"/>
    <w:rsid w:val="2CAD278A"/>
    <w:rsid w:val="2CB71CE1"/>
    <w:rsid w:val="2CC118F2"/>
    <w:rsid w:val="2CC54615"/>
    <w:rsid w:val="2CD05FD9"/>
    <w:rsid w:val="2CD444D8"/>
    <w:rsid w:val="2CDB0817"/>
    <w:rsid w:val="2CE300EA"/>
    <w:rsid w:val="2CE554C5"/>
    <w:rsid w:val="2CF37C0E"/>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80EFD"/>
    <w:rsid w:val="304737B8"/>
    <w:rsid w:val="304B0BD8"/>
    <w:rsid w:val="304B788D"/>
    <w:rsid w:val="305C2A71"/>
    <w:rsid w:val="30743B43"/>
    <w:rsid w:val="30762ED1"/>
    <w:rsid w:val="3077056D"/>
    <w:rsid w:val="307C65D9"/>
    <w:rsid w:val="308145A4"/>
    <w:rsid w:val="308377FB"/>
    <w:rsid w:val="308A649E"/>
    <w:rsid w:val="3090727F"/>
    <w:rsid w:val="309862B1"/>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CD5020"/>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3452D"/>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5E6E77"/>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72070B"/>
    <w:rsid w:val="3F810A52"/>
    <w:rsid w:val="3F9A748B"/>
    <w:rsid w:val="3FA12B1B"/>
    <w:rsid w:val="3FA1323D"/>
    <w:rsid w:val="3FB14A35"/>
    <w:rsid w:val="3FCB706E"/>
    <w:rsid w:val="3FCF20A1"/>
    <w:rsid w:val="3FD12E37"/>
    <w:rsid w:val="3FDD09E8"/>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07616F"/>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13DAC"/>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EF15CE"/>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1602F4"/>
    <w:rsid w:val="692844CB"/>
    <w:rsid w:val="692A2401"/>
    <w:rsid w:val="692D1AE1"/>
    <w:rsid w:val="69375DC6"/>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8E6D43"/>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A0963"/>
    <w:rsid w:val="7A301453"/>
    <w:rsid w:val="7A3023C7"/>
    <w:rsid w:val="7A37276E"/>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unhideWhenUsed/>
    <w:qFormat/>
    <w:uiPriority w:val="0"/>
    <w:pPr>
      <w:tabs>
        <w:tab w:val="center" w:pos="4153"/>
        <w:tab w:val="right" w:pos="8306"/>
      </w:tabs>
      <w:snapToGrid w:val="0"/>
      <w:jc w:val="left"/>
    </w:pPr>
    <w:rPr>
      <w:sz w:val="18"/>
      <w:szCs w:val="18"/>
    </w:rPr>
  </w:style>
  <w:style w:type="paragraph" w:styleId="5">
    <w:name w:val="annotation text"/>
    <w:basedOn w:val="1"/>
    <w:autoRedefine/>
    <w:qFormat/>
    <w:uiPriority w:val="0"/>
    <w:pPr>
      <w:jc w:val="left"/>
    </w:pPr>
  </w:style>
  <w:style w:type="paragraph" w:styleId="6">
    <w:name w:val="Body Text"/>
    <w:basedOn w:val="1"/>
    <w:link w:val="28"/>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6"/>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7"/>
    <w:autoRedefine/>
    <w:qFormat/>
    <w:uiPriority w:val="0"/>
    <w:rPr>
      <w:sz w:val="18"/>
      <w:szCs w:val="18"/>
    </w:rPr>
  </w:style>
  <w:style w:type="paragraph" w:styleId="11">
    <w:name w:val="header"/>
    <w:basedOn w:val="1"/>
    <w:link w:val="24"/>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0"/>
    <w:autoRedefine/>
    <w:qFormat/>
    <w:uiPriority w:val="0"/>
    <w:pPr>
      <w:spacing w:before="240" w:after="60"/>
      <w:jc w:val="center"/>
      <w:outlineLvl w:val="1"/>
    </w:pPr>
    <w:rPr>
      <w:rFonts w:ascii="Arial" w:hAnsi="Arial" w:eastAsia="微软雅黑"/>
      <w:kern w:val="28"/>
      <w:sz w:val="36"/>
    </w:rPr>
  </w:style>
  <w:style w:type="paragraph" w:styleId="13">
    <w:name w:val="Normal (Web)"/>
    <w:basedOn w:val="1"/>
    <w:autoRedefine/>
    <w:qFormat/>
    <w:uiPriority w:val="0"/>
    <w:pPr>
      <w:spacing w:beforeAutospacing="1" w:afterAutospacing="1"/>
      <w:jc w:val="left"/>
    </w:pPr>
    <w:rPr>
      <w:rFonts w:cs="Times New Roman"/>
      <w:kern w:val="0"/>
      <w:sz w:val="24"/>
    </w:rPr>
  </w:style>
  <w:style w:type="paragraph" w:styleId="14">
    <w:name w:val="Body Text First Indent"/>
    <w:basedOn w:val="6"/>
    <w:autoRedefine/>
    <w:qFormat/>
    <w:uiPriority w:val="0"/>
    <w:pPr>
      <w:ind w:firstLine="420" w:firstLineChars="100"/>
    </w:pPr>
  </w:style>
  <w:style w:type="paragraph" w:styleId="15">
    <w:name w:val="Body Text First Indent 2"/>
    <w:basedOn w:val="7"/>
    <w:next w:val="1"/>
    <w:autoRedefine/>
    <w:qFormat/>
    <w:uiPriority w:val="0"/>
    <w:pPr>
      <w:spacing w:line="360" w:lineRule="auto"/>
      <w:ind w:firstLine="0"/>
    </w:pPr>
    <w:rPr>
      <w:sz w:val="24"/>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Hyperlink"/>
    <w:basedOn w:val="18"/>
    <w:autoRedefine/>
    <w:qFormat/>
    <w:uiPriority w:val="0"/>
    <w:rPr>
      <w:color w:val="0563C1" w:themeColor="hyperlink"/>
      <w:u w:val="single"/>
      <w14:textFill>
        <w14:solidFill>
          <w14:schemeClr w14:val="hlink"/>
        </w14:solidFill>
      </w14:textFill>
    </w:rPr>
  </w:style>
  <w:style w:type="paragraph" w:customStyle="1" w:styleId="20">
    <w:name w:val="表格文字"/>
    <w:basedOn w:val="1"/>
    <w:autoRedefine/>
    <w:qFormat/>
    <w:uiPriority w:val="0"/>
    <w:pPr>
      <w:jc w:val="left"/>
    </w:pPr>
    <w:rPr>
      <w:kern w:val="21"/>
      <w:szCs w:val="21"/>
    </w:rPr>
  </w:style>
  <w:style w:type="paragraph" w:styleId="21">
    <w:name w:val="List Paragraph"/>
    <w:basedOn w:val="1"/>
    <w:autoRedefine/>
    <w:qFormat/>
    <w:uiPriority w:val="34"/>
    <w:pPr>
      <w:ind w:firstLine="420" w:firstLineChars="200"/>
    </w:pPr>
  </w:style>
  <w:style w:type="paragraph" w:customStyle="1" w:styleId="22">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3">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4">
    <w:name w:val="页眉 Char"/>
    <w:basedOn w:val="18"/>
    <w:link w:val="11"/>
    <w:autoRedefine/>
    <w:qFormat/>
    <w:uiPriority w:val="0"/>
    <w:rPr>
      <w:rFonts w:asciiTheme="minorHAnsi" w:hAnsiTheme="minorHAnsi" w:eastAsiaTheme="minorEastAsia" w:cstheme="minorBidi"/>
      <w:kern w:val="2"/>
      <w:sz w:val="18"/>
      <w:szCs w:val="18"/>
    </w:rPr>
  </w:style>
  <w:style w:type="paragraph" w:customStyle="1" w:styleId="25">
    <w:name w:val="列出段落1"/>
    <w:basedOn w:val="1"/>
    <w:autoRedefine/>
    <w:qFormat/>
    <w:uiPriority w:val="34"/>
    <w:pPr>
      <w:ind w:firstLine="420" w:firstLineChars="200"/>
    </w:pPr>
  </w:style>
  <w:style w:type="character" w:customStyle="1" w:styleId="26">
    <w:name w:val="纯文本 Char"/>
    <w:basedOn w:val="18"/>
    <w:link w:val="8"/>
    <w:autoRedefine/>
    <w:qFormat/>
    <w:uiPriority w:val="0"/>
    <w:rPr>
      <w:rFonts w:ascii="宋体" w:hAnsi="Courier New" w:eastAsiaTheme="minorEastAsia" w:cstheme="minorBidi"/>
      <w:kern w:val="2"/>
      <w:sz w:val="21"/>
    </w:rPr>
  </w:style>
  <w:style w:type="character" w:customStyle="1" w:styleId="27">
    <w:name w:val="批注框文本 Char"/>
    <w:basedOn w:val="18"/>
    <w:link w:val="10"/>
    <w:autoRedefine/>
    <w:qFormat/>
    <w:uiPriority w:val="0"/>
    <w:rPr>
      <w:rFonts w:asciiTheme="minorHAnsi" w:hAnsiTheme="minorHAnsi" w:eastAsiaTheme="minorEastAsia" w:cstheme="minorBidi"/>
      <w:kern w:val="2"/>
      <w:sz w:val="18"/>
      <w:szCs w:val="18"/>
    </w:rPr>
  </w:style>
  <w:style w:type="character" w:customStyle="1" w:styleId="28">
    <w:name w:val="正文文本 Char"/>
    <w:basedOn w:val="18"/>
    <w:link w:val="6"/>
    <w:autoRedefine/>
    <w:qFormat/>
    <w:uiPriority w:val="0"/>
    <w:rPr>
      <w:rFonts w:ascii="Times New Roman" w:hAnsi="Times New Roman"/>
      <w:kern w:val="2"/>
      <w:sz w:val="21"/>
      <w:szCs w:val="24"/>
    </w:rPr>
  </w:style>
  <w:style w:type="paragraph" w:customStyle="1" w:styleId="29">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0">
    <w:name w:val="副标题 Char"/>
    <w:basedOn w:val="18"/>
    <w:link w:val="12"/>
    <w:autoRedefine/>
    <w:qFormat/>
    <w:uiPriority w:val="0"/>
    <w:rPr>
      <w:rFonts w:ascii="Arial" w:hAnsi="Arial" w:eastAsia="微软雅黑"/>
      <w:kern w:val="28"/>
      <w:sz w:val="36"/>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23</Pages>
  <Words>9685</Words>
  <Characters>10618</Characters>
  <Lines>71</Lines>
  <Paragraphs>20</Paragraphs>
  <TotalTime>165</TotalTime>
  <ScaleCrop>false</ScaleCrop>
  <LinksUpToDate>false</LinksUpToDate>
  <CharactersWithSpaces>12431</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2022-07-21T01:43:00Z</cp:lastPrinted>
  <dcterms:modified xsi:type="dcterms:W3CDTF">2024-09-05T07:56:16Z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1A056480A8FF4DC5B15BDCE724B777B3_13</vt:lpwstr>
  </property>
</Properties>
</file>