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项目名称：南宁中心血站2024年松下冷链设备全封闭压缩机组维修服务</w:t>
      </w:r>
      <w:r>
        <w:rPr>
          <w:rFonts w:hint="eastAsia" w:ascii="仿宋_GB2312" w:hAnsi="Courier New" w:eastAsia="仿宋_GB2312" w:cs="Courier New"/>
          <w:b/>
          <w:bCs/>
          <w:color w:val="000000"/>
          <w:kern w:val="0"/>
          <w:sz w:val="32"/>
          <w:szCs w:val="32"/>
          <w:lang w:val="zh-TW" w:eastAsia="zh-CN"/>
        </w:rPr>
        <w:t>（</w:t>
      </w:r>
      <w:r>
        <w:rPr>
          <w:rFonts w:hint="eastAsia" w:ascii="仿宋_GB2312" w:hAnsi="Courier New" w:eastAsia="仿宋_GB2312" w:cs="Courier New"/>
          <w:b/>
          <w:bCs/>
          <w:color w:val="000000"/>
          <w:kern w:val="0"/>
          <w:sz w:val="32"/>
          <w:szCs w:val="32"/>
          <w:lang w:val="en-US" w:eastAsia="zh-CN"/>
        </w:rPr>
        <w:t>二次</w:t>
      </w:r>
      <w:r>
        <w:rPr>
          <w:rFonts w:hint="eastAsia" w:ascii="仿宋_GB2312" w:hAnsi="Courier New" w:eastAsia="仿宋_GB2312" w:cs="Courier New"/>
          <w:b/>
          <w:bCs/>
          <w:color w:val="000000"/>
          <w:kern w:val="0"/>
          <w:sz w:val="32"/>
          <w:szCs w:val="32"/>
          <w:lang w:val="zh-TW" w:eastAsia="zh-CN"/>
        </w:rPr>
        <w:t>）</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项目编号：NNBCFW20240</w:t>
      </w:r>
      <w:r>
        <w:rPr>
          <w:rFonts w:hint="eastAsia" w:ascii="仿宋_GB2312" w:hAnsi="Courier New" w:eastAsia="仿宋_GB2312" w:cs="Courier New"/>
          <w:b/>
          <w:bCs/>
          <w:color w:val="000000"/>
          <w:kern w:val="0"/>
          <w:sz w:val="32"/>
          <w:szCs w:val="32"/>
          <w:lang w:val="en-US" w:eastAsia="zh-CN"/>
        </w:rPr>
        <w:t>22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10</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15</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南宁中心血站2024年松下冷链设备全封闭压缩机组维修服务（二次）采购公告</w:t>
      </w:r>
    </w:p>
    <w:p w14:paraId="2B8B4A59">
      <w:pPr>
        <w:keepNext w:val="0"/>
        <w:keepLines w:val="0"/>
        <w:pageBreakBefore w:val="0"/>
        <w:widowControl/>
        <w:kinsoku/>
        <w:wordWrap/>
        <w:overflowPunct/>
        <w:topLinePunct w:val="0"/>
        <w:autoSpaceDE/>
        <w:autoSpaceDN/>
        <w:bidi w:val="0"/>
        <w:adjustRightInd/>
        <w:snapToGrid/>
        <w:spacing w:line="64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因第一次公告</w:t>
      </w:r>
      <w:r>
        <w:rPr>
          <w:rFonts w:hint="eastAsia" w:ascii="仿宋_GB2312" w:hAnsi="仿宋_GB2312" w:eastAsia="仿宋_GB2312" w:cs="仿宋_GB2312"/>
          <w:sz w:val="32"/>
          <w:szCs w:val="32"/>
          <w:lang w:val="en-US" w:eastAsia="zh-CN"/>
        </w:rPr>
        <w:t>实质性响应供应商不满足三家</w:t>
      </w:r>
      <w:r>
        <w:rPr>
          <w:rFonts w:hint="eastAsia" w:ascii="仿宋_GB2312" w:hAnsi="Courier New" w:eastAsia="仿宋_GB2312" w:cs="Courier New"/>
          <w:color w:val="000000"/>
          <w:kern w:val="0"/>
          <w:sz w:val="32"/>
          <w:szCs w:val="32"/>
          <w:lang w:val="zh-TW" w:eastAsia="zh-TW"/>
        </w:rPr>
        <w:t>，南宁中心血站按采购计划再次对2024年松下冷链设备全封闭压缩机组维修服务进行采购，现就该项目邀请具有资质的供应商进行</w:t>
      </w:r>
      <w:r>
        <w:rPr>
          <w:rFonts w:hint="eastAsia" w:ascii="仿宋_GB2312" w:hAnsi="Courier New" w:eastAsia="仿宋_GB2312" w:cs="Courier New"/>
          <w:color w:val="000000"/>
          <w:kern w:val="0"/>
          <w:sz w:val="32"/>
          <w:szCs w:val="32"/>
          <w:lang w:val="en-US" w:eastAsia="zh-CN"/>
        </w:rPr>
        <w:t>响应</w:t>
      </w:r>
      <w:r>
        <w:rPr>
          <w:rFonts w:hint="eastAsia" w:ascii="仿宋_GB2312" w:hAnsi="Courier New" w:eastAsia="仿宋_GB2312" w:cs="Courier New"/>
          <w:color w:val="000000"/>
          <w:kern w:val="0"/>
          <w:sz w:val="32"/>
          <w:szCs w:val="32"/>
          <w:lang w:val="zh-TW" w:eastAsia="zh-TW"/>
        </w:rPr>
        <w:t>，采购信息如下：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项目编号：NNBCFW20240</w:t>
      </w:r>
      <w:r>
        <w:rPr>
          <w:rFonts w:hint="eastAsia" w:ascii="仿宋_GB2312" w:hAnsi="Courier New" w:eastAsia="仿宋_GB2312" w:cs="Courier New"/>
          <w:color w:val="000000"/>
          <w:kern w:val="0"/>
          <w:sz w:val="32"/>
          <w:szCs w:val="32"/>
          <w:lang w:val="en-US" w:eastAsia="zh-CN"/>
        </w:rPr>
        <w:t>22</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项目名称：南宁中心血站2024年松下冷链设备全封闭压缩机组维修服务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贰万陆仟元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26</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贰万陆仟元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26</w:t>
      </w:r>
      <w:r>
        <w:rPr>
          <w:rFonts w:hint="eastAsia" w:ascii="仿宋_GB2312" w:hAnsi="Courier New" w:eastAsia="仿宋_GB2312" w:cs="Courier New"/>
          <w:color w:val="000000"/>
          <w:kern w:val="0"/>
          <w:sz w:val="32"/>
          <w:szCs w:val="32"/>
          <w:lang w:val="zh-TW" w:eastAsia="zh-TW"/>
        </w:rPr>
        <w:t>000.00）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E1F830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TW"/>
        </w:rPr>
        <w:t>采购需求一览表中要求提供的</w:t>
      </w:r>
      <w:r>
        <w:rPr>
          <w:rFonts w:hint="eastAsia" w:ascii="仿宋_GB2312" w:hAnsi="Courier New" w:eastAsia="仿宋_GB2312" w:cs="Courier New"/>
          <w:color w:val="000000"/>
          <w:kern w:val="0"/>
          <w:sz w:val="32"/>
          <w:szCs w:val="32"/>
          <w:lang w:val="en-US" w:eastAsia="zh-CN"/>
        </w:rPr>
        <w:t>维修实施方案；</w:t>
      </w:r>
    </w:p>
    <w:p w14:paraId="56A648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67CA0416">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楷体_GB2312" w:hAnsi="楷体_GB2312" w:eastAsia="楷体_GB2312" w:cs="楷体_GB2312"/>
          <w:b/>
          <w:bCs/>
          <w:color w:val="000000"/>
          <w:kern w:val="0"/>
          <w:sz w:val="32"/>
          <w:szCs w:val="32"/>
          <w:lang w:val="en-US" w:eastAsia="zh-CN" w:bidi="ar-SA"/>
        </w:rPr>
      </w:pP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一</w:t>
      </w: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zh-TW" w:eastAsia="zh-TW" w:bidi="ar-SA"/>
        </w:rPr>
        <w:t>资格文件</w:t>
      </w: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一份</w:t>
      </w:r>
      <w:r>
        <w:rPr>
          <w:rFonts w:hint="eastAsia" w:ascii="楷体_GB2312" w:hAnsi="楷体_GB2312" w:eastAsia="楷体_GB2312" w:cs="楷体_GB2312"/>
          <w:b/>
          <w:bCs/>
          <w:color w:val="000000"/>
          <w:kern w:val="0"/>
          <w:sz w:val="32"/>
          <w:szCs w:val="32"/>
          <w:lang w:val="zh-TW" w:eastAsia="zh-CN" w:bidi="ar-SA"/>
        </w:rPr>
        <w:t>）</w:t>
      </w:r>
    </w:p>
    <w:p w14:paraId="1862BAE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资格文件外包封封面需留有以下信息：</w:t>
      </w:r>
    </w:p>
    <w:p w14:paraId="65EE0A25">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1D2131D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楷体_GB2312" w:hAnsi="楷体_GB2312" w:eastAsia="楷体_GB2312" w:cs="楷体_GB2312"/>
          <w:b/>
          <w:bCs/>
          <w:color w:val="000000"/>
          <w:kern w:val="0"/>
          <w:sz w:val="32"/>
          <w:szCs w:val="32"/>
          <w:lang w:val="zh-TW" w:eastAsia="zh-CN" w:bidi="ar-SA"/>
        </w:rPr>
      </w:pP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二</w:t>
      </w:r>
      <w:r>
        <w:rPr>
          <w:rFonts w:hint="eastAsia" w:ascii="楷体_GB2312" w:hAnsi="楷体_GB2312" w:eastAsia="楷体_GB2312" w:cs="楷体_GB2312"/>
          <w:b/>
          <w:bCs/>
          <w:color w:val="000000"/>
          <w:kern w:val="0"/>
          <w:sz w:val="32"/>
          <w:szCs w:val="32"/>
          <w:lang w:val="zh-TW" w:eastAsia="zh-CN" w:bidi="ar-SA"/>
        </w:rPr>
        <w:t>）响应文件（</w:t>
      </w:r>
      <w:r>
        <w:rPr>
          <w:rFonts w:hint="eastAsia" w:ascii="楷体_GB2312" w:hAnsi="楷体_GB2312" w:eastAsia="楷体_GB2312" w:cs="楷体_GB2312"/>
          <w:b/>
          <w:bCs/>
          <w:color w:val="000000"/>
          <w:kern w:val="0"/>
          <w:sz w:val="32"/>
          <w:szCs w:val="32"/>
          <w:lang w:val="en-US" w:eastAsia="zh-CN" w:bidi="ar-SA"/>
        </w:rPr>
        <w:t>四</w:t>
      </w:r>
      <w:r>
        <w:rPr>
          <w:rFonts w:hint="eastAsia" w:ascii="楷体_GB2312" w:hAnsi="楷体_GB2312" w:eastAsia="楷体_GB2312" w:cs="楷体_GB2312"/>
          <w:b/>
          <w:bCs/>
          <w:color w:val="000000"/>
          <w:kern w:val="0"/>
          <w:sz w:val="32"/>
          <w:szCs w:val="32"/>
          <w:lang w:val="zh-TW" w:eastAsia="zh-CN" w:bidi="ar-SA"/>
        </w:rPr>
        <w:t>份（一正</w:t>
      </w:r>
      <w:r>
        <w:rPr>
          <w:rFonts w:hint="eastAsia" w:ascii="楷体_GB2312" w:hAnsi="楷体_GB2312" w:eastAsia="楷体_GB2312" w:cs="楷体_GB2312"/>
          <w:b/>
          <w:bCs/>
          <w:color w:val="000000"/>
          <w:kern w:val="0"/>
          <w:sz w:val="32"/>
          <w:szCs w:val="32"/>
          <w:lang w:val="en-US" w:eastAsia="zh-CN" w:bidi="ar-SA"/>
        </w:rPr>
        <w:t>三</w:t>
      </w:r>
      <w:r>
        <w:rPr>
          <w:rFonts w:hint="eastAsia" w:ascii="楷体_GB2312" w:hAnsi="楷体_GB2312" w:eastAsia="楷体_GB2312" w:cs="楷体_GB2312"/>
          <w:b/>
          <w:bCs/>
          <w:color w:val="000000"/>
          <w:kern w:val="0"/>
          <w:sz w:val="32"/>
          <w:szCs w:val="32"/>
          <w:lang w:val="zh-TW" w:eastAsia="zh-CN" w:bidi="ar-SA"/>
        </w:rPr>
        <w:t>副））</w:t>
      </w:r>
    </w:p>
    <w:p w14:paraId="0954C57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楷体_GB2312" w:hAnsi="楷体_GB2312" w:eastAsia="楷体_GB2312" w:cs="楷体_GB2312"/>
          <w:b/>
          <w:bCs/>
          <w:color w:val="000000"/>
          <w:kern w:val="0"/>
          <w:sz w:val="32"/>
          <w:szCs w:val="32"/>
          <w:lang w:val="zh-TW" w:eastAsia="zh-CN" w:bidi="ar-SA"/>
        </w:rPr>
      </w:pP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三</w:t>
      </w: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包装</w:t>
      </w:r>
      <w:r>
        <w:rPr>
          <w:rFonts w:hint="eastAsia" w:ascii="楷体_GB2312" w:hAnsi="楷体_GB2312" w:eastAsia="楷体_GB2312" w:cs="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楷体_GB2312" w:hAnsi="楷体_GB2312" w:eastAsia="楷体_GB2312" w:cs="楷体_GB2312"/>
          <w:b/>
          <w:bCs/>
          <w:color w:val="000000"/>
          <w:kern w:val="0"/>
          <w:sz w:val="32"/>
          <w:szCs w:val="32"/>
          <w:lang w:val="zh-TW" w:eastAsia="zh-TW" w:bidi="ar-SA"/>
        </w:rPr>
      </w:pP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四</w:t>
      </w:r>
      <w:r>
        <w:rPr>
          <w:rFonts w:hint="eastAsia" w:ascii="楷体_GB2312" w:hAnsi="楷体_GB2312" w:eastAsia="楷体_GB2312" w:cs="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pacing w:before="0" w:beforeAutospacing="0" w:after="120" w:afterAutospacing="0" w:line="600" w:lineRule="exact"/>
        <w:ind w:firstLine="643" w:firstLineChars="200"/>
        <w:jc w:val="both"/>
        <w:textAlignment w:val="auto"/>
        <w:outlineLvl w:val="0"/>
        <w:rPr>
          <w:rFonts w:hint="eastAsia" w:ascii="楷体_GB2312" w:hAnsi="楷体_GB2312" w:eastAsia="楷体_GB2312" w:cs="楷体_GB2312"/>
          <w:b/>
          <w:bCs/>
          <w:color w:val="000000"/>
          <w:kern w:val="0"/>
          <w:sz w:val="32"/>
          <w:szCs w:val="32"/>
          <w:lang w:val="zh-TW" w:eastAsia="zh-TW" w:bidi="ar-SA"/>
        </w:rPr>
      </w:pP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en-US" w:eastAsia="zh-CN" w:bidi="ar-SA"/>
        </w:rPr>
        <w:t>五</w:t>
      </w:r>
      <w:r>
        <w:rPr>
          <w:rFonts w:hint="eastAsia" w:ascii="楷体_GB2312" w:hAnsi="楷体_GB2312" w:eastAsia="楷体_GB2312" w:cs="楷体_GB2312"/>
          <w:b/>
          <w:bCs/>
          <w:color w:val="000000"/>
          <w:kern w:val="0"/>
          <w:sz w:val="32"/>
          <w:szCs w:val="32"/>
          <w:lang w:val="zh-TW" w:eastAsia="zh-CN" w:bidi="ar-SA"/>
        </w:rPr>
        <w:t>）</w:t>
      </w:r>
      <w:r>
        <w:rPr>
          <w:rFonts w:hint="eastAsia" w:ascii="楷体_GB2312" w:hAnsi="楷体_GB2312" w:eastAsia="楷体_GB2312" w:cs="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秦海娜</w:t>
      </w:r>
    </w:p>
    <w:p w14:paraId="1DE7A5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1A00AF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7F21A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A37C65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line="56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10</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15</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17D05D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7803209B">
      <w:pPr>
        <w:pStyle w:val="1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Courier New" w:eastAsia="仿宋_GB2312" w:cs="Courier New"/>
          <w:color w:val="000000"/>
          <w:kern w:val="0"/>
          <w:sz w:val="32"/>
          <w:szCs w:val="32"/>
          <w:lang w:val="zh-TW" w:eastAsia="zh-CN" w:bidi="ar-SA"/>
        </w:rPr>
      </w:pPr>
    </w:p>
    <w:p w14:paraId="48FE1ADA">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6E2A2662">
      <w:pPr>
        <w:pStyle w:val="1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09A6DC29">
      <w:pPr>
        <w:rPr>
          <w:rFonts w:hint="eastAsia" w:ascii="仿宋" w:hAnsi="仿宋" w:eastAsia="仿宋"/>
          <w:color w:val="auto"/>
          <w:sz w:val="30"/>
          <w:szCs w:val="30"/>
        </w:rPr>
      </w:pPr>
    </w:p>
    <w:p w14:paraId="6DF805E2">
      <w:pPr>
        <w:rPr>
          <w:rFonts w:hint="eastAsia" w:ascii="仿宋" w:hAnsi="仿宋" w:eastAsia="仿宋"/>
          <w:color w:val="auto"/>
          <w:sz w:val="30"/>
          <w:szCs w:val="30"/>
        </w:rPr>
      </w:pP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4"/>
        <w:jc w:val="center"/>
        <w:rPr>
          <w:rFonts w:hint="eastAsia" w:hAnsi="宋体" w:cs="宋体"/>
          <w:b/>
          <w:sz w:val="36"/>
        </w:rPr>
      </w:pPr>
      <w:r>
        <w:rPr>
          <w:rFonts w:hint="eastAsia" w:hAnsi="宋体" w:cs="宋体"/>
          <w:b/>
          <w:sz w:val="36"/>
        </w:rPr>
        <w:t>采购需求一览表</w:t>
      </w:r>
    </w:p>
    <w:p w14:paraId="134EF087">
      <w:pPr>
        <w:pStyle w:val="2"/>
        <w:numPr>
          <w:ilvl w:val="0"/>
          <w:numId w:val="0"/>
        </w:numPr>
        <w:ind w:left="0" w:firstLine="0"/>
        <w:rPr>
          <w:rFonts w:hint="eastAsia" w:ascii="仿宋" w:hAnsi="仿宋" w:eastAsia="仿宋"/>
          <w:color w:val="auto"/>
          <w:sz w:val="30"/>
          <w:szCs w:val="30"/>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4"/>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75"/>
        <w:gridCol w:w="672"/>
        <w:gridCol w:w="748"/>
        <w:gridCol w:w="6147"/>
      </w:tblGrid>
      <w:tr w14:paraId="269A3D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7ADD0055">
            <w:pPr>
              <w:jc w:val="center"/>
              <w:rPr>
                <w:rFonts w:ascii="宋体" w:hAnsi="Calibri" w:eastAsia="宋体" w:cs="Times New Roman"/>
                <w:b/>
                <w:bCs/>
              </w:rPr>
            </w:pPr>
            <w:r>
              <w:rPr>
                <w:rFonts w:hint="eastAsia" w:ascii="宋体" w:hAnsi="宋体" w:eastAsia="宋体" w:cs="宋体"/>
                <w:b/>
                <w:bCs/>
              </w:rPr>
              <w:t>项号</w:t>
            </w:r>
          </w:p>
        </w:tc>
        <w:tc>
          <w:tcPr>
            <w:tcW w:w="1175" w:type="dxa"/>
            <w:tcBorders>
              <w:top w:val="single" w:color="auto" w:sz="4" w:space="0"/>
              <w:left w:val="single" w:color="auto" w:sz="4" w:space="0"/>
              <w:bottom w:val="single" w:color="auto" w:sz="4" w:space="0"/>
              <w:right w:val="single" w:color="auto" w:sz="4" w:space="0"/>
            </w:tcBorders>
            <w:noWrap w:val="0"/>
            <w:vAlign w:val="center"/>
          </w:tcPr>
          <w:p w14:paraId="332D08C3">
            <w:pPr>
              <w:jc w:val="center"/>
              <w:rPr>
                <w:rFonts w:ascii="宋体" w:hAnsi="Calibri" w:eastAsia="宋体" w:cs="Times New Roman"/>
                <w:b/>
                <w:bCs/>
              </w:rPr>
            </w:pPr>
            <w:r>
              <w:rPr>
                <w:rFonts w:hint="eastAsia" w:ascii="宋体" w:hAnsi="宋体" w:eastAsia="宋体" w:cs="宋体"/>
                <w:b/>
                <w:bCs/>
              </w:rPr>
              <w:t>服务名称</w:t>
            </w:r>
          </w:p>
        </w:tc>
        <w:tc>
          <w:tcPr>
            <w:tcW w:w="672" w:type="dxa"/>
            <w:tcBorders>
              <w:top w:val="single" w:color="auto" w:sz="4" w:space="0"/>
              <w:left w:val="single" w:color="auto" w:sz="4" w:space="0"/>
              <w:bottom w:val="single" w:color="auto" w:sz="4" w:space="0"/>
              <w:right w:val="single" w:color="auto" w:sz="4" w:space="0"/>
            </w:tcBorders>
            <w:noWrap w:val="0"/>
            <w:vAlign w:val="center"/>
          </w:tcPr>
          <w:p w14:paraId="49362AF9">
            <w:pPr>
              <w:jc w:val="center"/>
              <w:rPr>
                <w:rFonts w:ascii="宋体" w:hAnsi="宋体" w:eastAsia="宋体" w:cs="宋体"/>
                <w:b/>
                <w:bCs/>
              </w:rPr>
            </w:pPr>
            <w:r>
              <w:rPr>
                <w:rFonts w:hint="eastAsia" w:ascii="宋体" w:hAnsi="宋体" w:eastAsia="宋体" w:cs="宋体"/>
                <w:b/>
                <w:bCs/>
              </w:rPr>
              <w:t>数量</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0477A316">
            <w:pPr>
              <w:jc w:val="center"/>
              <w:rPr>
                <w:rFonts w:ascii="宋体" w:hAnsi="Calibri" w:eastAsia="宋体" w:cs="Times New Roman"/>
                <w:b/>
                <w:bCs/>
              </w:rPr>
            </w:pPr>
            <w:r>
              <w:rPr>
                <w:rFonts w:hint="eastAsia" w:ascii="宋体" w:hAnsi="宋体" w:eastAsia="宋体" w:cs="宋体"/>
                <w:b/>
                <w:bCs/>
              </w:rPr>
              <w:t>预算</w:t>
            </w:r>
          </w:p>
        </w:tc>
        <w:tc>
          <w:tcPr>
            <w:tcW w:w="6147" w:type="dxa"/>
            <w:tcBorders>
              <w:top w:val="single" w:color="auto" w:sz="4" w:space="0"/>
              <w:left w:val="single" w:color="auto" w:sz="4" w:space="0"/>
              <w:bottom w:val="single" w:color="auto" w:sz="4" w:space="0"/>
            </w:tcBorders>
            <w:noWrap w:val="0"/>
            <w:vAlign w:val="center"/>
          </w:tcPr>
          <w:p w14:paraId="40C187FF">
            <w:pPr>
              <w:jc w:val="center"/>
              <w:rPr>
                <w:rFonts w:ascii="宋体" w:hAnsi="Calibri" w:eastAsia="宋体" w:cs="Times New Roman"/>
                <w:b/>
                <w:bCs/>
              </w:rPr>
            </w:pPr>
            <w:r>
              <w:rPr>
                <w:rFonts w:hint="eastAsia" w:ascii="宋体" w:hAnsi="宋体" w:eastAsia="宋体" w:cs="宋体"/>
                <w:b/>
                <w:bCs/>
              </w:rPr>
              <w:t>服务项目的具体内容和要求</w:t>
            </w:r>
          </w:p>
        </w:tc>
      </w:tr>
      <w:tr w14:paraId="0BFDCF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30080843">
            <w:pPr>
              <w:jc w:val="center"/>
              <w:rPr>
                <w:rFonts w:ascii="宋体" w:hAnsi="宋体" w:eastAsia="宋体" w:cs="宋体"/>
              </w:rPr>
            </w:pPr>
            <w:r>
              <w:rPr>
                <w:rFonts w:ascii="宋体" w:hAnsi="宋体" w:eastAsia="宋体" w:cs="宋体"/>
              </w:rPr>
              <w:t>1</w:t>
            </w:r>
          </w:p>
        </w:tc>
        <w:tc>
          <w:tcPr>
            <w:tcW w:w="1175" w:type="dxa"/>
            <w:tcBorders>
              <w:top w:val="single" w:color="auto" w:sz="4" w:space="0"/>
              <w:left w:val="single" w:color="auto" w:sz="4" w:space="0"/>
              <w:bottom w:val="single" w:color="auto" w:sz="4" w:space="0"/>
              <w:right w:val="single" w:color="auto" w:sz="4" w:space="0"/>
            </w:tcBorders>
            <w:noWrap w:val="0"/>
            <w:vAlign w:val="center"/>
          </w:tcPr>
          <w:p w14:paraId="5C01A18D">
            <w:pPr>
              <w:widowControl/>
              <w:numPr>
                <w:ilvl w:val="0"/>
                <w:numId w:val="0"/>
              </w:numPr>
              <w:spacing w:line="440" w:lineRule="exact"/>
              <w:jc w:val="left"/>
              <w:textAlignment w:val="center"/>
              <w:rPr>
                <w:rFonts w:hint="default" w:ascii="宋体" w:hAnsi="Calibri" w:eastAsia="宋体" w:cs="Times New Roman"/>
                <w:lang w:val="en-US" w:eastAsia="zh-CN"/>
              </w:rPr>
            </w:pPr>
            <w:r>
              <w:rPr>
                <w:rFonts w:hint="default" w:ascii="宋体" w:hAnsi="Calibri" w:eastAsia="宋体" w:cs="Times New Roman"/>
                <w:lang w:val="en-US" w:eastAsia="zh-CN"/>
              </w:rPr>
              <w:t>松下冷链设备全封闭压缩机组维修服务</w:t>
            </w:r>
          </w:p>
        </w:tc>
        <w:tc>
          <w:tcPr>
            <w:tcW w:w="672" w:type="dxa"/>
            <w:tcBorders>
              <w:top w:val="single" w:color="auto" w:sz="4" w:space="0"/>
              <w:left w:val="single" w:color="auto" w:sz="4" w:space="0"/>
              <w:bottom w:val="single" w:color="auto" w:sz="4" w:space="0"/>
              <w:right w:val="single" w:color="auto" w:sz="4" w:space="0"/>
            </w:tcBorders>
            <w:noWrap w:val="0"/>
            <w:vAlign w:val="center"/>
          </w:tcPr>
          <w:p w14:paraId="150C7522">
            <w:pPr>
              <w:jc w:val="center"/>
              <w:rPr>
                <w:rFonts w:ascii="宋体" w:hAnsi="宋体" w:eastAsia="宋体" w:cs="宋体"/>
              </w:rPr>
            </w:pPr>
            <w:r>
              <w:rPr>
                <w:rFonts w:hint="eastAsia" w:ascii="宋体" w:hAnsi="宋体" w:eastAsia="宋体" w:cs="宋体"/>
                <w:color w:val="auto"/>
                <w:lang w:val="en-US" w:eastAsia="zh-CN"/>
              </w:rPr>
              <w:t>1项</w:t>
            </w:r>
          </w:p>
        </w:tc>
        <w:tc>
          <w:tcPr>
            <w:tcW w:w="748" w:type="dxa"/>
            <w:tcBorders>
              <w:top w:val="single" w:color="auto" w:sz="4" w:space="0"/>
              <w:left w:val="single" w:color="auto" w:sz="4" w:space="0"/>
              <w:bottom w:val="single" w:color="auto" w:sz="4" w:space="0"/>
              <w:right w:val="single" w:color="auto" w:sz="4" w:space="0"/>
            </w:tcBorders>
            <w:noWrap w:val="0"/>
            <w:vAlign w:val="center"/>
          </w:tcPr>
          <w:p w14:paraId="581705D8">
            <w:pPr>
              <w:jc w:val="center"/>
              <w:rPr>
                <w:rFonts w:hint="default" w:ascii="宋体" w:hAnsi="Calibri" w:eastAsia="宋体" w:cs="Times New Roman"/>
                <w:lang w:val="en-US" w:eastAsia="zh-CN"/>
              </w:rPr>
            </w:pPr>
            <w:r>
              <w:rPr>
                <w:rFonts w:hint="eastAsia" w:ascii="宋体" w:hAnsi="宋体" w:eastAsia="宋体" w:cs="宋体"/>
                <w:color w:val="auto"/>
                <w:lang w:val="en-US" w:eastAsia="zh-CN"/>
              </w:rPr>
              <w:t>26000元</w:t>
            </w:r>
          </w:p>
        </w:tc>
        <w:tc>
          <w:tcPr>
            <w:tcW w:w="6147" w:type="dxa"/>
            <w:tcBorders>
              <w:top w:val="single" w:color="auto" w:sz="4" w:space="0"/>
              <w:left w:val="single" w:color="auto" w:sz="4" w:space="0"/>
              <w:bottom w:val="single" w:color="auto" w:sz="4" w:space="0"/>
            </w:tcBorders>
            <w:noWrap w:val="0"/>
            <w:vAlign w:val="center"/>
          </w:tcPr>
          <w:p w14:paraId="373898FF">
            <w:pPr>
              <w:widowControl/>
              <w:numPr>
                <w:ilvl w:val="0"/>
                <w:numId w:val="3"/>
              </w:numPr>
              <w:jc w:val="left"/>
              <w:rPr>
                <w:rFonts w:asciiTheme="minorEastAsia" w:hAnsiTheme="minorEastAsia" w:cstheme="minorEastAsia"/>
                <w:b/>
                <w:sz w:val="24"/>
              </w:rPr>
            </w:pPr>
            <w:r>
              <w:rPr>
                <w:rFonts w:hint="eastAsia" w:asciiTheme="minorEastAsia" w:hAnsiTheme="minorEastAsia" w:cstheme="minorEastAsia"/>
                <w:b/>
                <w:sz w:val="24"/>
              </w:rPr>
              <w:t>设备基本情况：</w:t>
            </w:r>
          </w:p>
          <w:p w14:paraId="5947BB45">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eastAsia="宋体" w:cs="Times New Roman"/>
                <w:lang w:val="en-US" w:eastAsia="zh-CN"/>
              </w:rPr>
              <w:t>1.</w:t>
            </w:r>
            <w:r>
              <w:rPr>
                <w:rFonts w:hint="eastAsia" w:ascii="宋体" w:hAnsi="Calibri" w:eastAsia="宋体" w:cs="Times New Roman"/>
                <w:lang w:val="en-US" w:eastAsia="zh-CN"/>
              </w:rPr>
              <w:t>设备名称：松下全封闭压缩机组(松下全封闭压缩机组A系统)</w:t>
            </w:r>
          </w:p>
          <w:p w14:paraId="2693A852">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eastAsia="宋体" w:cs="Times New Roman"/>
                <w:lang w:val="en-US" w:eastAsia="zh-CN"/>
              </w:rPr>
              <w:t>2.</w:t>
            </w:r>
            <w:r>
              <w:rPr>
                <w:rFonts w:hint="eastAsia" w:ascii="宋体" w:hAnsi="Calibri" w:eastAsia="宋体" w:cs="Times New Roman"/>
                <w:lang w:val="en-US" w:eastAsia="zh-CN"/>
              </w:rPr>
              <w:t>压缩机</w:t>
            </w:r>
            <w:r>
              <w:rPr>
                <w:rFonts w:hint="eastAsia" w:ascii="宋体" w:hAnsi="Calibri" w:eastAsia="宋体" w:cs="Times New Roman"/>
                <w:color w:val="auto"/>
                <w:lang w:val="en-US" w:eastAsia="zh-CN"/>
              </w:rPr>
              <w:t>组规</w:t>
            </w:r>
            <w:r>
              <w:rPr>
                <w:rFonts w:hint="eastAsia" w:ascii="宋体" w:hAnsi="Calibri" w:eastAsia="宋体" w:cs="Times New Roman"/>
                <w:lang w:val="en-US" w:eastAsia="zh-CN"/>
              </w:rPr>
              <w:t>格型号：OCU-R300SF</w:t>
            </w:r>
          </w:p>
          <w:p w14:paraId="73A5D4C5">
            <w:pPr>
              <w:widowControl/>
              <w:numPr>
                <w:ilvl w:val="0"/>
                <w:numId w:val="3"/>
              </w:numPr>
              <w:jc w:val="left"/>
              <w:rPr>
                <w:rFonts w:asciiTheme="minorEastAsia" w:hAnsiTheme="minorEastAsia" w:cstheme="minorEastAsia"/>
                <w:b/>
                <w:sz w:val="24"/>
              </w:rPr>
            </w:pPr>
            <w:r>
              <w:rPr>
                <w:rFonts w:hint="eastAsia" w:asciiTheme="minorEastAsia" w:hAnsiTheme="minorEastAsia" w:cstheme="minorEastAsia"/>
                <w:b/>
                <w:sz w:val="24"/>
              </w:rPr>
              <w:t>设备故障情况：</w:t>
            </w:r>
          </w:p>
          <w:p w14:paraId="1983A7BF">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1.单机组A系统压缩机电流正常3.6A、压力在库温5℃时测得出高压15pas，低压4 pas，低压明显偏高0.5pas。</w:t>
            </w:r>
          </w:p>
          <w:p w14:paraId="05664B36">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2.排气温度35℃，经过调节膨胀阀调到正常值范围排气温度58℃测压缩机负压时压缩机明显异常出现停机异响，</w:t>
            </w:r>
          </w:p>
          <w:p w14:paraId="3C886BC5">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3.降温速度慢，经检测2分钟降温0.1℃左右，制冷效率低。</w:t>
            </w:r>
          </w:p>
          <w:p w14:paraId="055E2308">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4.初步判断为A系统机组压缩机故障，建议更换压缩机。</w:t>
            </w:r>
          </w:p>
          <w:p w14:paraId="17679F1D">
            <w:pPr>
              <w:widowControl/>
              <w:numPr>
                <w:ilvl w:val="0"/>
                <w:numId w:val="3"/>
              </w:numPr>
              <w:jc w:val="left"/>
              <w:rPr>
                <w:rFonts w:asciiTheme="minorEastAsia" w:hAnsiTheme="minorEastAsia" w:cstheme="minorEastAsia"/>
                <w:b/>
                <w:sz w:val="24"/>
              </w:rPr>
            </w:pPr>
            <w:r>
              <w:rPr>
                <w:rFonts w:hint="eastAsia" w:asciiTheme="minorEastAsia" w:hAnsiTheme="minorEastAsia" w:cstheme="minorEastAsia"/>
                <w:b/>
                <w:sz w:val="24"/>
              </w:rPr>
              <w:t>服务内容</w:t>
            </w:r>
            <w:r>
              <w:rPr>
                <w:rFonts w:asciiTheme="minorEastAsia" w:hAnsiTheme="minorEastAsia" w:cstheme="minorEastAsia"/>
                <w:b/>
                <w:sz w:val="24"/>
              </w:rPr>
              <w:t>：</w:t>
            </w:r>
          </w:p>
          <w:p w14:paraId="17536975">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1.更换松下原厂全新压缩机，要求性价比不低于原配置。</w:t>
            </w:r>
          </w:p>
          <w:p w14:paraId="0704C426">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2.响应供应商需根据设备故障情况提供维修方案。</w:t>
            </w:r>
          </w:p>
          <w:p w14:paraId="0F5B6C9A">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3.为保障维修服务专业性，所有上岗人员均要持证上岗，并在实施前现场出示制冷职业等级资格证书。</w:t>
            </w:r>
          </w:p>
          <w:p w14:paraId="36809619">
            <w:pPr>
              <w:widowControl/>
              <w:numPr>
                <w:ilvl w:val="0"/>
                <w:numId w:val="3"/>
              </w:numPr>
              <w:jc w:val="left"/>
              <w:rPr>
                <w:rFonts w:asciiTheme="minorEastAsia" w:hAnsiTheme="minorEastAsia" w:cstheme="minorEastAsia"/>
                <w:b/>
                <w:sz w:val="24"/>
              </w:rPr>
            </w:pPr>
            <w:r>
              <w:rPr>
                <w:rFonts w:hint="eastAsia" w:asciiTheme="minorEastAsia" w:hAnsiTheme="minorEastAsia" w:cstheme="minorEastAsia"/>
                <w:b/>
                <w:sz w:val="24"/>
              </w:rPr>
              <w:t>维修后效果:</w:t>
            </w:r>
          </w:p>
          <w:p w14:paraId="402F0CDD">
            <w:pPr>
              <w:widowControl w:val="0"/>
              <w:spacing w:after="120"/>
              <w:jc w:val="both"/>
              <w:rPr>
                <w:rFonts w:ascii="Times New Roman" w:hAnsi="Times New Roman" w:eastAsia="宋体" w:cs="Times New Roman"/>
                <w:kern w:val="2"/>
                <w:sz w:val="21"/>
                <w:szCs w:val="24"/>
                <w:lang w:val="en-US" w:eastAsia="zh-CN" w:bidi="ar-SA"/>
              </w:rPr>
            </w:pPr>
            <w:r>
              <w:rPr>
                <w:rFonts w:hint="eastAsia" w:ascii="宋体" w:eastAsia="宋体" w:cs="Times New Roman"/>
                <w:lang w:val="en-US" w:eastAsia="zh-CN"/>
              </w:rPr>
              <w:t>机组设备维修后，单机组A系统运行正常，库内温度稳定运行在4±2℃内。</w:t>
            </w:r>
          </w:p>
        </w:tc>
      </w:tr>
      <w:tr w14:paraId="12DA70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noWrap w:val="0"/>
            <w:tcMar>
              <w:top w:w="0" w:type="dxa"/>
              <w:left w:w="0" w:type="dxa"/>
              <w:bottom w:w="0" w:type="dxa"/>
              <w:right w:w="0" w:type="dxa"/>
            </w:tcMar>
            <w:vAlign w:val="center"/>
          </w:tcPr>
          <w:p w14:paraId="6F463BF0">
            <w:pPr>
              <w:jc w:val="center"/>
              <w:rPr>
                <w:rFonts w:ascii="宋体" w:hAnsi="Calibri" w:eastAsia="宋体" w:cs="Times New Roman"/>
              </w:rPr>
            </w:pPr>
            <w:r>
              <w:rPr>
                <w:rFonts w:hint="eastAsia" w:ascii="宋体" w:hAnsi="宋体" w:eastAsia="宋体" w:cs="宋体"/>
              </w:rPr>
              <w:t>商务条款</w:t>
            </w:r>
          </w:p>
        </w:tc>
        <w:tc>
          <w:tcPr>
            <w:tcW w:w="8742" w:type="dxa"/>
            <w:gridSpan w:val="4"/>
            <w:tcBorders>
              <w:top w:val="single" w:color="auto" w:sz="4" w:space="0"/>
              <w:left w:val="single" w:color="auto" w:sz="4" w:space="0"/>
              <w:bottom w:val="single" w:color="auto" w:sz="4" w:space="0"/>
            </w:tcBorders>
            <w:noWrap w:val="0"/>
            <w:vAlign w:val="center"/>
          </w:tcPr>
          <w:p w14:paraId="43DD69F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一、合同签订期：自采购结果公告结束之日起10个工作日内。</w:t>
            </w:r>
          </w:p>
          <w:p w14:paraId="4538037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二、服务时间：自合同签订之日起 15日内完成维修。</w:t>
            </w:r>
          </w:p>
          <w:p w14:paraId="08FEDAF1">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三、服务地点：南宁中心血站本部采购人指定地点。</w:t>
            </w:r>
          </w:p>
          <w:p w14:paraId="6B8BD33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四、售后服务要求：</w:t>
            </w:r>
          </w:p>
          <w:p w14:paraId="234B1BB0">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 xml:space="preserve">1、项目实施过程中更换的配件质量保证期自验收合格并交付使用之日起计算，质量保证期不少于18个月（若国家对本项目所涉及货物的质量保证期的规定高于本项目的要求，应按国家的规定执行）。在质量保证期内一旦发生质量问题，成交供应商须在接到采购人通知后48小时内赶到现场进行修理或更换。 </w:t>
            </w:r>
          </w:p>
          <w:p w14:paraId="4C03C51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2、在质保期内，成交供应商应无偿并迅速更换由于配件缺陷及制造工艺或安装不规范等问题而发生故障的产品。</w:t>
            </w:r>
          </w:p>
          <w:p w14:paraId="74B977AE">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五、其他要求：</w:t>
            </w:r>
          </w:p>
          <w:p w14:paraId="4E2FFC7D">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1、报价必须含以下部分：</w:t>
            </w:r>
          </w:p>
          <w:p w14:paraId="67475DD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（1）服务价格；</w:t>
            </w:r>
          </w:p>
          <w:p w14:paraId="41764D4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（2）标准配件附件、备品备件、专用工具、包装的价格；</w:t>
            </w:r>
          </w:p>
          <w:p w14:paraId="75E633F8">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（3）安装调试过程中涉及的材料和工具、运输、货到就位、保管、装卸、调试、技术支持、售后服务及安装涉及的配套等费用；</w:t>
            </w:r>
          </w:p>
          <w:p w14:paraId="0760B289">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（4）必要的保险费用和各项税费；</w:t>
            </w:r>
          </w:p>
          <w:p w14:paraId="2DEF34D7">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（5）送货上门、安装、调试的费用；</w:t>
            </w:r>
          </w:p>
          <w:p w14:paraId="4E56E8B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（6）施工安装过程中拆除和恢复费用，施工时造成的损失及其它专业造成的破坏进行修补等及其他所有成本及合同包含的应有环保、文明施工、安全施工、风险费、责任等费用；</w:t>
            </w:r>
          </w:p>
          <w:p w14:paraId="065D5722">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2、付款方式：成交供应商维修安装调试完成并经采购人验收合格后一次性支付合同款（付款前中标人需提供等额合规的增值税普通发票）。</w:t>
            </w:r>
          </w:p>
          <w:p w14:paraId="1E7CD6E0">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3、成交供应商需确保本项目必须满足该设备现行所有相关法律法规及规范标准等。</w:t>
            </w:r>
          </w:p>
        </w:tc>
      </w:tr>
    </w:tbl>
    <w:p w14:paraId="75444747">
      <w:pPr>
        <w:pStyle w:val="6"/>
        <w:spacing w:line="500" w:lineRule="exact"/>
        <w:jc w:val="left"/>
        <w:rPr>
          <w:rFonts w:hint="eastAsia" w:ascii="仿宋" w:hAnsi="仿宋" w:eastAsia="仿宋"/>
          <w:color w:val="auto"/>
          <w:sz w:val="30"/>
          <w:szCs w:val="30"/>
        </w:rPr>
      </w:pPr>
    </w:p>
    <w:p w14:paraId="522228B5">
      <w:pPr>
        <w:pStyle w:val="6"/>
        <w:spacing w:line="500" w:lineRule="exact"/>
        <w:jc w:val="left"/>
        <w:rPr>
          <w:rFonts w:hint="eastAsia" w:ascii="仿宋" w:hAnsi="仿宋" w:eastAsia="仿宋"/>
          <w:color w:val="auto"/>
          <w:sz w:val="30"/>
          <w:szCs w:val="30"/>
        </w:rPr>
      </w:pPr>
    </w:p>
    <w:p w14:paraId="1983EA58">
      <w:pPr>
        <w:pStyle w:val="2"/>
        <w:numPr>
          <w:ilvl w:val="3"/>
          <w:numId w:val="0"/>
        </w:numPr>
        <w:ind w:left="1077" w:leftChars="0"/>
        <w:rPr>
          <w:rFonts w:hint="eastAsia"/>
        </w:rPr>
      </w:pPr>
    </w:p>
    <w:p w14:paraId="2411DE8C">
      <w:pPr>
        <w:rPr>
          <w:rFonts w:hint="eastAsia" w:ascii="仿宋" w:hAnsi="仿宋" w:eastAsia="仿宋"/>
          <w:color w:val="auto"/>
          <w:sz w:val="30"/>
          <w:szCs w:val="30"/>
        </w:rPr>
      </w:pPr>
    </w:p>
    <w:p w14:paraId="2E9CCA11">
      <w:pPr>
        <w:pStyle w:val="12"/>
        <w:rPr>
          <w:rFonts w:hint="eastAsia" w:ascii="仿宋" w:hAnsi="仿宋" w:eastAsia="仿宋"/>
          <w:color w:val="auto"/>
          <w:sz w:val="30"/>
          <w:szCs w:val="30"/>
        </w:rPr>
      </w:pPr>
    </w:p>
    <w:p w14:paraId="000ED6A1">
      <w:pPr>
        <w:pStyle w:val="12"/>
        <w:rPr>
          <w:rFonts w:hint="eastAsia" w:ascii="仿宋" w:hAnsi="仿宋" w:eastAsia="仿宋"/>
          <w:color w:val="auto"/>
          <w:sz w:val="30"/>
          <w:szCs w:val="30"/>
        </w:rPr>
      </w:pPr>
    </w:p>
    <w:p w14:paraId="206CAEFB">
      <w:pPr>
        <w:pStyle w:val="12"/>
        <w:ind w:left="0" w:leftChars="0" w:firstLine="0" w:firstLineChars="0"/>
        <w:rPr>
          <w:rFonts w:hint="eastAsia" w:ascii="仿宋" w:hAnsi="仿宋" w:eastAsia="仿宋"/>
          <w:color w:val="auto"/>
          <w:sz w:val="30"/>
          <w:szCs w:val="30"/>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南宁中心血站2024年松下冷链设备全封闭压缩机组维修服务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FE76B44">
      <w:pPr>
        <w:rPr>
          <w:rFonts w:hint="eastAsia"/>
          <w:color w:val="auto"/>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59118329">
      <w:pPr>
        <w:pStyle w:val="2"/>
        <w:numPr>
          <w:ilvl w:val="3"/>
          <w:numId w:val="0"/>
        </w:numPr>
        <w:ind w:left="1077" w:leftChars="0"/>
        <w:rPr>
          <w:rFonts w:hint="eastAsia"/>
          <w:lang w:val="en-US" w:eastAsia="zh-CN"/>
        </w:rPr>
      </w:pPr>
    </w:p>
    <w:p w14:paraId="6C99CB0C">
      <w:pPr>
        <w:pStyle w:val="6"/>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4"/>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2"/>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4E77070B">
            <w:pPr>
              <w:pStyle w:val="6"/>
              <w:jc w:val="center"/>
              <w:rPr>
                <w:rFonts w:ascii="宋体" w:hAnsi="宋体" w:eastAsia="宋体" w:cs="宋体"/>
                <w:kern w:val="0"/>
                <w:sz w:val="20"/>
                <w:szCs w:val="21"/>
              </w:rPr>
            </w:pPr>
            <w:r>
              <w:rPr>
                <w:rFonts w:hint="eastAsia" w:ascii="宋体" w:hAnsi="宋体" w:eastAsia="宋体" w:cs="宋体"/>
                <w:kern w:val="0"/>
                <w:sz w:val="20"/>
                <w:szCs w:val="21"/>
                <w:lang w:val="zh-TW" w:eastAsia="zh-TW"/>
              </w:rPr>
              <w:t>南宁中心血站2024年松下冷链设备全封闭压缩机组维修服务</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6"/>
        <w:spacing w:line="560" w:lineRule="exact"/>
        <w:rPr>
          <w:rFonts w:hint="eastAsia" w:asciiTheme="minorEastAsia" w:hAnsiTheme="minorEastAsia" w:cstheme="minorEastAsia"/>
          <w:color w:val="auto"/>
          <w:szCs w:val="21"/>
        </w:rPr>
      </w:pPr>
    </w:p>
    <w:p w14:paraId="757F4053">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6"/>
        <w:spacing w:line="560" w:lineRule="exact"/>
        <w:rPr>
          <w:rFonts w:asciiTheme="minorEastAsia" w:hAnsiTheme="minorEastAsia" w:cstheme="minorEastAsia"/>
          <w:color w:val="auto"/>
          <w:szCs w:val="21"/>
          <w:u w:val="single"/>
        </w:rPr>
      </w:pP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0C2D445E">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6"/>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w:t>
      </w:r>
      <w:r>
        <w:rPr>
          <w:rFonts w:hint="eastAsia" w:asciiTheme="minorEastAsia" w:hAnsiTheme="minorEastAsia"/>
          <w:color w:val="auto"/>
          <w:szCs w:val="21"/>
        </w:rPr>
        <w:t>相应的具体内容。“偏离说明”一栏选择“正偏离”、“负偏离”或“无偏离”进行填写。</w:t>
      </w:r>
    </w:p>
    <w:p w14:paraId="1E88FCC5">
      <w:pPr>
        <w:pStyle w:val="6"/>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eastAsia" w:asciiTheme="minorEastAsia" w:hAnsiTheme="minorEastAsia"/>
          <w:b/>
          <w:bCs/>
          <w:color w:val="auto"/>
          <w:szCs w:val="21"/>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请如实填写</w:t>
      </w:r>
      <w:r>
        <w:rPr>
          <w:rFonts w:hint="eastAsia" w:asciiTheme="minorEastAsia" w:hAnsiTheme="minorEastAsia"/>
          <w:b/>
          <w:bCs/>
          <w:color w:val="auto"/>
          <w:szCs w:val="21"/>
        </w:rPr>
        <w:t>。</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1082"/>
        <w:gridCol w:w="2895"/>
        <w:gridCol w:w="1141"/>
        <w:gridCol w:w="2576"/>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3977" w:type="dxa"/>
            <w:gridSpan w:val="2"/>
            <w:vAlign w:val="center"/>
          </w:tcPr>
          <w:p w14:paraId="0DE12347">
            <w:pPr>
              <w:jc w:val="center"/>
              <w:rPr>
                <w:rFonts w:ascii="宋体"/>
                <w:color w:val="auto"/>
                <w:szCs w:val="21"/>
              </w:rPr>
            </w:pPr>
            <w:r>
              <w:rPr>
                <w:rFonts w:hint="eastAsia" w:ascii="宋体" w:hAnsi="宋体"/>
                <w:color w:val="auto"/>
                <w:szCs w:val="21"/>
              </w:rPr>
              <w:t>采购文件需求</w:t>
            </w:r>
          </w:p>
        </w:tc>
        <w:tc>
          <w:tcPr>
            <w:tcW w:w="3717" w:type="dxa"/>
            <w:gridSpan w:val="2"/>
            <w:vAlign w:val="center"/>
          </w:tcPr>
          <w:p w14:paraId="643763B8">
            <w:pPr>
              <w:jc w:val="center"/>
              <w:rPr>
                <w:rFonts w:ascii="宋体"/>
                <w:color w:val="auto"/>
                <w:szCs w:val="21"/>
              </w:rPr>
            </w:pPr>
            <w:r>
              <w:rPr>
                <w:rFonts w:hint="eastAsia" w:ascii="宋体" w:hAnsi="宋体"/>
                <w:color w:val="auto"/>
                <w:szCs w:val="21"/>
              </w:rPr>
              <w:t>响应文件承诺</w:t>
            </w:r>
          </w:p>
        </w:tc>
        <w:tc>
          <w:tcPr>
            <w:tcW w:w="87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1082" w:type="dxa"/>
            <w:vAlign w:val="center"/>
          </w:tcPr>
          <w:p w14:paraId="3B7AC663">
            <w:pPr>
              <w:jc w:val="center"/>
              <w:rPr>
                <w:rFonts w:ascii="宋体"/>
                <w:color w:val="auto"/>
                <w:szCs w:val="21"/>
              </w:rPr>
            </w:pPr>
            <w:r>
              <w:rPr>
                <w:rFonts w:hint="eastAsia" w:ascii="宋体" w:hAnsi="宋体"/>
                <w:color w:val="auto"/>
                <w:szCs w:val="21"/>
              </w:rPr>
              <w:t>货物名称</w:t>
            </w:r>
          </w:p>
        </w:tc>
        <w:tc>
          <w:tcPr>
            <w:tcW w:w="2895" w:type="dxa"/>
            <w:vAlign w:val="center"/>
          </w:tcPr>
          <w:p w14:paraId="34BC4A96">
            <w:pPr>
              <w:jc w:val="center"/>
              <w:rPr>
                <w:rFonts w:ascii="宋体"/>
                <w:color w:val="auto"/>
                <w:szCs w:val="21"/>
              </w:rPr>
            </w:pPr>
            <w:r>
              <w:rPr>
                <w:rFonts w:hint="eastAsia" w:ascii="宋体"/>
                <w:color w:val="auto"/>
                <w:szCs w:val="21"/>
              </w:rPr>
              <w:t>技术参数</w:t>
            </w:r>
          </w:p>
        </w:tc>
        <w:tc>
          <w:tcPr>
            <w:tcW w:w="1141" w:type="dxa"/>
            <w:vAlign w:val="center"/>
          </w:tcPr>
          <w:p w14:paraId="50260F94">
            <w:pPr>
              <w:jc w:val="center"/>
              <w:rPr>
                <w:rFonts w:ascii="宋体"/>
                <w:color w:val="auto"/>
                <w:szCs w:val="21"/>
              </w:rPr>
            </w:pPr>
            <w:r>
              <w:rPr>
                <w:rFonts w:hint="eastAsia" w:ascii="宋体" w:hAnsi="宋体"/>
                <w:color w:val="auto"/>
                <w:szCs w:val="21"/>
              </w:rPr>
              <w:t>货物名称</w:t>
            </w:r>
          </w:p>
        </w:tc>
        <w:tc>
          <w:tcPr>
            <w:tcW w:w="2576" w:type="dxa"/>
            <w:vAlign w:val="center"/>
          </w:tcPr>
          <w:p w14:paraId="31A59E2D">
            <w:pPr>
              <w:jc w:val="center"/>
              <w:rPr>
                <w:rFonts w:ascii="宋体"/>
                <w:color w:val="auto"/>
                <w:szCs w:val="21"/>
              </w:rPr>
            </w:pPr>
            <w:r>
              <w:rPr>
                <w:rFonts w:hint="eastAsia" w:ascii="宋体" w:hAnsi="宋体"/>
                <w:color w:val="auto"/>
                <w:szCs w:val="21"/>
              </w:rPr>
              <w:t>响应技术参数</w:t>
            </w:r>
          </w:p>
        </w:tc>
        <w:tc>
          <w:tcPr>
            <w:tcW w:w="87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6"/>
              <w:jc w:val="center"/>
              <w:rPr>
                <w:rFonts w:ascii="仿宋" w:hAnsi="仿宋" w:eastAsia="仿宋"/>
                <w:color w:val="auto"/>
                <w:spacing w:val="-20"/>
                <w:sz w:val="20"/>
              </w:rPr>
            </w:pPr>
            <w:r>
              <w:rPr>
                <w:rFonts w:ascii="仿宋" w:hAnsi="仿宋" w:eastAsia="仿宋"/>
                <w:color w:val="auto"/>
                <w:spacing w:val="-20"/>
                <w:sz w:val="20"/>
              </w:rPr>
              <w:t>1</w:t>
            </w:r>
          </w:p>
        </w:tc>
        <w:tc>
          <w:tcPr>
            <w:tcW w:w="1082" w:type="dxa"/>
            <w:vAlign w:val="center"/>
          </w:tcPr>
          <w:p w14:paraId="23A9C877">
            <w:pPr>
              <w:rPr>
                <w:rFonts w:ascii="仿宋" w:hAnsi="仿宋" w:eastAsia="仿宋" w:cs="宋体"/>
                <w:color w:val="auto"/>
                <w:szCs w:val="21"/>
              </w:rPr>
            </w:pPr>
            <w:r>
              <w:rPr>
                <w:rFonts w:hint="eastAsia" w:ascii="Times New Roman" w:hAnsi="Times New Roman" w:eastAsia="宋体" w:cs="Times New Roman"/>
                <w:color w:val="auto"/>
                <w:kern w:val="2"/>
                <w:sz w:val="21"/>
                <w:szCs w:val="24"/>
                <w:highlight w:val="none"/>
                <w:lang w:val="zh-TW" w:eastAsia="zh-TW" w:bidi="ar-SA"/>
              </w:rPr>
              <w:t>南宁中心血站2024年松下冷链设备全封闭压缩机组维修服务</w:t>
            </w:r>
          </w:p>
        </w:tc>
        <w:tc>
          <w:tcPr>
            <w:tcW w:w="2895" w:type="dxa"/>
            <w:vAlign w:val="center"/>
          </w:tcPr>
          <w:p w14:paraId="6BEA8061">
            <w:pPr>
              <w:widowControl/>
              <w:numPr>
                <w:ilvl w:val="0"/>
                <w:numId w:val="0"/>
              </w:numPr>
              <w:jc w:val="left"/>
              <w:rPr>
                <w:rFonts w:asciiTheme="minorEastAsia" w:hAnsiTheme="minorEastAsia" w:cstheme="minorEastAsia"/>
                <w:b/>
                <w:sz w:val="24"/>
              </w:rPr>
            </w:pPr>
            <w:r>
              <w:rPr>
                <w:rFonts w:hint="eastAsia" w:asciiTheme="minorEastAsia" w:hAnsiTheme="minorEastAsia" w:cstheme="minorEastAsia"/>
                <w:b/>
                <w:sz w:val="24"/>
                <w:lang w:val="en-US" w:eastAsia="zh-CN"/>
              </w:rPr>
              <w:t>一、</w:t>
            </w:r>
            <w:r>
              <w:rPr>
                <w:rFonts w:hint="eastAsia" w:asciiTheme="minorEastAsia" w:hAnsiTheme="minorEastAsia" w:cstheme="minorEastAsia"/>
                <w:b/>
                <w:sz w:val="24"/>
              </w:rPr>
              <w:t>设备基本情况：</w:t>
            </w:r>
          </w:p>
          <w:p w14:paraId="4967514A">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eastAsia="宋体" w:cs="Times New Roman"/>
                <w:lang w:val="en-US" w:eastAsia="zh-CN"/>
              </w:rPr>
              <w:t>1.</w:t>
            </w:r>
            <w:r>
              <w:rPr>
                <w:rFonts w:hint="eastAsia" w:ascii="宋体" w:hAnsi="Calibri" w:eastAsia="宋体" w:cs="Times New Roman"/>
                <w:lang w:val="en-US" w:eastAsia="zh-CN"/>
              </w:rPr>
              <w:t>设备名称：松下全封闭压缩机组(松下全封闭压缩机组A系统)</w:t>
            </w:r>
          </w:p>
          <w:p w14:paraId="772A6C14">
            <w:pPr>
              <w:widowControl/>
              <w:numPr>
                <w:ilvl w:val="0"/>
                <w:numId w:val="0"/>
              </w:numPr>
              <w:spacing w:line="440" w:lineRule="exact"/>
              <w:jc w:val="left"/>
              <w:textAlignment w:val="center"/>
              <w:rPr>
                <w:rFonts w:hint="default" w:ascii="宋体" w:hAnsi="Calibri" w:eastAsia="宋体" w:cs="Times New Roman"/>
                <w:lang w:val="en-US" w:eastAsia="zh-CN"/>
              </w:rPr>
            </w:pPr>
            <w:r>
              <w:rPr>
                <w:rFonts w:hint="eastAsia" w:ascii="宋体" w:eastAsia="宋体" w:cs="Times New Roman"/>
                <w:lang w:val="en-US" w:eastAsia="zh-CN"/>
              </w:rPr>
              <w:t>2.</w:t>
            </w:r>
            <w:r>
              <w:rPr>
                <w:rFonts w:hint="eastAsia" w:ascii="宋体" w:hAnsi="Calibri" w:eastAsia="宋体" w:cs="Times New Roman"/>
                <w:lang w:val="en-US" w:eastAsia="zh-CN"/>
              </w:rPr>
              <w:t>压缩机</w:t>
            </w:r>
            <w:r>
              <w:rPr>
                <w:rFonts w:hint="eastAsia" w:ascii="宋体" w:hAnsi="Calibri" w:eastAsia="宋体" w:cs="Times New Roman"/>
                <w:color w:val="auto"/>
                <w:lang w:val="en-US" w:eastAsia="zh-CN"/>
              </w:rPr>
              <w:t>组规</w:t>
            </w:r>
            <w:r>
              <w:rPr>
                <w:rFonts w:hint="eastAsia" w:ascii="宋体" w:hAnsi="Calibri" w:eastAsia="宋体" w:cs="Times New Roman"/>
                <w:lang w:val="en-US" w:eastAsia="zh-CN"/>
              </w:rPr>
              <w:t>格型号：OCU-R300SF</w:t>
            </w:r>
          </w:p>
          <w:p w14:paraId="0D1469AB">
            <w:pPr>
              <w:widowControl/>
              <w:numPr>
                <w:ilvl w:val="0"/>
                <w:numId w:val="0"/>
              </w:numPr>
              <w:jc w:val="left"/>
              <w:rPr>
                <w:rFonts w:asciiTheme="minorEastAsia" w:hAnsiTheme="minorEastAsia" w:cstheme="minorEastAsia"/>
                <w:b/>
                <w:sz w:val="24"/>
              </w:rPr>
            </w:pPr>
            <w:r>
              <w:rPr>
                <w:rFonts w:hint="eastAsia" w:asciiTheme="minorEastAsia" w:hAnsiTheme="minorEastAsia" w:cstheme="minorEastAsia"/>
                <w:b/>
                <w:sz w:val="24"/>
                <w:lang w:val="en-US" w:eastAsia="zh-CN"/>
              </w:rPr>
              <w:t>二、</w:t>
            </w:r>
            <w:r>
              <w:rPr>
                <w:rFonts w:hint="eastAsia" w:asciiTheme="minorEastAsia" w:hAnsiTheme="minorEastAsia" w:cstheme="minorEastAsia"/>
                <w:b/>
                <w:sz w:val="24"/>
              </w:rPr>
              <w:t>设备故障情况：</w:t>
            </w:r>
          </w:p>
          <w:p w14:paraId="40460720">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1.单机组A系统压缩机电流正常3.6A、压力在库温5℃时测得出高压15pas，低压4 pas，低压明显偏高0.5pas。</w:t>
            </w:r>
          </w:p>
          <w:p w14:paraId="3697A0D5">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2.排气温度35℃，经过调节膨胀阀调到正常值范围排气温度58℃测压缩机负压时压缩机明显异常出现停机异响，</w:t>
            </w:r>
          </w:p>
          <w:p w14:paraId="6B11E8DD">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3.降温速度慢，经检测2分钟降温0.1℃左右，制冷效率低。</w:t>
            </w:r>
          </w:p>
          <w:p w14:paraId="7977F3CD">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4.初步判断为A系统机组压缩机故障，建议更换压缩机。</w:t>
            </w:r>
          </w:p>
          <w:p w14:paraId="4872EE52">
            <w:pPr>
              <w:widowControl/>
              <w:numPr>
                <w:ilvl w:val="0"/>
                <w:numId w:val="0"/>
              </w:numPr>
              <w:jc w:val="left"/>
              <w:rPr>
                <w:rFonts w:asciiTheme="minorEastAsia" w:hAnsiTheme="minorEastAsia" w:cstheme="minorEastAsia"/>
                <w:b/>
                <w:sz w:val="24"/>
              </w:rPr>
            </w:pPr>
            <w:r>
              <w:rPr>
                <w:rFonts w:hint="eastAsia" w:asciiTheme="minorEastAsia" w:hAnsiTheme="minorEastAsia" w:cstheme="minorEastAsia"/>
                <w:b/>
                <w:sz w:val="24"/>
                <w:lang w:val="en-US" w:eastAsia="zh-CN"/>
              </w:rPr>
              <w:t>三、</w:t>
            </w:r>
            <w:r>
              <w:rPr>
                <w:rFonts w:hint="eastAsia" w:asciiTheme="minorEastAsia" w:hAnsiTheme="minorEastAsia" w:cstheme="minorEastAsia"/>
                <w:b/>
                <w:sz w:val="24"/>
              </w:rPr>
              <w:t>服务内容</w:t>
            </w:r>
            <w:r>
              <w:rPr>
                <w:rFonts w:asciiTheme="minorEastAsia" w:hAnsiTheme="minorEastAsia" w:cstheme="minorEastAsia"/>
                <w:b/>
                <w:sz w:val="24"/>
              </w:rPr>
              <w:t>：</w:t>
            </w:r>
          </w:p>
          <w:p w14:paraId="58E81D0E">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1.更换松下原厂全新压缩机，要求性价比不低于原配置。</w:t>
            </w:r>
          </w:p>
          <w:p w14:paraId="702CE8C5">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2.响应供应商需根据设备故障情况提供维修方案。</w:t>
            </w:r>
          </w:p>
          <w:p w14:paraId="4877366E">
            <w:pPr>
              <w:widowControl/>
              <w:numPr>
                <w:ilvl w:val="0"/>
                <w:numId w:val="0"/>
              </w:numPr>
              <w:spacing w:line="440" w:lineRule="exact"/>
              <w:jc w:val="left"/>
              <w:textAlignment w:val="center"/>
              <w:rPr>
                <w:rFonts w:hint="eastAsia" w:ascii="宋体" w:eastAsia="宋体" w:cs="Times New Roman"/>
                <w:lang w:val="en-US" w:eastAsia="zh-CN"/>
              </w:rPr>
            </w:pPr>
            <w:r>
              <w:rPr>
                <w:rFonts w:hint="eastAsia" w:ascii="宋体" w:eastAsia="宋体" w:cs="Times New Roman"/>
                <w:lang w:val="en-US" w:eastAsia="zh-CN"/>
              </w:rPr>
              <w:t>3.为保障维修服务专业性，所有上岗人员均要持证上岗，并在实施前现场出示制冷职业等级资格证书。</w:t>
            </w:r>
          </w:p>
          <w:p w14:paraId="39EB2FA2">
            <w:pPr>
              <w:widowControl/>
              <w:numPr>
                <w:ilvl w:val="0"/>
                <w:numId w:val="0"/>
              </w:numPr>
              <w:jc w:val="left"/>
              <w:rPr>
                <w:rFonts w:asciiTheme="minorEastAsia" w:hAnsiTheme="minorEastAsia" w:cstheme="minorEastAsia"/>
                <w:b/>
                <w:sz w:val="24"/>
              </w:rPr>
            </w:pPr>
            <w:r>
              <w:rPr>
                <w:rFonts w:hint="eastAsia" w:asciiTheme="minorEastAsia" w:hAnsiTheme="minorEastAsia" w:cstheme="minorEastAsia"/>
                <w:b/>
                <w:sz w:val="24"/>
                <w:lang w:val="en-US" w:eastAsia="zh-CN"/>
              </w:rPr>
              <w:t>四、</w:t>
            </w:r>
            <w:r>
              <w:rPr>
                <w:rFonts w:hint="eastAsia" w:asciiTheme="minorEastAsia" w:hAnsiTheme="minorEastAsia" w:cstheme="minorEastAsia"/>
                <w:b/>
                <w:sz w:val="24"/>
              </w:rPr>
              <w:t>维修后效果:</w:t>
            </w:r>
          </w:p>
          <w:p w14:paraId="078C919A">
            <w:pPr>
              <w:pStyle w:val="12"/>
              <w:ind w:left="0" w:leftChars="0" w:firstLine="0" w:firstLineChars="0"/>
            </w:pPr>
            <w:r>
              <w:rPr>
                <w:rFonts w:hint="eastAsia" w:ascii="宋体" w:eastAsia="宋体" w:cs="Times New Roman"/>
                <w:lang w:val="en-US" w:eastAsia="zh-CN"/>
              </w:rPr>
              <w:t>机组设备维修后，单机组A系统运行正常，库内温度稳定运行在4±2℃内。</w:t>
            </w:r>
          </w:p>
        </w:tc>
        <w:tc>
          <w:tcPr>
            <w:tcW w:w="1141" w:type="dxa"/>
            <w:vAlign w:val="center"/>
          </w:tcPr>
          <w:p w14:paraId="4ADE18A6">
            <w:pPr>
              <w:rPr>
                <w:rFonts w:ascii="仿宋" w:hAnsi="仿宋" w:eastAsia="仿宋" w:cs="宋体"/>
                <w:color w:val="auto"/>
                <w:szCs w:val="21"/>
              </w:rPr>
            </w:pPr>
            <w:r>
              <w:rPr>
                <w:rFonts w:hint="eastAsia" w:ascii="Times New Roman" w:hAnsi="Times New Roman" w:eastAsia="宋体" w:cs="Times New Roman"/>
                <w:color w:val="auto"/>
                <w:kern w:val="2"/>
                <w:sz w:val="21"/>
                <w:szCs w:val="24"/>
                <w:highlight w:val="none"/>
                <w:lang w:val="zh-TW" w:eastAsia="zh-TW" w:bidi="ar-SA"/>
              </w:rPr>
              <w:t>南宁中心血站2024年松下冷链设备全封闭压缩机组维修服务</w:t>
            </w:r>
          </w:p>
        </w:tc>
        <w:tc>
          <w:tcPr>
            <w:tcW w:w="2576"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87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57E62672">
      <w:pPr>
        <w:pStyle w:val="6"/>
        <w:rPr>
          <w:rFonts w:hAnsi="宋体"/>
          <w:color w:val="auto"/>
          <w:sz w:val="16"/>
          <w:szCs w:val="16"/>
        </w:rPr>
      </w:pPr>
    </w:p>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2"/>
        <w:numPr>
          <w:ilvl w:val="3"/>
          <w:numId w:val="0"/>
        </w:numPr>
        <w:ind w:left="1077"/>
        <w:rPr>
          <w:color w:val="auto"/>
          <w:sz w:val="18"/>
          <w:szCs w:val="18"/>
        </w:rPr>
      </w:pP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1E930D5A">
      <w:pPr>
        <w:rPr>
          <w:rFonts w:hint="eastAsia" w:ascii="仿宋" w:hAnsi="仿宋" w:eastAsia="仿宋"/>
          <w:color w:val="auto"/>
          <w:sz w:val="30"/>
          <w:szCs w:val="30"/>
        </w:rPr>
      </w:pPr>
    </w:p>
    <w:p w14:paraId="3C86953E">
      <w:pPr>
        <w:rPr>
          <w:rFonts w:hint="eastAsia" w:ascii="仿宋" w:hAnsi="仿宋" w:eastAsia="仿宋"/>
          <w:color w:val="auto"/>
          <w:sz w:val="30"/>
          <w:szCs w:val="30"/>
        </w:rPr>
      </w:pPr>
    </w:p>
    <w:p w14:paraId="0E93062A">
      <w:pPr>
        <w:rPr>
          <w:rFonts w:hint="eastAsia" w:ascii="仿宋" w:hAnsi="仿宋" w:eastAsia="仿宋"/>
          <w:color w:val="auto"/>
          <w:sz w:val="30"/>
          <w:szCs w:val="30"/>
        </w:rPr>
      </w:pPr>
    </w:p>
    <w:p w14:paraId="2E790097">
      <w:pPr>
        <w:pStyle w:val="12"/>
        <w:rPr>
          <w:rFonts w:hint="eastAsia" w:ascii="仿宋" w:hAnsi="仿宋" w:eastAsia="仿宋"/>
          <w:color w:val="auto"/>
          <w:sz w:val="30"/>
          <w:szCs w:val="30"/>
        </w:rPr>
      </w:pPr>
    </w:p>
    <w:p w14:paraId="398A9B96">
      <w:pPr>
        <w:pStyle w:val="12"/>
        <w:rPr>
          <w:rFonts w:hint="eastAsia" w:ascii="仿宋" w:hAnsi="仿宋" w:eastAsia="仿宋"/>
          <w:color w:val="auto"/>
          <w:sz w:val="30"/>
          <w:szCs w:val="30"/>
        </w:rPr>
      </w:pPr>
    </w:p>
    <w:p w14:paraId="7744DFD0">
      <w:pPr>
        <w:pStyle w:val="12"/>
        <w:rPr>
          <w:rFonts w:hint="eastAsia" w:ascii="仿宋" w:hAnsi="仿宋" w:eastAsia="仿宋"/>
          <w:color w:val="auto"/>
          <w:sz w:val="30"/>
          <w:szCs w:val="30"/>
        </w:rPr>
      </w:pPr>
    </w:p>
    <w:p w14:paraId="52B9644E">
      <w:pPr>
        <w:pStyle w:val="12"/>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center"/>
        <w:rPr>
          <w:rFonts w:hint="eastAsia" w:ascii="宋体" w:hAnsi="宋体"/>
          <w:b/>
          <w:color w:val="auto"/>
          <w:sz w:val="36"/>
          <w:szCs w:val="36"/>
        </w:rPr>
      </w:pPr>
    </w:p>
    <w:p w14:paraId="003F1E03">
      <w:pPr>
        <w:pStyle w:val="6"/>
        <w:ind w:firstLine="420" w:firstLineChars="200"/>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7B1C278C">
      <w:pPr>
        <w:pStyle w:val="6"/>
        <w:rPr>
          <w:rFonts w:hAnsi="宋体"/>
          <w:color w:val="auto"/>
          <w:szCs w:val="21"/>
        </w:rPr>
      </w:pPr>
      <w:r>
        <w:rPr>
          <w:rFonts w:hint="eastAsia" w:hAnsi="宋体"/>
          <w:color w:val="auto"/>
          <w:szCs w:val="21"/>
          <w:u w:val="single"/>
        </w:rPr>
        <w:t xml:space="preserve">    </w:t>
      </w:r>
      <w:r>
        <w:rPr>
          <w:rFonts w:hint="eastAsia" w:hAnsi="宋体"/>
          <w:color w:val="auto"/>
          <w:szCs w:val="21"/>
        </w:rPr>
        <w:t>分标（有分项时填写）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94"/>
        <w:gridCol w:w="2925"/>
        <w:gridCol w:w="1571"/>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8"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18211"/>
            <w:bookmarkStart w:id="3" w:name="_Toc529"/>
            <w:r>
              <w:rPr>
                <w:rFonts w:hint="eastAsia" w:ascii="宋体" w:hAnsi="宋体"/>
                <w:color w:val="auto"/>
                <w:szCs w:val="21"/>
              </w:rPr>
              <w:t>序号</w:t>
            </w:r>
            <w:bookmarkEnd w:id="2"/>
            <w:bookmarkEnd w:id="3"/>
          </w:p>
        </w:tc>
        <w:tc>
          <w:tcPr>
            <w:tcW w:w="3794" w:type="dxa"/>
            <w:vAlign w:val="center"/>
          </w:tcPr>
          <w:p w14:paraId="756067CB">
            <w:pPr>
              <w:adjustRightInd w:val="0"/>
              <w:snapToGrid w:val="0"/>
              <w:spacing w:line="400" w:lineRule="exact"/>
              <w:jc w:val="center"/>
              <w:outlineLvl w:val="0"/>
              <w:rPr>
                <w:rFonts w:ascii="宋体" w:hAnsi="宋体"/>
                <w:color w:val="auto"/>
                <w:szCs w:val="21"/>
              </w:rPr>
            </w:pPr>
            <w:bookmarkStart w:id="4" w:name="_Toc11223"/>
            <w:bookmarkStart w:id="5" w:name="_Toc11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2925" w:type="dxa"/>
            <w:vAlign w:val="center"/>
          </w:tcPr>
          <w:p w14:paraId="398FE821">
            <w:pPr>
              <w:adjustRightInd w:val="0"/>
              <w:snapToGrid w:val="0"/>
              <w:spacing w:line="400" w:lineRule="exact"/>
              <w:jc w:val="center"/>
              <w:outlineLvl w:val="0"/>
              <w:rPr>
                <w:rFonts w:ascii="宋体" w:hAnsi="宋体"/>
                <w:color w:val="auto"/>
                <w:szCs w:val="21"/>
              </w:rPr>
            </w:pPr>
            <w:bookmarkStart w:id="6" w:name="_Toc22733"/>
            <w:bookmarkStart w:id="7" w:name="_Toc3147"/>
            <w:r>
              <w:rPr>
                <w:rFonts w:hint="eastAsia" w:ascii="宋体" w:hAnsi="宋体"/>
                <w:color w:val="auto"/>
                <w:szCs w:val="21"/>
              </w:rPr>
              <w:t>响应文件具体响应</w:t>
            </w:r>
            <w:bookmarkEnd w:id="6"/>
            <w:bookmarkEnd w:id="7"/>
          </w:p>
        </w:tc>
        <w:tc>
          <w:tcPr>
            <w:tcW w:w="1571"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804"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20348"/>
            <w:bookmarkStart w:id="9" w:name="_Toc16246"/>
            <w:r>
              <w:rPr>
                <w:rFonts w:hint="eastAsia" w:ascii="宋体" w:hAnsi="宋体"/>
                <w:color w:val="auto"/>
                <w:szCs w:val="21"/>
              </w:rPr>
              <w:t>1</w:t>
            </w:r>
            <w:bookmarkEnd w:id="8"/>
            <w:bookmarkEnd w:id="9"/>
          </w:p>
        </w:tc>
        <w:tc>
          <w:tcPr>
            <w:tcW w:w="3794" w:type="dxa"/>
            <w:vAlign w:val="center"/>
          </w:tcPr>
          <w:p w14:paraId="237E5955">
            <w:pPr>
              <w:widowControl/>
              <w:numPr>
                <w:ilvl w:val="0"/>
                <w:numId w:val="0"/>
              </w:numPr>
              <w:spacing w:line="440" w:lineRule="exact"/>
              <w:jc w:val="left"/>
              <w:textAlignment w:val="center"/>
              <w:rPr>
                <w:rFonts w:ascii="仿宋" w:hAnsi="仿宋" w:eastAsia="仿宋"/>
                <w:color w:val="auto"/>
                <w:sz w:val="20"/>
                <w:szCs w:val="20"/>
              </w:rPr>
            </w:pPr>
            <w:r>
              <w:rPr>
                <w:rFonts w:hint="eastAsia" w:ascii="宋体" w:hAnsi="宋体" w:eastAsia="宋体" w:cs="宋体"/>
                <w:color w:val="auto"/>
                <w:lang w:val="en-US" w:eastAsia="zh-CN"/>
              </w:rPr>
              <w:t>一、合同签订期：自采购结果公告结束之日起10个工作日内。</w:t>
            </w:r>
          </w:p>
        </w:tc>
        <w:tc>
          <w:tcPr>
            <w:tcW w:w="2925"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1504A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26" w:hRule="atLeast"/>
          <w:jc w:val="center"/>
        </w:trPr>
        <w:tc>
          <w:tcPr>
            <w:tcW w:w="640" w:type="dxa"/>
            <w:vAlign w:val="center"/>
          </w:tcPr>
          <w:p w14:paraId="2D3127A6">
            <w:pPr>
              <w:adjustRightInd w:val="0"/>
              <w:snapToGrid w:val="0"/>
              <w:spacing w:line="400" w:lineRule="exact"/>
              <w:jc w:val="center"/>
              <w:outlineLvl w:val="0"/>
              <w:rPr>
                <w:rFonts w:ascii="宋体" w:hAnsi="宋体"/>
                <w:color w:val="auto"/>
                <w:szCs w:val="21"/>
              </w:rPr>
            </w:pPr>
            <w:bookmarkStart w:id="10" w:name="_Toc14139"/>
            <w:bookmarkStart w:id="11" w:name="_Toc29108"/>
            <w:r>
              <w:rPr>
                <w:rFonts w:hint="eastAsia" w:ascii="宋体" w:hAnsi="宋体"/>
                <w:color w:val="auto"/>
                <w:szCs w:val="21"/>
              </w:rPr>
              <w:t>2</w:t>
            </w:r>
            <w:bookmarkEnd w:id="10"/>
            <w:bookmarkEnd w:id="11"/>
          </w:p>
        </w:tc>
        <w:tc>
          <w:tcPr>
            <w:tcW w:w="3794" w:type="dxa"/>
            <w:vAlign w:val="center"/>
          </w:tcPr>
          <w:p w14:paraId="54F08B96">
            <w:pPr>
              <w:widowControl/>
              <w:numPr>
                <w:ilvl w:val="0"/>
                <w:numId w:val="0"/>
              </w:numPr>
              <w:spacing w:line="440" w:lineRule="exact"/>
              <w:jc w:val="left"/>
              <w:textAlignment w:val="center"/>
              <w:rPr>
                <w:rFonts w:ascii="仿宋" w:hAnsi="仿宋" w:eastAsia="仿宋" w:cs="宋体"/>
                <w:color w:val="auto"/>
                <w:sz w:val="20"/>
                <w:szCs w:val="20"/>
              </w:rPr>
            </w:pPr>
            <w:r>
              <w:rPr>
                <w:rFonts w:hint="eastAsia" w:ascii="宋体" w:hAnsi="宋体" w:eastAsia="宋体" w:cs="宋体"/>
                <w:color w:val="auto"/>
                <w:lang w:val="en-US" w:eastAsia="zh-CN"/>
              </w:rPr>
              <w:t>二、服务时间：自合同签订之日起 15日内完成维修。</w:t>
            </w:r>
          </w:p>
        </w:tc>
        <w:tc>
          <w:tcPr>
            <w:tcW w:w="2925" w:type="dxa"/>
            <w:vAlign w:val="center"/>
          </w:tcPr>
          <w:p w14:paraId="7984F21B">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2097CEB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FC792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04" w:hRule="atLeast"/>
          <w:jc w:val="center"/>
        </w:trPr>
        <w:tc>
          <w:tcPr>
            <w:tcW w:w="640" w:type="dxa"/>
            <w:vAlign w:val="center"/>
          </w:tcPr>
          <w:p w14:paraId="600B76D3">
            <w:pPr>
              <w:adjustRightInd w:val="0"/>
              <w:snapToGrid w:val="0"/>
              <w:spacing w:line="400" w:lineRule="exact"/>
              <w:jc w:val="center"/>
              <w:outlineLvl w:val="0"/>
              <w:rPr>
                <w:rFonts w:ascii="宋体" w:hAnsi="宋体"/>
                <w:color w:val="auto"/>
                <w:szCs w:val="21"/>
              </w:rPr>
            </w:pPr>
            <w:bookmarkStart w:id="12" w:name="_Toc5989"/>
            <w:bookmarkStart w:id="13" w:name="_Toc25531"/>
            <w:r>
              <w:rPr>
                <w:rFonts w:hint="eastAsia" w:ascii="宋体" w:hAnsi="宋体"/>
                <w:color w:val="auto"/>
                <w:szCs w:val="21"/>
              </w:rPr>
              <w:t>3</w:t>
            </w:r>
            <w:bookmarkEnd w:id="12"/>
            <w:bookmarkEnd w:id="13"/>
          </w:p>
        </w:tc>
        <w:tc>
          <w:tcPr>
            <w:tcW w:w="3794" w:type="dxa"/>
            <w:vAlign w:val="center"/>
          </w:tcPr>
          <w:p w14:paraId="0C880BD6">
            <w:pPr>
              <w:widowControl/>
              <w:numPr>
                <w:ilvl w:val="0"/>
                <w:numId w:val="0"/>
              </w:numPr>
              <w:spacing w:line="440" w:lineRule="exact"/>
              <w:jc w:val="left"/>
              <w:textAlignment w:val="center"/>
              <w:rPr>
                <w:rFonts w:ascii="仿宋" w:hAnsi="仿宋" w:eastAsia="仿宋"/>
                <w:color w:val="auto"/>
                <w:sz w:val="20"/>
                <w:szCs w:val="20"/>
              </w:rPr>
            </w:pPr>
            <w:r>
              <w:rPr>
                <w:rFonts w:hint="eastAsia" w:ascii="宋体" w:hAnsi="宋体" w:eastAsia="宋体" w:cs="宋体"/>
                <w:color w:val="auto"/>
                <w:lang w:val="en-US" w:eastAsia="zh-CN"/>
              </w:rPr>
              <w:t>三、服务地点：南宁中心血站本部采购人指定地点。</w:t>
            </w:r>
            <w:r>
              <w:rPr>
                <w:rFonts w:ascii="Times New Roman" w:hAnsi="Times New Roman"/>
                <w:color w:val="auto"/>
                <w:szCs w:val="21"/>
                <w:highlight w:val="none"/>
              </w:rPr>
              <w:t xml:space="preserve"> </w:t>
            </w:r>
          </w:p>
        </w:tc>
        <w:tc>
          <w:tcPr>
            <w:tcW w:w="2925" w:type="dxa"/>
            <w:vAlign w:val="center"/>
          </w:tcPr>
          <w:p w14:paraId="6263957A">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4E9D0D0F">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5" w:hRule="atLeast"/>
          <w:jc w:val="center"/>
        </w:trPr>
        <w:tc>
          <w:tcPr>
            <w:tcW w:w="640" w:type="dxa"/>
            <w:vAlign w:val="center"/>
          </w:tcPr>
          <w:p w14:paraId="67DD286B">
            <w:pPr>
              <w:adjustRightInd w:val="0"/>
              <w:snapToGrid w:val="0"/>
              <w:spacing w:line="400" w:lineRule="exact"/>
              <w:jc w:val="center"/>
              <w:outlineLvl w:val="0"/>
              <w:rPr>
                <w:rFonts w:ascii="宋体" w:hAnsi="宋体"/>
                <w:color w:val="auto"/>
                <w:szCs w:val="21"/>
              </w:rPr>
            </w:pPr>
            <w:bookmarkStart w:id="14" w:name="_Toc29620"/>
            <w:bookmarkStart w:id="15" w:name="_Toc24579"/>
            <w:r>
              <w:rPr>
                <w:rFonts w:hint="eastAsia" w:ascii="宋体" w:hAnsi="宋体"/>
                <w:color w:val="auto"/>
                <w:szCs w:val="21"/>
              </w:rPr>
              <w:t>4</w:t>
            </w:r>
            <w:bookmarkEnd w:id="14"/>
            <w:bookmarkEnd w:id="15"/>
          </w:p>
        </w:tc>
        <w:tc>
          <w:tcPr>
            <w:tcW w:w="3794" w:type="dxa"/>
            <w:vAlign w:val="center"/>
          </w:tcPr>
          <w:p w14:paraId="4AA0DDB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四、售后服务要求：</w:t>
            </w:r>
          </w:p>
          <w:p w14:paraId="0CE0ADD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 xml:space="preserve">1、项目实施过程中更换的配件质量保证期自验收合格并交付使用之日起计算，质量保证期不少于18个月（若国家对本项目所涉及货物的质量保证期的规定高于本项目的要求，应按国家的规定执行）。在质量保证期内一旦发生质量问题，成交供应商须在接到采购人通知后48小时内赶到现场进行修理或更换。 </w:t>
            </w:r>
          </w:p>
          <w:p w14:paraId="6B7C6CD8">
            <w:pPr>
              <w:widowControl/>
              <w:numPr>
                <w:ilvl w:val="0"/>
                <w:numId w:val="0"/>
              </w:numPr>
              <w:spacing w:line="440" w:lineRule="exact"/>
              <w:jc w:val="left"/>
              <w:textAlignment w:val="center"/>
              <w:rPr>
                <w:rFonts w:ascii="仿宋" w:hAnsi="仿宋" w:eastAsia="仿宋"/>
                <w:bCs/>
                <w:color w:val="auto"/>
                <w:sz w:val="20"/>
                <w:szCs w:val="20"/>
              </w:rPr>
            </w:pPr>
            <w:r>
              <w:rPr>
                <w:rFonts w:hint="eastAsia" w:ascii="宋体" w:hAnsi="宋体" w:eastAsia="宋体" w:cs="宋体"/>
                <w:color w:val="auto"/>
                <w:lang w:val="en-US" w:eastAsia="zh-CN"/>
              </w:rPr>
              <w:t>2、在质保期内，成交供应商应无偿并迅速更换由于配件缺陷及制造工艺或安装不规范等问题而发生故障的产品。</w:t>
            </w:r>
          </w:p>
        </w:tc>
        <w:tc>
          <w:tcPr>
            <w:tcW w:w="2925"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6D6F79E3">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24" w:hRule="atLeast"/>
          <w:jc w:val="center"/>
        </w:trPr>
        <w:tc>
          <w:tcPr>
            <w:tcW w:w="640" w:type="dxa"/>
            <w:vAlign w:val="center"/>
          </w:tcPr>
          <w:p w14:paraId="4D549480">
            <w:pPr>
              <w:adjustRightInd w:val="0"/>
              <w:snapToGrid w:val="0"/>
              <w:spacing w:line="400" w:lineRule="exact"/>
              <w:jc w:val="center"/>
              <w:outlineLvl w:val="0"/>
              <w:rPr>
                <w:rFonts w:ascii="宋体" w:hAnsi="宋体"/>
                <w:color w:val="auto"/>
                <w:szCs w:val="21"/>
              </w:rPr>
            </w:pPr>
            <w:bookmarkStart w:id="16" w:name="_Toc28228"/>
            <w:bookmarkStart w:id="17" w:name="_Toc24401"/>
            <w:r>
              <w:rPr>
                <w:rFonts w:hint="eastAsia" w:ascii="宋体" w:hAnsi="宋体"/>
                <w:color w:val="auto"/>
                <w:szCs w:val="21"/>
              </w:rPr>
              <w:t>5</w:t>
            </w:r>
            <w:bookmarkEnd w:id="16"/>
            <w:bookmarkEnd w:id="17"/>
          </w:p>
        </w:tc>
        <w:tc>
          <w:tcPr>
            <w:tcW w:w="3794" w:type="dxa"/>
            <w:vAlign w:val="center"/>
          </w:tcPr>
          <w:p w14:paraId="55484E61">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五、其他要求：</w:t>
            </w:r>
          </w:p>
          <w:p w14:paraId="3870EE4A">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1、报价必须含以下部分：</w:t>
            </w:r>
          </w:p>
          <w:p w14:paraId="2F0E15A3">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（1）服务价格；</w:t>
            </w:r>
          </w:p>
          <w:p w14:paraId="10C047C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（2）标准配件附件、备品备件、专用工具、包装的价格；</w:t>
            </w:r>
          </w:p>
          <w:p w14:paraId="7B6B09C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（3）安装调试过程中涉及的材料和工具、运输、货到就位、保管、装卸、调试、技术支持、售后服务及安装涉及的配套等费用；</w:t>
            </w:r>
          </w:p>
          <w:p w14:paraId="1FCD15D4">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（4）必要的保险费用和各项税费；</w:t>
            </w:r>
          </w:p>
          <w:p w14:paraId="610D9EBB">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（5）送货上门、安装、调试的费用；</w:t>
            </w:r>
          </w:p>
          <w:p w14:paraId="70777EA7">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（6）施工安装过程中拆除和恢复费用，施工时造成的损失及其它专业造成的破坏进行修补等及其他所有成本及合同包含的应有环保、文明施工、安全施工、风险费、责任等费用；</w:t>
            </w:r>
          </w:p>
          <w:p w14:paraId="0854CAFF">
            <w:pPr>
              <w:widowControl/>
              <w:numPr>
                <w:ilvl w:val="0"/>
                <w:numId w:val="0"/>
              </w:numPr>
              <w:spacing w:line="440" w:lineRule="exact"/>
              <w:jc w:val="left"/>
              <w:textAlignment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2、付款方式：成交供应商维修安装调试完成并经采购人验收合格后一次性支付合同款（付款前中标人需提供等额合规的增值税普通发票）。</w:t>
            </w:r>
          </w:p>
          <w:p w14:paraId="1A972229">
            <w:pPr>
              <w:spacing w:line="276" w:lineRule="auto"/>
              <w:rPr>
                <w:rFonts w:ascii="仿宋" w:hAnsi="仿宋" w:eastAsia="仿宋"/>
                <w:bCs/>
                <w:color w:val="auto"/>
                <w:sz w:val="20"/>
                <w:szCs w:val="20"/>
              </w:rPr>
            </w:pPr>
            <w:r>
              <w:rPr>
                <w:rFonts w:hint="eastAsia" w:ascii="宋体" w:hAnsi="宋体" w:eastAsia="宋体" w:cs="宋体"/>
                <w:color w:val="auto"/>
                <w:lang w:val="en-US" w:eastAsia="zh-CN"/>
              </w:rPr>
              <w:t>3、成交供应商需确保本项目必须满足该设备现行所有相关法律法规及规范标准等。</w:t>
            </w:r>
          </w:p>
        </w:tc>
        <w:tc>
          <w:tcPr>
            <w:tcW w:w="2925"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571" w:type="dxa"/>
            <w:vAlign w:val="center"/>
          </w:tcPr>
          <w:p w14:paraId="0D64C908">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6"/>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6B0868D0">
      <w:pPr>
        <w:pStyle w:val="6"/>
        <w:spacing w:line="400" w:lineRule="exact"/>
        <w:ind w:left="689" w:leftChars="228" w:hanging="210" w:hangingChars="100"/>
        <w:rPr>
          <w:rFonts w:hAnsi="宋体" w:cs="宋体"/>
          <w:color w:val="auto"/>
        </w:rPr>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3EAA5A05">
      <w:pPr>
        <w:pStyle w:val="2"/>
        <w:numPr>
          <w:ilvl w:val="3"/>
          <w:numId w:val="0"/>
        </w:numPr>
      </w:pPr>
    </w:p>
    <w:p w14:paraId="7F80F59B">
      <w:pPr>
        <w:pStyle w:val="6"/>
        <w:spacing w:line="400" w:lineRule="exact"/>
        <w:rPr>
          <w:rFonts w:hAnsi="宋体" w:cs="宋体"/>
          <w:color w:val="auto"/>
        </w:rPr>
      </w:pPr>
      <w:r>
        <w:rPr>
          <w:rFonts w:hint="eastAsia" w:hAnsi="宋体" w:cs="宋体"/>
          <w:color w:val="auto"/>
        </w:rPr>
        <w:t>响应人（盖单位公章）：</w:t>
      </w:r>
    </w:p>
    <w:p w14:paraId="4379BA0A">
      <w:pPr>
        <w:pStyle w:val="6"/>
        <w:spacing w:line="400" w:lineRule="exact"/>
        <w:rPr>
          <w:rFonts w:hAnsi="宋体" w:cs="宋体"/>
          <w:color w:val="auto"/>
        </w:rPr>
      </w:pPr>
      <w:r>
        <w:rPr>
          <w:rFonts w:hint="eastAsia" w:hAnsi="宋体" w:cs="宋体"/>
          <w:color w:val="auto"/>
        </w:rPr>
        <w:t>法定代表人或其委托代理人（签字或盖章）：</w:t>
      </w: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南宁中心血站2024年松下冷链设备全封闭压缩机组维修服务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2C6CE44A">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bookmarkStart w:id="18" w:name="_GoBack"/>
      <w:bookmarkEnd w:id="18"/>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0F7933-1AE7-47A2-949D-E358511FAE37}"/>
  </w:font>
  <w:font w:name="Courier New">
    <w:panose1 w:val="02070309020205020404"/>
    <w:charset w:val="01"/>
    <w:family w:val="modern"/>
    <w:pitch w:val="default"/>
    <w:sig w:usb0="E0002EFF" w:usb1="C0007843" w:usb2="00000009" w:usb3="00000000" w:csb0="400001FF" w:csb1="FFFF0000"/>
    <w:embedRegular r:id="rId2" w:fontKey="{E7F8C303-4AB8-4470-8DA8-8E8E23468B0D}"/>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5C921021-F2F7-46BD-9137-B2859BE15CA3}"/>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252BBE1D-656E-424E-910C-28ED70F13082}"/>
  </w:font>
  <w:font w:name="仿宋_GB2312">
    <w:panose1 w:val="02010609030101010101"/>
    <w:charset w:val="86"/>
    <w:family w:val="modern"/>
    <w:pitch w:val="default"/>
    <w:sig w:usb0="00000001" w:usb1="080E0000" w:usb2="00000000" w:usb3="00000000" w:csb0="00040000" w:csb1="00000000"/>
    <w:embedRegular r:id="rId5" w:fontKey="{8870CE35-25FA-4CAA-AAB3-D2575E6764D8}"/>
  </w:font>
  <w:font w:name="Lucida Sans Unicode">
    <w:panose1 w:val="020B0602030504020204"/>
    <w:charset w:val="00"/>
    <w:family w:val="swiss"/>
    <w:pitch w:val="default"/>
    <w:sig w:usb0="80001AFF" w:usb1="0000396B" w:usb2="00000000" w:usb3="00000000" w:csb0="200000BF" w:csb1="D7F70000"/>
    <w:embedRegular r:id="rId6" w:fontKey="{A4ED2C8B-06BB-4DF5-A6C4-AED5F8FCE389}"/>
  </w:font>
  <w:font w:name="楷体_GB2312">
    <w:panose1 w:val="02010609030101010101"/>
    <w:charset w:val="86"/>
    <w:family w:val="auto"/>
    <w:pitch w:val="default"/>
    <w:sig w:usb0="00000001" w:usb1="080E0000" w:usb2="00000000" w:usb3="00000000" w:csb0="00040000" w:csb1="00000000"/>
    <w:embedRegular r:id="rId7" w:fontKey="{F92AC320-1598-4F6D-8EAF-1655A33C346E}"/>
  </w:font>
  <w:font w:name="仿宋">
    <w:panose1 w:val="02010609060101010101"/>
    <w:charset w:val="86"/>
    <w:family w:val="modern"/>
    <w:pitch w:val="default"/>
    <w:sig w:usb0="800002BF" w:usb1="38CF7CFA" w:usb2="00000016" w:usb3="00000000" w:csb0="00040001" w:csb1="00000000"/>
    <w:embedRegular r:id="rId8" w:fontKey="{66F97A12-F87C-4DC6-BF54-F4DD6AF4F165}"/>
  </w:font>
  <w:font w:name="Wingdings 2">
    <w:panose1 w:val="05020102010507070707"/>
    <w:charset w:val="02"/>
    <w:family w:val="roman"/>
    <w:pitch w:val="default"/>
    <w:sig w:usb0="00000000" w:usb1="00000000" w:usb2="00000000" w:usb3="00000000" w:csb0="80000000" w:csb1="00000000"/>
    <w:embedRegular r:id="rId9" w:fontKey="{3E9BE619-98AD-442D-838D-DD48051A1F80}"/>
  </w:font>
  <w:font w:name="方正公文小标宋">
    <w:panose1 w:val="02000500000000000000"/>
    <w:charset w:val="86"/>
    <w:family w:val="auto"/>
    <w:pitch w:val="default"/>
    <w:sig w:usb0="A00002BF" w:usb1="38CF7CFA" w:usb2="00000016" w:usb3="00000000" w:csb0="00040001" w:csb1="00000000"/>
    <w:embedRegular r:id="rId10" w:fontKey="{23041B4C-ADA1-4C9D-B875-D501F701EAB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04ADA1AC"/>
    <w:multiLevelType w:val="singleLevel"/>
    <w:tmpl w:val="04ADA1AC"/>
    <w:lvl w:ilvl="0" w:tentative="0">
      <w:start w:val="1"/>
      <w:numFmt w:val="chineseCounting"/>
      <w:suff w:val="nothing"/>
      <w:lvlText w:val="%1、"/>
      <w:lvlJc w:val="left"/>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47E37507"/>
    <w:multiLevelType w:val="singleLevel"/>
    <w:tmpl w:val="47E37507"/>
    <w:lvl w:ilvl="0" w:tentative="0">
      <w:start w:val="1"/>
      <w:numFmt w:val="chineseCounting"/>
      <w:suff w:val="nothing"/>
      <w:lvlText w:val="%1、"/>
      <w:lvlJc w:val="left"/>
      <w:rPr>
        <w:rFonts w:hint="eastAsia"/>
      </w:rPr>
    </w:lvl>
  </w:abstractNum>
  <w:abstractNum w:abstractNumId="4">
    <w:nsid w:val="6117E795"/>
    <w:multiLevelType w:val="singleLevel"/>
    <w:tmpl w:val="6117E795"/>
    <w:lvl w:ilvl="0" w:tentative="0">
      <w:start w:val="9"/>
      <w:numFmt w:val="decimal"/>
      <w:suff w:val="space"/>
      <w:lvlText w:val="%1."/>
      <w:lvlJc w:val="left"/>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18B433A"/>
    <w:rsid w:val="02D74B40"/>
    <w:rsid w:val="031B2C7F"/>
    <w:rsid w:val="0350496E"/>
    <w:rsid w:val="03670C57"/>
    <w:rsid w:val="046C750A"/>
    <w:rsid w:val="04B3362F"/>
    <w:rsid w:val="08517143"/>
    <w:rsid w:val="0B656E1E"/>
    <w:rsid w:val="0C0A5403"/>
    <w:rsid w:val="0C145497"/>
    <w:rsid w:val="12C67FE1"/>
    <w:rsid w:val="146656FC"/>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2A486E"/>
    <w:rsid w:val="24C95406"/>
    <w:rsid w:val="25030284"/>
    <w:rsid w:val="2A3A75DF"/>
    <w:rsid w:val="2BAB4636"/>
    <w:rsid w:val="2BF57C61"/>
    <w:rsid w:val="2CED0939"/>
    <w:rsid w:val="2E620CC5"/>
    <w:rsid w:val="2F4A332F"/>
    <w:rsid w:val="34806536"/>
    <w:rsid w:val="35234768"/>
    <w:rsid w:val="35AD02FE"/>
    <w:rsid w:val="36323860"/>
    <w:rsid w:val="380D6333"/>
    <w:rsid w:val="38575800"/>
    <w:rsid w:val="388C54AA"/>
    <w:rsid w:val="38DD5D05"/>
    <w:rsid w:val="38E946AA"/>
    <w:rsid w:val="39254A49"/>
    <w:rsid w:val="3A155D47"/>
    <w:rsid w:val="3A8F2B67"/>
    <w:rsid w:val="3B33209E"/>
    <w:rsid w:val="3EC14DCA"/>
    <w:rsid w:val="3EDF7B5A"/>
    <w:rsid w:val="3F794BDA"/>
    <w:rsid w:val="4069643F"/>
    <w:rsid w:val="41717D14"/>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714A29"/>
    <w:rsid w:val="55731FB9"/>
    <w:rsid w:val="5745560C"/>
    <w:rsid w:val="57671164"/>
    <w:rsid w:val="59401951"/>
    <w:rsid w:val="5B2D3245"/>
    <w:rsid w:val="5DFB7A90"/>
    <w:rsid w:val="60884935"/>
    <w:rsid w:val="6156290E"/>
    <w:rsid w:val="61F52ED8"/>
    <w:rsid w:val="63267838"/>
    <w:rsid w:val="63F44E97"/>
    <w:rsid w:val="65455B54"/>
    <w:rsid w:val="657A5551"/>
    <w:rsid w:val="667523D3"/>
    <w:rsid w:val="66F31915"/>
    <w:rsid w:val="674A2C89"/>
    <w:rsid w:val="6AC63F9C"/>
    <w:rsid w:val="703B4AE4"/>
    <w:rsid w:val="718A5132"/>
    <w:rsid w:val="71C86016"/>
    <w:rsid w:val="726C367A"/>
    <w:rsid w:val="732B5B1E"/>
    <w:rsid w:val="745C607B"/>
    <w:rsid w:val="74834C0C"/>
    <w:rsid w:val="75CC2D87"/>
    <w:rsid w:val="7877401B"/>
    <w:rsid w:val="78CC1807"/>
    <w:rsid w:val="792579EC"/>
    <w:rsid w:val="79993D0B"/>
    <w:rsid w:val="7AAD6DF1"/>
    <w:rsid w:val="7B5E622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qFormat/>
    <w:uiPriority w:val="0"/>
    <w:pPr>
      <w:jc w:val="left"/>
    </w:pPr>
    <w:rPr>
      <w:rFonts w:ascii="Calibri" w:hAnsi="Calibri" w:eastAsia="宋体" w:cs="Times New Roman"/>
    </w:rPr>
  </w:style>
  <w:style w:type="paragraph" w:styleId="4">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2"/>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4"/>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4"/>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3"/>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2"/>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24</Pages>
  <Words>9324</Words>
  <Characters>9823</Characters>
  <Lines>39</Lines>
  <Paragraphs>11</Paragraphs>
  <TotalTime>1</TotalTime>
  <ScaleCrop>false</ScaleCrop>
  <LinksUpToDate>false</LinksUpToDate>
  <CharactersWithSpaces>11178</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2024-10-15T03:40:03Z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DBAAD00E7FFC4A1DA3C59792FBC1CCF8_13</vt:lpwstr>
  </property>
</Properties>
</file>