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项目名称：南宁中心血站2024年无偿献血宣传设计服务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项目编号：NNBCFW20240</w:t>
      </w:r>
      <w:r>
        <w:rPr>
          <w:rFonts w:hint="eastAsia" w:ascii="仿宋_GB2312" w:hAnsi="Courier New" w:eastAsia="仿宋_GB2312" w:cs="Courier New"/>
          <w:b/>
          <w:bCs/>
          <w:color w:val="000000"/>
          <w:kern w:val="0"/>
          <w:sz w:val="32"/>
          <w:szCs w:val="32"/>
          <w:lang w:val="en-US" w:eastAsia="zh-CN"/>
        </w:rPr>
        <w:t>24</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15</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南宁中心血站2024年无偿献血宣传设计服务采购公告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南宁中心血站按照采购计划，对南宁中心血站2024年无偿献血宣传设计服务进行采购，现就该项目邀请具有资质的单位进行响应，采购信息如下：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项目编号：NNBCFW2024024</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项目名称：南宁中心血站2024年无偿献血宣传设计服务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柒万元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70</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柒万元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70</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E1F83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highlight w:val="none"/>
          <w:lang w:val="zh-TW" w:eastAsia="zh-TW"/>
        </w:rPr>
        <w:t>采购需求一览表中要求提供的类似设计服务项目的案例及证明</w:t>
      </w:r>
      <w:r>
        <w:rPr>
          <w:rFonts w:hint="eastAsia" w:ascii="仿宋_GB2312" w:hAnsi="Courier New" w:eastAsia="仿宋_GB2312" w:cs="Courier New"/>
          <w:color w:val="000000"/>
          <w:kern w:val="0"/>
          <w:sz w:val="32"/>
          <w:szCs w:val="32"/>
          <w:lang w:val="en-US" w:eastAsia="zh-CN"/>
        </w:rPr>
        <w:t>；</w:t>
      </w:r>
    </w:p>
    <w:p w14:paraId="7A5587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（十一）提供相关设计大赛奖项证明或设计类资质（如有请提供）</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67CA0416">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资格文件外包封封面需留有以下信息：</w:t>
      </w:r>
    </w:p>
    <w:p w14:paraId="65EE0A25">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1D2131D1">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18</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秦海娜</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15</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17D05D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8FE1ADA">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2A2662">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13290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09A6DC29">
      <w:pPr>
        <w:rPr>
          <w:rFonts w:hint="eastAsia" w:ascii="仿宋" w:hAnsi="仿宋" w:eastAsia="仿宋"/>
          <w:color w:val="auto"/>
          <w:sz w:val="30"/>
          <w:szCs w:val="30"/>
        </w:rPr>
      </w:pP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4"/>
        <w:jc w:val="center"/>
        <w:rPr>
          <w:rFonts w:hint="eastAsia" w:hAnsi="宋体" w:cs="宋体"/>
          <w:b/>
          <w:sz w:val="36"/>
        </w:rPr>
      </w:pPr>
      <w:r>
        <w:rPr>
          <w:rFonts w:hint="eastAsia" w:hAnsi="宋体" w:cs="宋体"/>
          <w:b/>
          <w:sz w:val="36"/>
        </w:rPr>
        <w:t>采购需求一览表</w:t>
      </w:r>
    </w:p>
    <w:p w14:paraId="7960E306">
      <w:pPr>
        <w:pStyle w:val="6"/>
        <w:spacing w:line="440" w:lineRule="exact"/>
        <w:ind w:firstLine="422" w:firstLineChars="200"/>
        <w:rPr>
          <w:rFonts w:hint="eastAsia" w:hAnsi="宋体" w:cs="宋体"/>
          <w:b/>
          <w:sz w:val="36"/>
        </w:rPr>
      </w:pPr>
      <w:r>
        <w:rPr>
          <w:rFonts w:hint="eastAsia" w:asciiTheme="minorEastAsia" w:hAnsiTheme="minorEastAsia"/>
          <w:b/>
          <w:bCs/>
          <w:color w:val="auto"/>
          <w:szCs w:val="21"/>
        </w:rPr>
        <w:t>本采购需求一览表中标注★号的内容为实质性要求和条件，供应商必须满足，不满足或负偏离视为无效响应。</w:t>
      </w:r>
    </w:p>
    <w:tbl>
      <w:tblPr>
        <w:tblStyle w:val="14"/>
        <w:tblW w:w="573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14"/>
        <w:gridCol w:w="514"/>
        <w:gridCol w:w="8437"/>
        <w:gridCol w:w="817"/>
      </w:tblGrid>
      <w:tr w14:paraId="5F2CC6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250"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CDE63D3">
            <w:pPr>
              <w:jc w:val="center"/>
              <w:rPr>
                <w:rFonts w:ascii="宋体" w:hAnsi="宋体"/>
                <w:b/>
                <w:szCs w:val="21"/>
              </w:rPr>
            </w:pPr>
            <w:r>
              <w:rPr>
                <w:rFonts w:hint="eastAsia" w:ascii="宋体" w:hAnsi="宋体"/>
                <w:b/>
                <w:szCs w:val="21"/>
              </w:rPr>
              <w:t>服务名称</w:t>
            </w:r>
          </w:p>
        </w:tc>
        <w:tc>
          <w:tcPr>
            <w:tcW w:w="250" w:type="pct"/>
            <w:tcBorders>
              <w:top w:val="single" w:color="auto" w:sz="4" w:space="0"/>
              <w:left w:val="single" w:color="auto" w:sz="4" w:space="0"/>
              <w:bottom w:val="single" w:color="auto" w:sz="4" w:space="0"/>
              <w:right w:val="single" w:color="auto" w:sz="4" w:space="0"/>
            </w:tcBorders>
            <w:vAlign w:val="center"/>
          </w:tcPr>
          <w:p w14:paraId="2F6551FE">
            <w:pPr>
              <w:jc w:val="center"/>
              <w:rPr>
                <w:rFonts w:ascii="宋体" w:hAnsi="宋体"/>
                <w:b/>
                <w:szCs w:val="21"/>
              </w:rPr>
            </w:pPr>
            <w:r>
              <w:rPr>
                <w:rFonts w:hint="eastAsia" w:ascii="宋体" w:hAnsi="宋体"/>
                <w:b/>
                <w:szCs w:val="21"/>
              </w:rPr>
              <w:t>数量</w:t>
            </w:r>
          </w:p>
        </w:tc>
        <w:tc>
          <w:tcPr>
            <w:tcW w:w="4102" w:type="pct"/>
            <w:tcBorders>
              <w:top w:val="single" w:color="auto" w:sz="4" w:space="0"/>
              <w:left w:val="single" w:color="auto" w:sz="4" w:space="0"/>
              <w:bottom w:val="single" w:color="auto" w:sz="4" w:space="0"/>
              <w:right w:val="single" w:color="auto" w:sz="4" w:space="0"/>
            </w:tcBorders>
            <w:vAlign w:val="center"/>
          </w:tcPr>
          <w:p w14:paraId="621E1F56">
            <w:pPr>
              <w:jc w:val="center"/>
              <w:rPr>
                <w:rFonts w:ascii="宋体" w:hAnsi="宋体"/>
                <w:b/>
                <w:szCs w:val="21"/>
              </w:rPr>
            </w:pPr>
            <w:r>
              <w:rPr>
                <w:rFonts w:hint="eastAsia" w:ascii="宋体" w:hAnsi="宋体"/>
                <w:b/>
                <w:szCs w:val="21"/>
              </w:rPr>
              <w:t>服务项目的具体内容和要求</w:t>
            </w:r>
          </w:p>
        </w:tc>
        <w:tc>
          <w:tcPr>
            <w:tcW w:w="397" w:type="pct"/>
            <w:tcBorders>
              <w:top w:val="single" w:color="auto" w:sz="4" w:space="0"/>
              <w:left w:val="single" w:color="auto" w:sz="4" w:space="0"/>
              <w:bottom w:val="single" w:color="auto" w:sz="4" w:space="0"/>
              <w:right w:val="single" w:color="auto" w:sz="4" w:space="0"/>
            </w:tcBorders>
            <w:vAlign w:val="center"/>
          </w:tcPr>
          <w:p w14:paraId="186D26EF">
            <w:pPr>
              <w:jc w:val="center"/>
              <w:rPr>
                <w:rFonts w:ascii="宋体" w:hAnsi="宋体"/>
                <w:b/>
                <w:szCs w:val="21"/>
              </w:rPr>
            </w:pPr>
            <w:r>
              <w:rPr>
                <w:rFonts w:hint="eastAsia" w:ascii="宋体" w:hAnsi="宋体"/>
                <w:b/>
                <w:szCs w:val="21"/>
              </w:rPr>
              <w:t>预算单价</w:t>
            </w:r>
          </w:p>
        </w:tc>
      </w:tr>
      <w:tr w14:paraId="51B30C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66" w:hRule="atLeast"/>
          <w:jc w:val="center"/>
        </w:trPr>
        <w:tc>
          <w:tcPr>
            <w:tcW w:w="250"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699529D">
            <w:pPr>
              <w:jc w:val="center"/>
              <w:rPr>
                <w:rFonts w:hint="default" w:ascii="宋体" w:hAnsi="宋体" w:eastAsia="宋体"/>
                <w:szCs w:val="21"/>
                <w:lang w:val="en-US" w:eastAsia="zh-CN"/>
              </w:rPr>
            </w:pPr>
            <w:r>
              <w:rPr>
                <w:rFonts w:hint="eastAsia"/>
                <w:szCs w:val="21"/>
                <w:lang w:val="en-US" w:eastAsia="zh-CN"/>
              </w:rPr>
              <w:t>南宁中心血站2024年无偿献血宣传设计服务</w:t>
            </w:r>
          </w:p>
        </w:tc>
        <w:tc>
          <w:tcPr>
            <w:tcW w:w="250" w:type="pct"/>
            <w:tcBorders>
              <w:top w:val="single" w:color="auto" w:sz="4" w:space="0"/>
              <w:left w:val="single" w:color="auto" w:sz="4" w:space="0"/>
              <w:bottom w:val="single" w:color="auto" w:sz="4" w:space="0"/>
              <w:right w:val="single" w:color="auto" w:sz="4" w:space="0"/>
            </w:tcBorders>
            <w:vAlign w:val="center"/>
          </w:tcPr>
          <w:p w14:paraId="75BE41C6">
            <w:pPr>
              <w:jc w:val="center"/>
              <w:rPr>
                <w:rFonts w:ascii="宋体" w:hAnsi="宋体"/>
                <w:szCs w:val="21"/>
              </w:rPr>
            </w:pPr>
            <w:r>
              <w:rPr>
                <w:rFonts w:hint="eastAsia" w:ascii="宋体" w:hAnsi="宋体"/>
                <w:szCs w:val="21"/>
              </w:rPr>
              <w:t>1项</w:t>
            </w:r>
          </w:p>
        </w:tc>
        <w:tc>
          <w:tcPr>
            <w:tcW w:w="4102" w:type="pct"/>
            <w:tcBorders>
              <w:top w:val="single" w:color="auto" w:sz="4" w:space="0"/>
              <w:left w:val="single" w:color="auto" w:sz="4" w:space="0"/>
              <w:bottom w:val="single" w:color="auto" w:sz="4" w:space="0"/>
              <w:right w:val="single" w:color="auto" w:sz="4" w:space="0"/>
            </w:tcBorders>
            <w:vAlign w:val="center"/>
          </w:tcPr>
          <w:p w14:paraId="53F71D82">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b/>
                <w:bCs/>
                <w:szCs w:val="21"/>
                <w:lang w:val="en-US" w:eastAsia="zh-CN"/>
              </w:rPr>
            </w:pPr>
            <w:r>
              <w:rPr>
                <w:rFonts w:hint="eastAsia"/>
                <w:b/>
                <w:bCs/>
                <w:szCs w:val="21"/>
                <w:lang w:val="en-US" w:eastAsia="zh-CN"/>
              </w:rPr>
              <w:t>一、项目概况</w:t>
            </w:r>
          </w:p>
          <w:p w14:paraId="160CAB3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南宁献血”IP形象“邕小献”自推出以来，受到了广大献血者的喜爱，为更好地深化“南宁献血”品牌形象，确保无偿献血宣传效果，进一步扩大无偿献血宣传，拟采购无偿献血宣传设计服务，包括邕小献延伸形象设计及版权注册、宣传手册设计服务、平面设计服务等，统一宣传风格，形成品牌效应，更好服务于无偿献血宣传招募，促进无偿献血健康长效发展。保障无偿献血宣传时效和质量。</w:t>
            </w:r>
          </w:p>
          <w:p w14:paraId="0B4C9D4C">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b/>
                <w:bCs/>
                <w:szCs w:val="21"/>
                <w:lang w:val="en-US" w:eastAsia="zh-CN"/>
              </w:rPr>
            </w:pPr>
            <w:r>
              <w:rPr>
                <w:rFonts w:hint="eastAsia" w:asciiTheme="minorEastAsia" w:hAnsiTheme="minorEastAsia"/>
                <w:b/>
                <w:bCs/>
                <w:color w:val="auto"/>
                <w:szCs w:val="21"/>
              </w:rPr>
              <w:t>★</w:t>
            </w:r>
            <w:r>
              <w:rPr>
                <w:rFonts w:hint="eastAsia"/>
                <w:b/>
                <w:bCs/>
                <w:szCs w:val="21"/>
                <w:lang w:val="en-US" w:eastAsia="zh-CN"/>
              </w:rPr>
              <w:t>二、服务要求</w:t>
            </w:r>
          </w:p>
          <w:p w14:paraId="72253855">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szCs w:val="21"/>
                <w:lang w:val="en-US" w:eastAsia="zh-CN"/>
              </w:rPr>
            </w:pPr>
            <w:r>
              <w:rPr>
                <w:rFonts w:hint="eastAsia"/>
                <w:szCs w:val="21"/>
                <w:lang w:val="en-US" w:eastAsia="zh-CN"/>
              </w:rPr>
              <w:t>（一）邕小献延伸形象设计及版权注册，10款形象。根据采购人提出的需求，结合职业、服饰、动作、表情等进行设计，要求保持“邕小献”IP形象比例还原度，与采购人讨论确定设计方向后，30个工作日内提交设计初稿，根据采购人的意见修改完善至审核通过。10款邕小献延伸形象设计版权归南宁中心血站，并由成交供应商为采购人办理版权注册服。</w:t>
            </w:r>
          </w:p>
          <w:p w14:paraId="09BA97C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二）宣传手册设计，1项。用于宣传手册制作印刷，包含封面及封底设计，内容彩色排版设计，不少于8幅插画设计，充分融入南宁献血、邕小献、logo、无偿献血等相关元素。根据采购人提出需求10个工作日内提出设计初稿，并根据采购人的意见修改完善至审核通过。</w:t>
            </w:r>
          </w:p>
          <w:p w14:paraId="5AA172F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b w:val="0"/>
                <w:bCs w:val="0"/>
                <w:color w:val="auto"/>
                <w:szCs w:val="21"/>
                <w:lang w:val="en-US" w:eastAsia="zh-CN"/>
              </w:rPr>
            </w:pPr>
            <w:r>
              <w:rPr>
                <w:rFonts w:hint="eastAsia" w:asciiTheme="minorEastAsia" w:hAnsiTheme="minorEastAsia"/>
                <w:b w:val="0"/>
                <w:bCs w:val="0"/>
                <w:color w:val="auto"/>
                <w:szCs w:val="21"/>
                <w:lang w:val="en-US" w:eastAsia="zh-CN"/>
              </w:rPr>
              <w:t>（三）平面设计，10次。主要用于海报、物料等制作宣传，设计一个主kv画面为一次服务，可</w:t>
            </w:r>
            <w:r>
              <w:rPr>
                <w:rFonts w:hint="eastAsia" w:asciiTheme="minorEastAsia" w:hAnsiTheme="minorEastAsia"/>
                <w:b w:val="0"/>
                <w:bCs w:val="0"/>
                <w:color w:val="auto"/>
                <w:szCs w:val="21"/>
              </w:rPr>
              <w:t>根据采购人</w:t>
            </w:r>
            <w:r>
              <w:rPr>
                <w:rFonts w:hint="eastAsia" w:asciiTheme="minorEastAsia" w:hAnsiTheme="minorEastAsia"/>
                <w:b w:val="0"/>
                <w:bCs w:val="0"/>
                <w:color w:val="auto"/>
                <w:szCs w:val="21"/>
                <w:lang w:val="en-US" w:eastAsia="zh-CN"/>
              </w:rPr>
              <w:t>需求调整尺寸、分辨率和微调内容。</w:t>
            </w:r>
            <w:r>
              <w:rPr>
                <w:rFonts w:hint="eastAsia" w:asciiTheme="minorEastAsia" w:hAnsiTheme="minorEastAsia"/>
                <w:b w:val="0"/>
                <w:bCs w:val="0"/>
                <w:color w:val="auto"/>
                <w:szCs w:val="21"/>
              </w:rPr>
              <w:t>采购人</w:t>
            </w:r>
            <w:r>
              <w:rPr>
                <w:rFonts w:hint="eastAsia" w:asciiTheme="minorEastAsia" w:hAnsiTheme="minorEastAsia"/>
                <w:b w:val="0"/>
                <w:bCs w:val="0"/>
                <w:color w:val="auto"/>
                <w:szCs w:val="21"/>
                <w:lang w:val="en-US" w:eastAsia="zh-CN"/>
              </w:rPr>
              <w:t>提出</w:t>
            </w:r>
            <w:r>
              <w:rPr>
                <w:rFonts w:hint="eastAsia" w:asciiTheme="minorEastAsia" w:hAnsiTheme="minorEastAsia"/>
                <w:b w:val="0"/>
                <w:bCs w:val="0"/>
                <w:color w:val="auto"/>
                <w:szCs w:val="21"/>
              </w:rPr>
              <w:t>设计</w:t>
            </w:r>
            <w:r>
              <w:rPr>
                <w:rFonts w:hint="eastAsia" w:asciiTheme="minorEastAsia" w:hAnsiTheme="minorEastAsia"/>
                <w:b w:val="0"/>
                <w:bCs w:val="0"/>
                <w:color w:val="auto"/>
                <w:szCs w:val="21"/>
                <w:lang w:val="en-US" w:eastAsia="zh-CN"/>
              </w:rPr>
              <w:t>需求后，服务方5个工作日内提交初稿，并根据采购人的意见修改完善至审核通过</w:t>
            </w:r>
            <w:r>
              <w:rPr>
                <w:rFonts w:hint="eastAsia" w:asciiTheme="minorEastAsia" w:hAnsiTheme="minorEastAsia"/>
                <w:b w:val="0"/>
                <w:bCs w:val="0"/>
                <w:color w:val="auto"/>
                <w:szCs w:val="21"/>
              </w:rPr>
              <w:t>。</w:t>
            </w:r>
          </w:p>
          <w:p w14:paraId="5E44C809">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default"/>
                <w:b/>
                <w:bCs/>
                <w:szCs w:val="21"/>
                <w:lang w:val="en-US" w:eastAsia="zh-CN"/>
              </w:rPr>
            </w:pPr>
            <w:r>
              <w:rPr>
                <w:rFonts w:hint="eastAsia" w:asciiTheme="minorEastAsia" w:hAnsiTheme="minorEastAsia"/>
                <w:b/>
                <w:bCs/>
                <w:color w:val="auto"/>
                <w:szCs w:val="21"/>
              </w:rPr>
              <w:t>★</w:t>
            </w:r>
            <w:r>
              <w:rPr>
                <w:rFonts w:hint="eastAsia"/>
                <w:b/>
                <w:bCs/>
                <w:szCs w:val="21"/>
                <w:lang w:val="en-US" w:eastAsia="zh-CN"/>
              </w:rPr>
              <w:t>三、团队要求</w:t>
            </w:r>
          </w:p>
          <w:p w14:paraId="7DEA443A">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投标人必须具备专业的平面设计、漫画手绘原创等业务能力的服务团队，须为美术设计相关专业或具备1年以上相关工作经验，具备原创漫画手绘能力，须提供团队人员近三个月社保证明并加盖公章。</w:t>
            </w:r>
          </w:p>
          <w:p w14:paraId="7F29AA2D">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b/>
                <w:bCs/>
                <w:szCs w:val="21"/>
                <w:lang w:val="en-US" w:eastAsia="zh-CN"/>
              </w:rPr>
            </w:pPr>
            <w:r>
              <w:rPr>
                <w:rFonts w:hint="eastAsia"/>
                <w:b/>
                <w:bCs/>
                <w:szCs w:val="21"/>
                <w:lang w:val="en-US" w:eastAsia="zh-CN"/>
              </w:rPr>
              <w:t>四、其他要求</w:t>
            </w:r>
          </w:p>
          <w:p w14:paraId="6E7BFCAD">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default"/>
                <w:szCs w:val="21"/>
                <w:lang w:val="en-US" w:eastAsia="zh-CN"/>
              </w:rPr>
            </w:pPr>
            <w:r>
              <w:rPr>
                <w:rFonts w:hint="eastAsia" w:asciiTheme="minorEastAsia" w:hAnsiTheme="minorEastAsia"/>
                <w:b/>
                <w:bCs/>
                <w:color w:val="auto"/>
                <w:szCs w:val="21"/>
              </w:rPr>
              <w:t>★</w:t>
            </w:r>
            <w:r>
              <w:rPr>
                <w:rFonts w:hint="eastAsia"/>
                <w:szCs w:val="21"/>
                <w:lang w:val="en-US" w:eastAsia="zh-CN"/>
              </w:rPr>
              <w:t>（一）</w:t>
            </w:r>
            <w:r>
              <w:rPr>
                <w:rFonts w:hint="default"/>
                <w:szCs w:val="21"/>
                <w:lang w:val="en-US" w:eastAsia="zh-CN"/>
              </w:rPr>
              <w:t>提供20</w:t>
            </w:r>
            <w:r>
              <w:rPr>
                <w:rFonts w:hint="eastAsia"/>
                <w:szCs w:val="21"/>
                <w:lang w:val="en-US" w:eastAsia="zh-CN"/>
              </w:rPr>
              <w:t>22</w:t>
            </w:r>
            <w:r>
              <w:rPr>
                <w:rFonts w:hint="default"/>
                <w:szCs w:val="21"/>
                <w:lang w:val="en-US" w:eastAsia="zh-CN"/>
              </w:rPr>
              <w:t>年</w:t>
            </w:r>
            <w:r>
              <w:rPr>
                <w:rFonts w:hint="eastAsia"/>
                <w:szCs w:val="21"/>
                <w:lang w:val="en-US" w:eastAsia="zh-CN"/>
              </w:rPr>
              <w:t>1</w:t>
            </w:r>
            <w:r>
              <w:rPr>
                <w:rFonts w:hint="default"/>
                <w:szCs w:val="21"/>
                <w:lang w:val="en-US" w:eastAsia="zh-CN"/>
              </w:rPr>
              <w:t>月至今不少于2个类似设计服务项目的案例</w:t>
            </w:r>
            <w:r>
              <w:rPr>
                <w:rFonts w:hint="eastAsia"/>
                <w:szCs w:val="21"/>
                <w:lang w:val="en-US" w:eastAsia="zh-CN"/>
              </w:rPr>
              <w:t>及证明，至少含1个手绘项目案例</w:t>
            </w:r>
            <w:r>
              <w:rPr>
                <w:rFonts w:hint="default"/>
                <w:szCs w:val="21"/>
                <w:lang w:val="en-US" w:eastAsia="zh-CN"/>
              </w:rPr>
              <w:t>。</w:t>
            </w:r>
          </w:p>
          <w:p w14:paraId="72401FE5">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ascii="宋体" w:hAnsi="宋体"/>
                <w:szCs w:val="21"/>
              </w:rPr>
            </w:pPr>
            <w:r>
              <w:rPr>
                <w:rFonts w:hint="eastAsia"/>
                <w:szCs w:val="21"/>
                <w:lang w:val="en-US" w:eastAsia="zh-CN"/>
              </w:rPr>
              <w:t>（二）如有请</w:t>
            </w:r>
            <w:r>
              <w:rPr>
                <w:rFonts w:hint="default"/>
                <w:szCs w:val="21"/>
                <w:lang w:val="en-US" w:eastAsia="zh-CN"/>
              </w:rPr>
              <w:t>提供相关</w:t>
            </w:r>
            <w:r>
              <w:rPr>
                <w:rFonts w:hint="eastAsia"/>
                <w:szCs w:val="21"/>
                <w:lang w:val="en-US" w:eastAsia="zh-CN"/>
              </w:rPr>
              <w:t>设计</w:t>
            </w:r>
            <w:r>
              <w:rPr>
                <w:rFonts w:hint="default"/>
                <w:szCs w:val="21"/>
                <w:lang w:val="en-US" w:eastAsia="zh-CN"/>
              </w:rPr>
              <w:t>大赛奖项</w:t>
            </w:r>
            <w:r>
              <w:rPr>
                <w:rFonts w:hint="eastAsia"/>
                <w:szCs w:val="21"/>
                <w:lang w:val="en-US" w:eastAsia="zh-CN"/>
              </w:rPr>
              <w:t>证明或</w:t>
            </w:r>
            <w:r>
              <w:rPr>
                <w:rFonts w:hint="default"/>
                <w:szCs w:val="21"/>
                <w:lang w:val="en-US" w:eastAsia="zh-CN"/>
              </w:rPr>
              <w:t>设计类资质。</w:t>
            </w:r>
          </w:p>
        </w:tc>
        <w:tc>
          <w:tcPr>
            <w:tcW w:w="397" w:type="pct"/>
            <w:tcBorders>
              <w:top w:val="single" w:color="auto" w:sz="4" w:space="0"/>
              <w:left w:val="single" w:color="auto" w:sz="4" w:space="0"/>
              <w:bottom w:val="single" w:color="auto" w:sz="4" w:space="0"/>
              <w:right w:val="single" w:color="auto" w:sz="4" w:space="0"/>
            </w:tcBorders>
          </w:tcPr>
          <w:p w14:paraId="10DB32AF">
            <w:pPr>
              <w:pStyle w:val="4"/>
              <w:keepNext w:val="0"/>
              <w:keepLines w:val="0"/>
              <w:pageBreakBefore w:val="0"/>
              <w:widowControl w:val="0"/>
              <w:numPr>
                <w:ilvl w:val="0"/>
                <w:numId w:val="0"/>
              </w:numPr>
              <w:kinsoku/>
              <w:wordWrap/>
              <w:overflowPunct/>
              <w:topLinePunct w:val="0"/>
              <w:autoSpaceDE/>
              <w:autoSpaceDN/>
              <w:bidi w:val="0"/>
              <w:adjustRightInd/>
              <w:snapToGrid/>
              <w:spacing w:after="0"/>
              <w:ind w:firstLine="480" w:firstLineChars="200"/>
              <w:jc w:val="both"/>
              <w:textAlignment w:val="auto"/>
              <w:rPr>
                <w:rFonts w:hint="eastAsia" w:ascii="宋体" w:hAnsi="宋体"/>
                <w:szCs w:val="21"/>
                <w:lang w:val="en-US" w:eastAsia="zh-CN"/>
              </w:rPr>
            </w:pPr>
            <w:r>
              <w:rPr>
                <w:rFonts w:hint="eastAsia" w:ascii="宋体" w:hAnsi="宋体"/>
                <w:szCs w:val="21"/>
                <w:lang w:val="en-US" w:eastAsia="zh-CN"/>
              </w:rPr>
              <w:t xml:space="preserve"> </w:t>
            </w:r>
          </w:p>
          <w:p w14:paraId="1AE86B9C">
            <w:pPr>
              <w:pStyle w:val="4"/>
              <w:keepNext w:val="0"/>
              <w:keepLines w:val="0"/>
              <w:pageBreakBefore w:val="0"/>
              <w:widowControl w:val="0"/>
              <w:numPr>
                <w:ilvl w:val="0"/>
                <w:numId w:val="0"/>
              </w:numPr>
              <w:kinsoku/>
              <w:wordWrap/>
              <w:overflowPunct/>
              <w:topLinePunct w:val="0"/>
              <w:autoSpaceDE/>
              <w:autoSpaceDN/>
              <w:bidi w:val="0"/>
              <w:adjustRightInd/>
              <w:snapToGrid/>
              <w:spacing w:after="0"/>
              <w:ind w:firstLine="480" w:firstLineChars="200"/>
              <w:jc w:val="both"/>
              <w:textAlignment w:val="auto"/>
              <w:rPr>
                <w:rFonts w:hint="eastAsia" w:ascii="宋体" w:hAnsi="宋体"/>
                <w:szCs w:val="21"/>
                <w:lang w:val="en-US" w:eastAsia="zh-CN"/>
              </w:rPr>
            </w:pPr>
          </w:p>
          <w:p w14:paraId="10414F67">
            <w:pPr>
              <w:pStyle w:val="4"/>
              <w:keepNext w:val="0"/>
              <w:keepLines w:val="0"/>
              <w:pageBreakBefore w:val="0"/>
              <w:widowControl w:val="0"/>
              <w:numPr>
                <w:ilvl w:val="0"/>
                <w:numId w:val="0"/>
              </w:numPr>
              <w:kinsoku/>
              <w:wordWrap/>
              <w:overflowPunct/>
              <w:topLinePunct w:val="0"/>
              <w:autoSpaceDE/>
              <w:autoSpaceDN/>
              <w:bidi w:val="0"/>
              <w:adjustRightInd/>
              <w:snapToGrid/>
              <w:spacing w:after="0"/>
              <w:ind w:firstLine="480" w:firstLineChars="200"/>
              <w:jc w:val="both"/>
              <w:textAlignment w:val="auto"/>
              <w:rPr>
                <w:rFonts w:hint="eastAsia" w:ascii="宋体" w:hAnsi="宋体"/>
                <w:szCs w:val="21"/>
                <w:lang w:val="en-US" w:eastAsia="zh-CN"/>
              </w:rPr>
            </w:pPr>
          </w:p>
          <w:p w14:paraId="6A6085C7">
            <w:pPr>
              <w:pStyle w:val="4"/>
              <w:keepNext w:val="0"/>
              <w:keepLines w:val="0"/>
              <w:pageBreakBefore w:val="0"/>
              <w:widowControl w:val="0"/>
              <w:numPr>
                <w:ilvl w:val="0"/>
                <w:numId w:val="0"/>
              </w:numPr>
              <w:kinsoku/>
              <w:wordWrap/>
              <w:overflowPunct/>
              <w:topLinePunct w:val="0"/>
              <w:autoSpaceDE/>
              <w:autoSpaceDN/>
              <w:bidi w:val="0"/>
              <w:adjustRightInd/>
              <w:snapToGrid/>
              <w:spacing w:after="0"/>
              <w:ind w:firstLine="480" w:firstLineChars="200"/>
              <w:jc w:val="both"/>
              <w:textAlignment w:val="auto"/>
              <w:rPr>
                <w:rFonts w:hint="eastAsia" w:ascii="宋体" w:hAnsi="宋体"/>
                <w:szCs w:val="21"/>
                <w:lang w:val="en-US" w:eastAsia="zh-CN"/>
              </w:rPr>
            </w:pPr>
          </w:p>
          <w:p w14:paraId="381DF36D">
            <w:pPr>
              <w:pStyle w:val="4"/>
              <w:keepNext w:val="0"/>
              <w:keepLines w:val="0"/>
              <w:pageBreakBefore w:val="0"/>
              <w:widowControl w:val="0"/>
              <w:numPr>
                <w:ilvl w:val="0"/>
                <w:numId w:val="0"/>
              </w:numPr>
              <w:kinsoku/>
              <w:wordWrap/>
              <w:overflowPunct/>
              <w:topLinePunct w:val="0"/>
              <w:autoSpaceDE/>
              <w:autoSpaceDN/>
              <w:bidi w:val="0"/>
              <w:adjustRightInd/>
              <w:snapToGrid/>
              <w:spacing w:after="0"/>
              <w:ind w:firstLine="480" w:firstLineChars="200"/>
              <w:jc w:val="both"/>
              <w:textAlignment w:val="auto"/>
              <w:rPr>
                <w:rFonts w:hint="eastAsia" w:ascii="宋体" w:hAnsi="宋体"/>
                <w:szCs w:val="21"/>
                <w:lang w:val="en-US" w:eastAsia="zh-CN"/>
              </w:rPr>
            </w:pPr>
          </w:p>
          <w:p w14:paraId="363330E9">
            <w:pPr>
              <w:pStyle w:val="4"/>
              <w:keepNext w:val="0"/>
              <w:keepLines w:val="0"/>
              <w:pageBreakBefore w:val="0"/>
              <w:widowControl w:val="0"/>
              <w:numPr>
                <w:ilvl w:val="0"/>
                <w:numId w:val="0"/>
              </w:numPr>
              <w:kinsoku/>
              <w:wordWrap/>
              <w:overflowPunct/>
              <w:topLinePunct w:val="0"/>
              <w:autoSpaceDE/>
              <w:autoSpaceDN/>
              <w:bidi w:val="0"/>
              <w:adjustRightInd/>
              <w:snapToGrid/>
              <w:spacing w:after="0"/>
              <w:ind w:firstLine="480" w:firstLineChars="200"/>
              <w:jc w:val="both"/>
              <w:textAlignment w:val="auto"/>
              <w:rPr>
                <w:rFonts w:hint="default" w:asciiTheme="minorEastAsia" w:hAnsiTheme="minorEastAsia" w:cstheme="minorEastAsia"/>
                <w:szCs w:val="21"/>
                <w:lang w:val="en-US" w:eastAsia="zh-CN"/>
              </w:rPr>
            </w:pPr>
            <w:r>
              <w:rPr>
                <w:rFonts w:hint="eastAsia" w:ascii="宋体" w:hAnsi="宋体"/>
                <w:szCs w:val="21"/>
                <w:lang w:val="en-US" w:eastAsia="zh-CN"/>
              </w:rPr>
              <w:t xml:space="preserve"> 7</w:t>
            </w:r>
            <w:r>
              <w:rPr>
                <w:rFonts w:hint="eastAsia" w:ascii="宋体" w:hAnsi="宋体"/>
                <w:szCs w:val="21"/>
              </w:rPr>
              <w:t>万元</w:t>
            </w:r>
          </w:p>
        </w:tc>
      </w:tr>
      <w:tr w14:paraId="506740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250"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3AE0EC1">
            <w:pPr>
              <w:jc w:val="center"/>
              <w:rPr>
                <w:rFonts w:ascii="宋体" w:hAnsi="宋体"/>
                <w:szCs w:val="21"/>
              </w:rPr>
            </w:pPr>
            <w:r>
              <w:rPr>
                <w:rFonts w:hint="eastAsia"/>
                <w:szCs w:val="21"/>
                <w:lang w:val="en-US" w:eastAsia="zh-CN"/>
              </w:rPr>
              <w:t>商务条款</w:t>
            </w:r>
          </w:p>
        </w:tc>
        <w:tc>
          <w:tcPr>
            <w:tcW w:w="4749" w:type="pct"/>
            <w:gridSpan w:val="3"/>
            <w:tcBorders>
              <w:top w:val="single" w:color="auto" w:sz="4" w:space="0"/>
              <w:left w:val="single" w:color="auto" w:sz="4" w:space="0"/>
              <w:bottom w:val="single" w:color="auto" w:sz="4" w:space="0"/>
              <w:right w:val="single" w:color="auto" w:sz="4" w:space="0"/>
            </w:tcBorders>
            <w:vAlign w:val="center"/>
          </w:tcPr>
          <w:p w14:paraId="04E66F42">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szCs w:val="21"/>
                <w:lang w:val="en-US" w:eastAsia="zh-CN"/>
              </w:rPr>
            </w:pPr>
            <w:r>
              <w:rPr>
                <w:rFonts w:hint="eastAsia"/>
                <w:b/>
                <w:bCs/>
                <w:szCs w:val="21"/>
                <w:lang w:val="en-US" w:eastAsia="zh-CN"/>
              </w:rPr>
              <w:t>一、合同签订期:</w:t>
            </w:r>
            <w:r>
              <w:rPr>
                <w:rFonts w:hint="eastAsia"/>
                <w:szCs w:val="21"/>
                <w:lang w:val="en-US" w:eastAsia="zh-CN"/>
              </w:rPr>
              <w:t>自采购结果公示结束后10个工作日内。</w:t>
            </w:r>
          </w:p>
          <w:p w14:paraId="78705BB6">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szCs w:val="21"/>
              </w:rPr>
            </w:pPr>
            <w:r>
              <w:rPr>
                <w:rFonts w:hint="eastAsia"/>
                <w:b/>
                <w:bCs/>
                <w:szCs w:val="21"/>
                <w:lang w:val="en-US" w:eastAsia="zh-CN"/>
              </w:rPr>
              <w:t>二、合同期限:</w:t>
            </w:r>
            <w:r>
              <w:rPr>
                <w:rFonts w:hint="eastAsia"/>
                <w:b w:val="0"/>
                <w:bCs w:val="0"/>
                <w:szCs w:val="21"/>
                <w:lang w:val="en-US" w:eastAsia="zh-CN"/>
              </w:rPr>
              <w:t>自合</w:t>
            </w:r>
            <w:r>
              <w:rPr>
                <w:rFonts w:hint="eastAsia"/>
                <w:szCs w:val="21"/>
                <w:lang w:val="en-US" w:eastAsia="zh-CN"/>
              </w:rPr>
              <w:t>同签订之日起至服务验收合格止</w:t>
            </w:r>
            <w:r>
              <w:rPr>
                <w:rFonts w:hint="eastAsia"/>
                <w:szCs w:val="21"/>
              </w:rPr>
              <w:t>。</w:t>
            </w:r>
          </w:p>
          <w:p w14:paraId="259BCEB8">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szCs w:val="21"/>
                <w:lang w:val="en-US" w:eastAsia="zh-CN"/>
              </w:rPr>
            </w:pPr>
            <w:r>
              <w:rPr>
                <w:rFonts w:hint="eastAsia"/>
                <w:b/>
                <w:bCs/>
                <w:szCs w:val="21"/>
                <w:lang w:val="en-US" w:eastAsia="zh-CN"/>
              </w:rPr>
              <w:t>三、项目实施地点:</w:t>
            </w:r>
            <w:r>
              <w:rPr>
                <w:rFonts w:hint="eastAsia"/>
                <w:szCs w:val="21"/>
                <w:lang w:val="en-US" w:eastAsia="zh-CN"/>
              </w:rPr>
              <w:t>采购人指定地点。</w:t>
            </w:r>
          </w:p>
          <w:p w14:paraId="18217475">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b/>
                <w:bCs/>
                <w:szCs w:val="21"/>
                <w:lang w:val="en-US" w:eastAsia="zh-CN"/>
              </w:rPr>
            </w:pPr>
            <w:r>
              <w:rPr>
                <w:rFonts w:hint="eastAsia"/>
                <w:b/>
                <w:bCs/>
                <w:szCs w:val="21"/>
                <w:lang w:val="en-US" w:eastAsia="zh-CN"/>
              </w:rPr>
              <w:t>四、售后服务要求:</w:t>
            </w:r>
          </w:p>
          <w:p w14:paraId="1F6E81E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1.质量保证期：自提供服务至服务验收合格之日止。若不能在规定期间完成服务，则延长有效期到服务完成为止。</w:t>
            </w:r>
          </w:p>
          <w:p w14:paraId="403DD14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2.处理问题响应时间：接到采购人处理问题通知后，1小时内给出反馈。如需到达采购人指定现场，需提前1天通知。</w:t>
            </w:r>
          </w:p>
          <w:p w14:paraId="7767ADAC">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b/>
                <w:bCs/>
                <w:szCs w:val="21"/>
                <w:lang w:val="en-US" w:eastAsia="zh-CN"/>
              </w:rPr>
            </w:pPr>
            <w:r>
              <w:rPr>
                <w:rFonts w:hint="eastAsia"/>
                <w:b/>
                <w:bCs/>
                <w:szCs w:val="21"/>
                <w:lang w:val="en-US" w:eastAsia="zh-CN"/>
              </w:rPr>
              <w:t>五、服务质量要求：</w:t>
            </w:r>
          </w:p>
          <w:p w14:paraId="62D5D9E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1.提供的设计服务内容确保原创，如因服务方提供的设计成果出现侵权行为造成的经济损失，由服务方负责解决并承担。</w:t>
            </w:r>
          </w:p>
          <w:p w14:paraId="798AD58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宋体" w:asciiTheme="minorEastAsia" w:hAnsiTheme="minorEastAsia" w:cstheme="minorEastAsia"/>
                <w:kern w:val="0"/>
                <w:sz w:val="24"/>
                <w:szCs w:val="21"/>
                <w:lang w:val="en-US" w:eastAsia="zh-CN" w:bidi="ar-SA"/>
              </w:rPr>
            </w:pPr>
            <w:r>
              <w:rPr>
                <w:rFonts w:hint="eastAsia"/>
                <w:szCs w:val="21"/>
                <w:lang w:val="en-US" w:eastAsia="zh-CN"/>
              </w:rPr>
              <w:t>2.如采购人审核要求对相关设计内容进行修改、调整时，服务方需按采购人的要求进行优化改进，采购人审核通过后方定稿，否则引起的经济损失等后果由服务方承担；服务过程中属于服务方原因造成的错漏等失误，由服务方负责改正，相关费用应由服务方自行承担。</w:t>
            </w:r>
          </w:p>
          <w:p w14:paraId="68676D3E">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b/>
                <w:bCs/>
                <w:szCs w:val="21"/>
                <w:lang w:val="en-US" w:eastAsia="zh-CN"/>
              </w:rPr>
            </w:pPr>
            <w:r>
              <w:rPr>
                <w:rFonts w:hint="eastAsia"/>
                <w:b/>
                <w:bCs/>
                <w:szCs w:val="21"/>
                <w:lang w:val="en-US" w:eastAsia="zh-CN"/>
              </w:rPr>
              <w:t>六、其他要求:</w:t>
            </w:r>
          </w:p>
          <w:p w14:paraId="1B9339F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szCs w:val="21"/>
                <w:lang w:val="en-US" w:eastAsia="zh-CN"/>
              </w:rPr>
            </w:pPr>
            <w:r>
              <w:rPr>
                <w:rFonts w:hint="eastAsia"/>
                <w:szCs w:val="21"/>
                <w:lang w:val="en-US" w:eastAsia="zh-CN"/>
              </w:rPr>
              <w:t>1.报价须包含以下部分</w:t>
            </w:r>
          </w:p>
          <w:p w14:paraId="1AB550F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（1）设计服务价格；</w:t>
            </w:r>
          </w:p>
          <w:p w14:paraId="318EFD6A">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（2）必要的保险费用和各项税金；</w:t>
            </w:r>
          </w:p>
          <w:p w14:paraId="0C4FD24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（3）为采购人注册版权产生的所有费用；</w:t>
            </w:r>
          </w:p>
          <w:p w14:paraId="28D85CD5">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（4）其他（包括不限于术支持、售后服务等与本服相关的各费用）。</w:t>
            </w:r>
          </w:p>
          <w:p w14:paraId="64A2E78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2.付款方式：签订合同之日起1个月内支付30%合同款，宣传手册设计服务结束并提供服务清单后支付20%合同款，邕小献形象延伸设计服务结束并完成版权注册，提供服务清单后支付30%合同款，平面设计服务结束并提供服务清单，通过验收后支付剩余的20%合同款。（付款前服务方需提供等额合规的增值税普通发票）</w:t>
            </w:r>
          </w:p>
          <w:p w14:paraId="7836838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3.成交供应商未按采购公告中《采购项目需求一览表》中的内容提供服务或服务未达标准的采购人可解除本合同。</w:t>
            </w:r>
          </w:p>
          <w:p w14:paraId="7892D466">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b/>
                <w:bCs/>
                <w:szCs w:val="21"/>
                <w:lang w:val="en-US" w:eastAsia="zh-CN"/>
              </w:rPr>
            </w:pPr>
            <w:r>
              <w:rPr>
                <w:rFonts w:hint="eastAsia"/>
                <w:b/>
                <w:bCs/>
                <w:szCs w:val="21"/>
                <w:lang w:val="en-US" w:eastAsia="zh-CN"/>
              </w:rPr>
              <w:t>七、验收条件及标准:</w:t>
            </w:r>
          </w:p>
          <w:p w14:paraId="2894528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1.本项目所有服务完成后服务方可向采购人提出验收申请。</w:t>
            </w:r>
          </w:p>
          <w:p w14:paraId="508399E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2.采购人将组织验收小组对服务方的服务情况进行验收，验收着重考察服务方所提供的服务是否满足本项目服务要求，验收完成后验收小组将出具验收报告。</w:t>
            </w:r>
          </w:p>
          <w:p w14:paraId="30917159">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3.首次验收不合格的，中标人在收到通知之日起5个工作日内整改后重新申请验收: 若重新验收不合格的，则将被视为违约。</w:t>
            </w:r>
          </w:p>
          <w:p w14:paraId="7155EA32">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b/>
                <w:bCs/>
                <w:szCs w:val="21"/>
                <w:lang w:val="en-US" w:eastAsia="zh-CN"/>
              </w:rPr>
            </w:pPr>
            <w:r>
              <w:rPr>
                <w:rFonts w:hint="eastAsia"/>
                <w:b/>
                <w:bCs/>
                <w:szCs w:val="21"/>
                <w:lang w:val="en-US" w:eastAsia="zh-CN"/>
              </w:rPr>
              <w:t>八、发生以下情形，采购人有权解除合同：</w:t>
            </w:r>
          </w:p>
          <w:p w14:paraId="2388CD4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1.因不可抗拒因素导致无法代运营；</w:t>
            </w:r>
          </w:p>
          <w:p w14:paraId="7DD8239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2.服务情况与合同约定要求偏差较大；</w:t>
            </w:r>
          </w:p>
          <w:p w14:paraId="7A8C90BA">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3.服务期间因中标人过错对采购人造成不利影响或重大负面舆情的，采购人有权解除合同，扣除服务款项并追究相关责任。</w:t>
            </w:r>
          </w:p>
          <w:p w14:paraId="590530E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rPr>
            </w:pPr>
            <w:r>
              <w:rPr>
                <w:rFonts w:hint="eastAsia"/>
                <w:szCs w:val="21"/>
                <w:lang w:val="en-US" w:eastAsia="zh-CN"/>
              </w:rPr>
              <w:t>4.被授权人代表中标人，在服务期间对采购人提供的服务情况负责。如出现未经采购人同意，擅自发布不利于采购人利益或产生社会负面影响的信息，由中标人负责消除不良影响并承担消除影响的相关费用和责任，采购人可根据实际情况相应扣除服务费用或追究相关责任。</w:t>
            </w:r>
          </w:p>
        </w:tc>
      </w:tr>
    </w:tbl>
    <w:p w14:paraId="40B54F90">
      <w:pPr>
        <w:pStyle w:val="6"/>
        <w:spacing w:line="500" w:lineRule="exact"/>
        <w:jc w:val="left"/>
        <w:rPr>
          <w:rFonts w:hint="eastAsia" w:ascii="仿宋" w:hAnsi="仿宋" w:eastAsia="仿宋"/>
          <w:color w:val="auto"/>
          <w:sz w:val="30"/>
          <w:szCs w:val="30"/>
        </w:rPr>
      </w:pPr>
    </w:p>
    <w:p w14:paraId="1983EA58">
      <w:pPr>
        <w:pStyle w:val="2"/>
        <w:numPr>
          <w:ilvl w:val="3"/>
          <w:numId w:val="0"/>
        </w:numPr>
        <w:rPr>
          <w:rFonts w:hint="eastAsia"/>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南宁中心血站2024年无偿献血宣传设计服务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2"/>
        <w:spacing w:line="360" w:lineRule="auto"/>
        <w:ind w:firstLineChars="200"/>
        <w:rPr>
          <w:color w:val="auto"/>
        </w:rPr>
      </w:pPr>
      <w:r>
        <w:rPr>
          <w:rFonts w:hint="eastAsia"/>
          <w:color w:val="auto"/>
        </w:rPr>
        <w:t>我方对委托代理人的签字事项负全部责任。</w:t>
      </w:r>
    </w:p>
    <w:p w14:paraId="4156E484">
      <w:pPr>
        <w:pStyle w:val="1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2"/>
        <w:spacing w:line="360" w:lineRule="auto"/>
        <w:ind w:firstLineChars="200"/>
        <w:rPr>
          <w:color w:val="auto"/>
        </w:rPr>
      </w:pPr>
      <w:r>
        <w:rPr>
          <w:rFonts w:hint="eastAsia"/>
          <w:color w:val="auto"/>
        </w:rPr>
        <w:t>委托代理人无转委托权，特此委托。</w:t>
      </w:r>
    </w:p>
    <w:p w14:paraId="4AAACB6B">
      <w:pPr>
        <w:pStyle w:val="1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2"/>
        <w:spacing w:line="360" w:lineRule="auto"/>
        <w:ind w:firstLineChars="200"/>
        <w:rPr>
          <w:color w:val="auto"/>
        </w:rPr>
      </w:pPr>
    </w:p>
    <w:p w14:paraId="06C42395">
      <w:pPr>
        <w:pStyle w:val="12"/>
        <w:ind w:firstLineChars="200"/>
        <w:rPr>
          <w:color w:val="auto"/>
        </w:rPr>
      </w:pPr>
    </w:p>
    <w:p w14:paraId="310B8657">
      <w:pPr>
        <w:pStyle w:val="1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2"/>
        <w:ind w:firstLineChars="200"/>
        <w:rPr>
          <w:rFonts w:hint="default" w:eastAsiaTheme="minorEastAsia"/>
          <w:color w:val="auto"/>
          <w:lang w:val="en-US" w:eastAsia="zh-CN"/>
        </w:rPr>
      </w:pPr>
    </w:p>
    <w:p w14:paraId="26ABD9C4">
      <w:pPr>
        <w:pStyle w:val="12"/>
        <w:ind w:firstLineChars="200"/>
        <w:rPr>
          <w:color w:val="auto"/>
        </w:rPr>
      </w:pPr>
    </w:p>
    <w:p w14:paraId="1A155D87">
      <w:pPr>
        <w:pStyle w:val="1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FE76B44">
      <w:pPr>
        <w:rPr>
          <w:rFonts w:hint="eastAsia"/>
          <w:color w:val="auto"/>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4"/>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2"/>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4E77070B">
            <w:pPr>
              <w:pStyle w:val="6"/>
              <w:jc w:val="center"/>
              <w:rPr>
                <w:rFonts w:ascii="宋体" w:hAnsi="宋体" w:eastAsia="宋体" w:cs="宋体"/>
                <w:kern w:val="0"/>
                <w:sz w:val="20"/>
                <w:szCs w:val="21"/>
              </w:rPr>
            </w:pPr>
            <w:r>
              <w:rPr>
                <w:rFonts w:hint="eastAsia" w:ascii="宋体" w:hAnsi="宋体" w:eastAsia="宋体" w:cs="宋体"/>
                <w:kern w:val="0"/>
                <w:sz w:val="20"/>
                <w:szCs w:val="21"/>
                <w:lang w:val="en-US" w:eastAsia="zh-CN"/>
              </w:rPr>
              <w:t>南宁中心血站2024年无偿献血宣传设计服务</w:t>
            </w:r>
          </w:p>
        </w:tc>
        <w:tc>
          <w:tcPr>
            <w:tcW w:w="215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31CEA9A">
      <w:pPr>
        <w:pStyle w:val="6"/>
        <w:spacing w:line="560" w:lineRule="exact"/>
        <w:rPr>
          <w:rFonts w:hint="eastAsia" w:asciiTheme="minorEastAsia" w:hAnsiTheme="minorEastAsia" w:cstheme="minorEastAsia"/>
          <w:color w:val="auto"/>
          <w:szCs w:val="21"/>
        </w:rPr>
      </w:pPr>
    </w:p>
    <w:p w14:paraId="757F4053">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6"/>
        <w:spacing w:line="560" w:lineRule="exact"/>
        <w:rPr>
          <w:rFonts w:asciiTheme="minorEastAsia" w:hAnsiTheme="minorEastAsia" w:cstheme="minorEastAsia"/>
          <w:color w:val="auto"/>
          <w:szCs w:val="21"/>
          <w:u w:val="single"/>
        </w:rPr>
      </w:pP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0C2D445E">
      <w:pPr>
        <w:rPr>
          <w:rFonts w:hint="eastAsia" w:ascii="仿宋" w:hAnsi="仿宋" w:eastAsia="仿宋"/>
          <w:color w:val="auto"/>
          <w:sz w:val="30"/>
          <w:szCs w:val="30"/>
        </w:rPr>
      </w:pPr>
    </w:p>
    <w:p w14:paraId="1F5506BB">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500EE994">
      <w:pPr>
        <w:pStyle w:val="6"/>
        <w:spacing w:line="440" w:lineRule="exact"/>
        <w:ind w:firstLine="422" w:firstLineChars="200"/>
      </w:pPr>
      <w:r>
        <w:rPr>
          <w:rFonts w:hint="eastAsia" w:asciiTheme="minorEastAsia" w:hAnsiTheme="minorEastAsia"/>
          <w:b/>
          <w:bCs/>
          <w:color w:val="auto"/>
          <w:szCs w:val="21"/>
        </w:rPr>
        <w:t>本采购需求一览表中标注★号的内容为实质性要求和条件，供应商必须满足，不满足或负偏离视为无效响应。</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082"/>
        <w:gridCol w:w="2895"/>
        <w:gridCol w:w="1141"/>
        <w:gridCol w:w="2576"/>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3977"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71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1082" w:type="dxa"/>
            <w:vAlign w:val="center"/>
          </w:tcPr>
          <w:p w14:paraId="3B7AC663">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2895" w:type="dxa"/>
            <w:vAlign w:val="center"/>
          </w:tcPr>
          <w:p w14:paraId="34BC4A96">
            <w:pPr>
              <w:jc w:val="center"/>
              <w:rPr>
                <w:rFonts w:ascii="宋体"/>
                <w:color w:val="auto"/>
                <w:szCs w:val="21"/>
              </w:rPr>
            </w:pPr>
            <w:r>
              <w:rPr>
                <w:rFonts w:hint="eastAsia" w:ascii="宋体"/>
                <w:color w:val="auto"/>
                <w:szCs w:val="21"/>
              </w:rPr>
              <w:t>技术参数</w:t>
            </w:r>
          </w:p>
        </w:tc>
        <w:tc>
          <w:tcPr>
            <w:tcW w:w="1141" w:type="dxa"/>
            <w:vAlign w:val="center"/>
          </w:tcPr>
          <w:p w14:paraId="50260F94">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2576"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6"/>
              <w:jc w:val="center"/>
              <w:rPr>
                <w:rFonts w:ascii="仿宋" w:hAnsi="仿宋" w:eastAsia="仿宋"/>
                <w:color w:val="auto"/>
                <w:spacing w:val="-20"/>
                <w:sz w:val="20"/>
              </w:rPr>
            </w:pPr>
            <w:r>
              <w:rPr>
                <w:rFonts w:ascii="仿宋" w:hAnsi="仿宋" w:eastAsia="仿宋"/>
                <w:color w:val="auto"/>
                <w:spacing w:val="-20"/>
                <w:sz w:val="20"/>
              </w:rPr>
              <w:t>1</w:t>
            </w:r>
          </w:p>
        </w:tc>
        <w:tc>
          <w:tcPr>
            <w:tcW w:w="1082" w:type="dxa"/>
            <w:vAlign w:val="center"/>
          </w:tcPr>
          <w:p w14:paraId="23A9C877">
            <w:pPr>
              <w:rPr>
                <w:rFonts w:ascii="仿宋" w:hAnsi="仿宋" w:eastAsia="仿宋" w:cs="宋体"/>
                <w:color w:val="auto"/>
                <w:szCs w:val="21"/>
              </w:rPr>
            </w:pPr>
            <w:r>
              <w:rPr>
                <w:rFonts w:hint="eastAsia" w:ascii="仿宋" w:hAnsi="仿宋" w:eastAsia="仿宋" w:cs="宋体"/>
                <w:color w:val="auto"/>
                <w:szCs w:val="21"/>
                <w:lang w:val="en-US" w:eastAsia="zh-CN"/>
              </w:rPr>
              <w:t>南宁中心血站2024年无偿献血宣传设计服务</w:t>
            </w:r>
          </w:p>
        </w:tc>
        <w:tc>
          <w:tcPr>
            <w:tcW w:w="2895" w:type="dxa"/>
            <w:vAlign w:val="center"/>
          </w:tcPr>
          <w:p w14:paraId="4144153E">
            <w:pPr>
              <w:pStyle w:val="12"/>
              <w:ind w:left="0" w:leftChars="0" w:firstLine="0" w:firstLineChars="0"/>
              <w:rPr>
                <w:rFonts w:hint="eastAsia"/>
              </w:rPr>
            </w:pPr>
            <w:r>
              <w:rPr>
                <w:rFonts w:hint="eastAsia"/>
                <w:lang w:val="en-US" w:eastAsia="zh-CN"/>
              </w:rPr>
              <w:t>一、</w:t>
            </w:r>
            <w:r>
              <w:rPr>
                <w:rFonts w:hint="eastAsia"/>
              </w:rPr>
              <w:t>项目概况</w:t>
            </w:r>
          </w:p>
          <w:p w14:paraId="06C1C0F3">
            <w:pPr>
              <w:pStyle w:val="12"/>
              <w:ind w:left="0" w:leftChars="0" w:firstLine="0" w:firstLineChars="0"/>
              <w:rPr>
                <w:rFonts w:hint="eastAsia"/>
              </w:rPr>
            </w:pPr>
            <w:r>
              <w:rPr>
                <w:rFonts w:hint="eastAsia"/>
                <w:lang w:val="en-US" w:eastAsia="zh-CN"/>
              </w:rPr>
              <w:t>“南宁献血”IP形象“邕小献”自推出以来，受到了广大献血者的喜爱，为更好地深化“南宁献血”品牌形象，确保无偿献血宣传效果，进一步扩大无偿献血宣传，拟采购无偿献血宣传设计服务，包括邕小献延伸形象设计及版权注册、宣传手册设计服务、平面设计服务等，统一宣传风格，形成品牌效应，</w:t>
            </w:r>
            <w:r>
              <w:rPr>
                <w:rFonts w:hint="eastAsia"/>
              </w:rPr>
              <w:t>更好服务于无偿献血宣传招募，促进无偿献血健康长效发展</w:t>
            </w:r>
            <w:r>
              <w:rPr>
                <w:rFonts w:hint="eastAsia"/>
                <w:lang w:eastAsia="zh-CN"/>
              </w:rPr>
              <w:t>。</w:t>
            </w:r>
            <w:r>
              <w:rPr>
                <w:rFonts w:hint="eastAsia"/>
                <w:lang w:val="en-US" w:eastAsia="zh-CN"/>
              </w:rPr>
              <w:t>保障无偿献血宣传时效和质量。</w:t>
            </w:r>
          </w:p>
          <w:p w14:paraId="5BB35957">
            <w:pPr>
              <w:pStyle w:val="12"/>
              <w:ind w:left="0" w:leftChars="0" w:firstLine="0" w:firstLineChars="0"/>
              <w:rPr>
                <w:rFonts w:hint="eastAsia"/>
              </w:rPr>
            </w:pPr>
            <w:r>
              <w:rPr>
                <w:rFonts w:hint="eastAsia" w:asciiTheme="minorEastAsia" w:hAnsiTheme="minorEastAsia"/>
                <w:b/>
                <w:bCs/>
                <w:color w:val="auto"/>
                <w:szCs w:val="21"/>
              </w:rPr>
              <w:t>★</w:t>
            </w:r>
            <w:r>
              <w:rPr>
                <w:rFonts w:hint="eastAsia"/>
                <w:lang w:val="en-US" w:eastAsia="zh-CN"/>
              </w:rPr>
              <w:t>二、</w:t>
            </w:r>
            <w:r>
              <w:rPr>
                <w:rFonts w:hint="eastAsia"/>
              </w:rPr>
              <w:t>服务要求</w:t>
            </w:r>
          </w:p>
          <w:p w14:paraId="65067F7E">
            <w:pPr>
              <w:pStyle w:val="12"/>
              <w:ind w:left="0" w:leftChars="0" w:firstLine="0" w:firstLineChars="0"/>
              <w:rPr>
                <w:rFonts w:hint="default"/>
                <w:lang w:val="en-US" w:eastAsia="zh-CN"/>
              </w:rPr>
            </w:pPr>
            <w:r>
              <w:rPr>
                <w:rFonts w:hint="eastAsia"/>
                <w:lang w:val="en-US" w:eastAsia="zh-CN"/>
              </w:rPr>
              <w:t>（一）邕小献延伸形象设计及版权注册，10款形象。根据采购人提出的需求，结合职业、服饰、动作、表情等进行设计，要求保持“邕小献”IP形象比例还原度，与采购人讨论确定设计方向后，30个工作日内提交设计初稿，根据采购人的意见修改完善至审核通过。10款邕小献延伸形象设计版权归南宁中心血站，并由成交供应商为采购人办理版权注册服。</w:t>
            </w:r>
          </w:p>
          <w:p w14:paraId="0AED419A">
            <w:pPr>
              <w:pStyle w:val="12"/>
              <w:ind w:left="0" w:leftChars="0" w:firstLine="0" w:firstLineChars="0"/>
              <w:rPr>
                <w:rFonts w:hint="eastAsia"/>
                <w:lang w:val="en-US" w:eastAsia="zh-CN"/>
              </w:rPr>
            </w:pPr>
            <w:r>
              <w:rPr>
                <w:rFonts w:hint="eastAsia"/>
                <w:lang w:val="en-US" w:eastAsia="zh-CN"/>
              </w:rPr>
              <w:t>（二）宣传手册设计，1项。用于宣传手册制作印刷，包含封面及封底设计，内容彩色排版设计，不少于8幅插画设计，充分融入南宁献血、邕小献、logo、无偿献血等相关元素。根据采购人提出需求10个工作日内提出设计初稿，并根据采购人的意见修改完善至审核通过。</w:t>
            </w:r>
          </w:p>
          <w:p w14:paraId="544F8364">
            <w:pPr>
              <w:pStyle w:val="12"/>
              <w:ind w:left="0" w:leftChars="0" w:firstLine="0" w:firstLineChars="0"/>
              <w:rPr>
                <w:rFonts w:hint="default"/>
                <w:lang w:val="en-US" w:eastAsia="zh-CN"/>
              </w:rPr>
            </w:pPr>
            <w:r>
              <w:rPr>
                <w:rFonts w:hint="eastAsia"/>
                <w:lang w:val="en-US" w:eastAsia="zh-CN"/>
              </w:rPr>
              <w:t>（三）平面设计，10次。主要用于海报、物料等制作宣传，设计一个主kv画面为一次服务，可根据采购人需求调整尺寸、分辨率和微调内容。采购人提出设计需求后，服务方5个工作日内提交初稿，并根据采购人的意见修改完善至审核通过</w:t>
            </w:r>
            <w:r>
              <w:rPr>
                <w:rFonts w:hint="eastAsia"/>
              </w:rPr>
              <w:t>。</w:t>
            </w:r>
          </w:p>
          <w:p w14:paraId="4D83A610">
            <w:pPr>
              <w:pStyle w:val="12"/>
              <w:ind w:left="0" w:leftChars="0" w:firstLine="0" w:firstLineChars="0"/>
              <w:rPr>
                <w:rFonts w:hint="default"/>
                <w:lang w:val="en-US" w:eastAsia="zh-CN"/>
              </w:rPr>
            </w:pPr>
            <w:r>
              <w:rPr>
                <w:rFonts w:hint="eastAsia" w:asciiTheme="minorEastAsia" w:hAnsiTheme="minorEastAsia"/>
                <w:b/>
                <w:bCs/>
                <w:color w:val="auto"/>
                <w:szCs w:val="21"/>
              </w:rPr>
              <w:t>★</w:t>
            </w:r>
            <w:r>
              <w:rPr>
                <w:rFonts w:hint="eastAsia"/>
                <w:lang w:val="en-US" w:eastAsia="zh-CN"/>
              </w:rPr>
              <w:t>三、团队要求</w:t>
            </w:r>
          </w:p>
          <w:p w14:paraId="4F4DA582">
            <w:pPr>
              <w:pStyle w:val="12"/>
              <w:ind w:left="0" w:leftChars="0" w:firstLine="0" w:firstLineChars="0"/>
              <w:rPr>
                <w:rFonts w:hint="eastAsia"/>
                <w:lang w:eastAsia="zh-CN"/>
              </w:rPr>
            </w:pPr>
            <w:r>
              <w:rPr>
                <w:rFonts w:hint="eastAsia"/>
              </w:rPr>
              <w:t>投标人必须具备专业的</w:t>
            </w:r>
            <w:r>
              <w:rPr>
                <w:rFonts w:hint="eastAsia"/>
                <w:lang w:val="en-US" w:eastAsia="zh-CN"/>
              </w:rPr>
              <w:t>平面</w:t>
            </w:r>
            <w:r>
              <w:rPr>
                <w:rFonts w:hint="eastAsia"/>
              </w:rPr>
              <w:t>设计、漫画</w:t>
            </w:r>
            <w:r>
              <w:rPr>
                <w:rFonts w:hint="eastAsia"/>
                <w:lang w:val="en-US" w:eastAsia="zh-CN"/>
              </w:rPr>
              <w:t>手绘</w:t>
            </w:r>
            <w:r>
              <w:rPr>
                <w:rFonts w:hint="eastAsia"/>
              </w:rPr>
              <w:t>原创等业务能力的服务团队</w:t>
            </w:r>
            <w:r>
              <w:rPr>
                <w:rFonts w:hint="eastAsia"/>
                <w:lang w:eastAsia="zh-CN"/>
              </w:rPr>
              <w:t>，</w:t>
            </w:r>
            <w:r>
              <w:rPr>
                <w:rFonts w:hint="eastAsia"/>
              </w:rPr>
              <w:t>须为美术设计相关专业或具备1年以上相关工作经验，具备原创漫画</w:t>
            </w:r>
            <w:r>
              <w:rPr>
                <w:rFonts w:hint="eastAsia"/>
                <w:lang w:val="en-US" w:eastAsia="zh-CN"/>
              </w:rPr>
              <w:t>手绘</w:t>
            </w:r>
            <w:r>
              <w:rPr>
                <w:rFonts w:hint="eastAsia"/>
              </w:rPr>
              <w:t>能力，须提供</w:t>
            </w:r>
            <w:r>
              <w:rPr>
                <w:rFonts w:hint="eastAsia"/>
                <w:lang w:val="en-US" w:eastAsia="zh-CN"/>
              </w:rPr>
              <w:t>团队人员</w:t>
            </w:r>
            <w:r>
              <w:rPr>
                <w:rFonts w:hint="eastAsia"/>
              </w:rPr>
              <w:t>近</w:t>
            </w:r>
            <w:r>
              <w:rPr>
                <w:rFonts w:hint="eastAsia"/>
                <w:lang w:val="en-US" w:eastAsia="zh-CN"/>
              </w:rPr>
              <w:t>三</w:t>
            </w:r>
            <w:r>
              <w:rPr>
                <w:rFonts w:hint="eastAsia"/>
              </w:rPr>
              <w:t>个月社保证明并加盖公章</w:t>
            </w:r>
            <w:r>
              <w:rPr>
                <w:rFonts w:hint="eastAsia"/>
                <w:lang w:eastAsia="zh-CN"/>
              </w:rPr>
              <w:t>。</w:t>
            </w:r>
          </w:p>
          <w:p w14:paraId="36A2E229">
            <w:pPr>
              <w:pStyle w:val="12"/>
              <w:ind w:left="0" w:leftChars="0" w:firstLine="0" w:firstLineChars="0"/>
              <w:rPr>
                <w:rFonts w:hint="eastAsia"/>
                <w:lang w:val="en-US" w:eastAsia="zh-CN"/>
              </w:rPr>
            </w:pPr>
            <w:r>
              <w:rPr>
                <w:rFonts w:hint="eastAsia"/>
                <w:lang w:val="en-US" w:eastAsia="zh-CN"/>
              </w:rPr>
              <w:t>四、其他要求</w:t>
            </w:r>
          </w:p>
          <w:p w14:paraId="000D0585">
            <w:pPr>
              <w:pStyle w:val="12"/>
              <w:ind w:left="0" w:leftChars="0" w:firstLine="0" w:firstLineChars="0"/>
              <w:rPr>
                <w:rFonts w:hint="default"/>
                <w:lang w:val="en-US" w:eastAsia="zh-CN"/>
              </w:rPr>
            </w:pPr>
            <w:r>
              <w:rPr>
                <w:rFonts w:hint="eastAsia" w:asciiTheme="minorEastAsia" w:hAnsiTheme="minorEastAsia"/>
                <w:b/>
                <w:bCs/>
                <w:color w:val="auto"/>
                <w:szCs w:val="21"/>
              </w:rPr>
              <w:t>★</w:t>
            </w:r>
            <w:r>
              <w:rPr>
                <w:rFonts w:hint="eastAsia"/>
                <w:lang w:val="en-US" w:eastAsia="zh-CN"/>
              </w:rPr>
              <w:t>（一）</w:t>
            </w:r>
            <w:r>
              <w:rPr>
                <w:rFonts w:hint="default"/>
                <w:lang w:val="en-US" w:eastAsia="zh-CN"/>
              </w:rPr>
              <w:t>提供20</w:t>
            </w:r>
            <w:r>
              <w:rPr>
                <w:rFonts w:hint="eastAsia"/>
                <w:lang w:val="en-US" w:eastAsia="zh-CN"/>
              </w:rPr>
              <w:t>22</w:t>
            </w:r>
            <w:r>
              <w:rPr>
                <w:rFonts w:hint="default"/>
                <w:lang w:val="en-US" w:eastAsia="zh-CN"/>
              </w:rPr>
              <w:t>年</w:t>
            </w:r>
            <w:r>
              <w:rPr>
                <w:rFonts w:hint="eastAsia"/>
                <w:lang w:val="en-US" w:eastAsia="zh-CN"/>
              </w:rPr>
              <w:t>1</w:t>
            </w:r>
            <w:r>
              <w:rPr>
                <w:rFonts w:hint="default"/>
                <w:lang w:val="en-US" w:eastAsia="zh-CN"/>
              </w:rPr>
              <w:t>月至今不少于2个类似设计服务项目的案例</w:t>
            </w:r>
            <w:r>
              <w:rPr>
                <w:rFonts w:hint="eastAsia"/>
                <w:lang w:val="en-US" w:eastAsia="zh-CN"/>
              </w:rPr>
              <w:t>及证明，至少含1个手绘项目案例</w:t>
            </w:r>
            <w:r>
              <w:rPr>
                <w:rFonts w:hint="default"/>
                <w:lang w:val="en-US" w:eastAsia="zh-CN"/>
              </w:rPr>
              <w:t>。</w:t>
            </w:r>
          </w:p>
          <w:p w14:paraId="63AFBB6E">
            <w:pPr>
              <w:pStyle w:val="12"/>
              <w:ind w:left="0" w:leftChars="0" w:firstLine="0" w:firstLineChars="0"/>
            </w:pPr>
            <w:r>
              <w:rPr>
                <w:rFonts w:hint="eastAsia"/>
                <w:lang w:val="en-US" w:eastAsia="zh-CN"/>
              </w:rPr>
              <w:t>（二）如有请</w:t>
            </w:r>
            <w:r>
              <w:rPr>
                <w:rFonts w:hint="default"/>
                <w:lang w:val="en-US" w:eastAsia="zh-CN"/>
              </w:rPr>
              <w:t>提供相关</w:t>
            </w:r>
            <w:r>
              <w:rPr>
                <w:rFonts w:hint="eastAsia"/>
                <w:lang w:val="en-US" w:eastAsia="zh-CN"/>
              </w:rPr>
              <w:t>设计</w:t>
            </w:r>
            <w:r>
              <w:rPr>
                <w:rFonts w:hint="default"/>
                <w:lang w:val="en-US" w:eastAsia="zh-CN"/>
              </w:rPr>
              <w:t>大赛奖项</w:t>
            </w:r>
            <w:r>
              <w:rPr>
                <w:rFonts w:hint="eastAsia"/>
                <w:lang w:val="en-US" w:eastAsia="zh-CN"/>
              </w:rPr>
              <w:t>证明或</w:t>
            </w:r>
            <w:r>
              <w:rPr>
                <w:rFonts w:hint="default"/>
                <w:lang w:val="en-US" w:eastAsia="zh-CN"/>
              </w:rPr>
              <w:t>设计类资质。</w:t>
            </w:r>
          </w:p>
        </w:tc>
        <w:tc>
          <w:tcPr>
            <w:tcW w:w="1141" w:type="dxa"/>
            <w:vAlign w:val="center"/>
          </w:tcPr>
          <w:p w14:paraId="4ADE18A6">
            <w:pPr>
              <w:rPr>
                <w:rFonts w:ascii="仿宋" w:hAnsi="仿宋" w:eastAsia="仿宋" w:cs="宋体"/>
                <w:color w:val="auto"/>
                <w:szCs w:val="21"/>
              </w:rPr>
            </w:pPr>
            <w:r>
              <w:rPr>
                <w:rFonts w:hint="eastAsia" w:ascii="仿宋" w:hAnsi="仿宋" w:eastAsia="仿宋" w:cs="宋体"/>
                <w:color w:val="auto"/>
                <w:szCs w:val="21"/>
                <w:lang w:val="en-US" w:eastAsia="zh-CN"/>
              </w:rPr>
              <w:t>南宁中心血站2024年无偿献血宣传设计服务</w:t>
            </w:r>
          </w:p>
        </w:tc>
        <w:tc>
          <w:tcPr>
            <w:tcW w:w="2576"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C86953E">
      <w:pPr>
        <w:rPr>
          <w:rFonts w:hint="eastAsia" w:ascii="仿宋" w:hAnsi="仿宋" w:eastAsia="仿宋"/>
          <w:color w:val="auto"/>
          <w:sz w:val="30"/>
          <w:szCs w:val="30"/>
        </w:rPr>
      </w:pPr>
    </w:p>
    <w:p w14:paraId="0E93062A">
      <w:pPr>
        <w:rPr>
          <w:rFonts w:hint="eastAsia" w:ascii="仿宋" w:hAnsi="仿宋" w:eastAsia="仿宋"/>
          <w:color w:val="auto"/>
          <w:sz w:val="30"/>
          <w:szCs w:val="30"/>
        </w:rPr>
      </w:pPr>
    </w:p>
    <w:p w14:paraId="2E790097">
      <w:pPr>
        <w:pStyle w:val="12"/>
        <w:rPr>
          <w:rFonts w:hint="eastAsia" w:ascii="仿宋" w:hAnsi="仿宋" w:eastAsia="仿宋"/>
          <w:color w:val="auto"/>
          <w:sz w:val="30"/>
          <w:szCs w:val="30"/>
        </w:rPr>
      </w:pPr>
    </w:p>
    <w:p w14:paraId="398A9B96">
      <w:pPr>
        <w:pStyle w:val="12"/>
        <w:rPr>
          <w:rFonts w:hint="eastAsia" w:ascii="仿宋" w:hAnsi="仿宋" w:eastAsia="仿宋"/>
          <w:color w:val="auto"/>
          <w:sz w:val="30"/>
          <w:szCs w:val="30"/>
        </w:rPr>
      </w:pPr>
    </w:p>
    <w:p w14:paraId="7744DFD0">
      <w:pPr>
        <w:pStyle w:val="12"/>
        <w:rPr>
          <w:rFonts w:hint="eastAsia" w:ascii="仿宋" w:hAnsi="仿宋" w:eastAsia="仿宋"/>
          <w:color w:val="auto"/>
          <w:sz w:val="30"/>
          <w:szCs w:val="30"/>
        </w:rPr>
      </w:pPr>
    </w:p>
    <w:p w14:paraId="52B9644E">
      <w:pPr>
        <w:pStyle w:val="12"/>
        <w:rPr>
          <w:rFonts w:hint="eastAsia" w:ascii="仿宋" w:hAnsi="仿宋" w:eastAsia="仿宋"/>
          <w:color w:val="auto"/>
          <w:sz w:val="30"/>
          <w:szCs w:val="30"/>
        </w:rPr>
      </w:pPr>
    </w:p>
    <w:p w14:paraId="58524F01">
      <w:pPr>
        <w:pStyle w:val="12"/>
        <w:rPr>
          <w:rFonts w:hint="eastAsia" w:ascii="仿宋" w:hAnsi="仿宋" w:eastAsia="仿宋"/>
          <w:color w:val="auto"/>
          <w:sz w:val="30"/>
          <w:szCs w:val="30"/>
        </w:rPr>
      </w:pPr>
    </w:p>
    <w:p w14:paraId="71942E33">
      <w:pPr>
        <w:pStyle w:val="12"/>
        <w:rPr>
          <w:rFonts w:hint="eastAsia" w:ascii="仿宋" w:hAnsi="仿宋" w:eastAsia="仿宋"/>
          <w:color w:val="auto"/>
          <w:sz w:val="30"/>
          <w:szCs w:val="30"/>
        </w:rPr>
      </w:pPr>
    </w:p>
    <w:p w14:paraId="075B9681">
      <w:pPr>
        <w:pStyle w:val="12"/>
        <w:rPr>
          <w:rFonts w:hint="eastAsia" w:ascii="仿宋" w:hAnsi="仿宋" w:eastAsia="仿宋"/>
          <w:color w:val="auto"/>
          <w:sz w:val="30"/>
          <w:szCs w:val="30"/>
        </w:rPr>
      </w:pPr>
    </w:p>
    <w:p w14:paraId="49CA2DDF">
      <w:pPr>
        <w:pStyle w:val="12"/>
        <w:rPr>
          <w:rFonts w:hint="eastAsia" w:ascii="仿宋" w:hAnsi="仿宋" w:eastAsia="仿宋"/>
          <w:color w:val="auto"/>
          <w:sz w:val="30"/>
          <w:szCs w:val="30"/>
        </w:rPr>
      </w:pPr>
    </w:p>
    <w:p w14:paraId="00A0A4E8">
      <w:pPr>
        <w:pStyle w:val="12"/>
        <w:rPr>
          <w:rFonts w:hint="eastAsia" w:ascii="仿宋" w:hAnsi="仿宋" w:eastAsia="仿宋"/>
          <w:color w:val="auto"/>
          <w:sz w:val="30"/>
          <w:szCs w:val="30"/>
        </w:rPr>
      </w:pPr>
    </w:p>
    <w:p w14:paraId="0F0777BD">
      <w:pPr>
        <w:pStyle w:val="12"/>
        <w:ind w:left="0" w:leftChars="0" w:firstLine="0" w:firstLineChars="0"/>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center"/>
        <w:rPr>
          <w:rFonts w:hint="eastAsia" w:ascii="宋体" w:hAnsi="宋体"/>
          <w:b/>
          <w:color w:val="auto"/>
          <w:sz w:val="36"/>
          <w:szCs w:val="36"/>
        </w:rPr>
      </w:pPr>
    </w:p>
    <w:p w14:paraId="003F1E03">
      <w:pPr>
        <w:pStyle w:val="6"/>
        <w:ind w:firstLine="420" w:firstLineChars="200"/>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794"/>
        <w:gridCol w:w="29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3794" w:type="dxa"/>
            <w:vAlign w:val="center"/>
          </w:tcPr>
          <w:p w14:paraId="756067CB">
            <w:pPr>
              <w:adjustRightInd w:val="0"/>
              <w:snapToGrid w:val="0"/>
              <w:spacing w:line="400" w:lineRule="exact"/>
              <w:jc w:val="center"/>
              <w:outlineLvl w:val="0"/>
              <w:rPr>
                <w:rFonts w:ascii="宋体" w:hAnsi="宋体"/>
                <w:color w:val="auto"/>
                <w:szCs w:val="21"/>
              </w:rPr>
            </w:pPr>
            <w:bookmarkStart w:id="4" w:name="_Toc11223"/>
            <w:bookmarkStart w:id="5" w:name="_Toc11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2925" w:type="dxa"/>
            <w:vAlign w:val="center"/>
          </w:tcPr>
          <w:p w14:paraId="398FE821">
            <w:pPr>
              <w:adjustRightInd w:val="0"/>
              <w:snapToGrid w:val="0"/>
              <w:spacing w:line="400" w:lineRule="exact"/>
              <w:jc w:val="center"/>
              <w:outlineLvl w:val="0"/>
              <w:rPr>
                <w:rFonts w:ascii="宋体" w:hAnsi="宋体"/>
                <w:color w:val="auto"/>
                <w:szCs w:val="21"/>
              </w:rPr>
            </w:pPr>
            <w:bookmarkStart w:id="6" w:name="_Toc3147"/>
            <w:bookmarkStart w:id="7" w:name="_Toc22733"/>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33"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20348"/>
            <w:bookmarkStart w:id="9" w:name="_Toc16246"/>
            <w:r>
              <w:rPr>
                <w:rFonts w:hint="eastAsia" w:ascii="宋体" w:hAnsi="宋体"/>
                <w:color w:val="auto"/>
                <w:szCs w:val="21"/>
              </w:rPr>
              <w:t>1</w:t>
            </w:r>
            <w:bookmarkEnd w:id="8"/>
            <w:bookmarkEnd w:id="9"/>
          </w:p>
        </w:tc>
        <w:tc>
          <w:tcPr>
            <w:tcW w:w="3794" w:type="dxa"/>
            <w:vAlign w:val="center"/>
          </w:tcPr>
          <w:p w14:paraId="237E5955">
            <w:pPr>
              <w:widowControl/>
              <w:numPr>
                <w:ilvl w:val="0"/>
                <w:numId w:val="0"/>
              </w:numPr>
              <w:spacing w:line="440" w:lineRule="exact"/>
              <w:jc w:val="left"/>
              <w:textAlignment w:val="center"/>
              <w:rPr>
                <w:rFonts w:ascii="仿宋" w:hAnsi="仿宋" w:eastAsia="仿宋"/>
                <w:color w:val="auto"/>
                <w:sz w:val="20"/>
                <w:szCs w:val="20"/>
              </w:rPr>
            </w:pPr>
            <w:r>
              <w:rPr>
                <w:rFonts w:hint="eastAsia" w:ascii="宋体" w:hAnsi="宋体" w:eastAsia="宋体" w:cs="宋体"/>
                <w:b/>
                <w:bCs/>
                <w:color w:val="auto"/>
                <w:lang w:val="en-US" w:eastAsia="zh-CN"/>
              </w:rPr>
              <w:t>一、合同签订期：</w:t>
            </w:r>
            <w:r>
              <w:rPr>
                <w:rFonts w:hint="eastAsia" w:ascii="宋体" w:hAnsi="宋体" w:eastAsia="宋体" w:cs="宋体"/>
                <w:color w:val="auto"/>
                <w:lang w:val="en-US" w:eastAsia="zh-CN"/>
              </w:rPr>
              <w:t>自采购结果公示结束后10个工作日内。</w:t>
            </w:r>
          </w:p>
        </w:tc>
        <w:tc>
          <w:tcPr>
            <w:tcW w:w="29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58"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29108"/>
            <w:bookmarkStart w:id="11" w:name="_Toc14139"/>
            <w:r>
              <w:rPr>
                <w:rFonts w:hint="eastAsia" w:ascii="宋体" w:hAnsi="宋体"/>
                <w:color w:val="auto"/>
                <w:szCs w:val="21"/>
              </w:rPr>
              <w:t>2</w:t>
            </w:r>
            <w:bookmarkEnd w:id="10"/>
            <w:bookmarkEnd w:id="11"/>
          </w:p>
        </w:tc>
        <w:tc>
          <w:tcPr>
            <w:tcW w:w="3794" w:type="dxa"/>
            <w:vAlign w:val="center"/>
          </w:tcPr>
          <w:p w14:paraId="54F08B96">
            <w:pPr>
              <w:widowControl/>
              <w:numPr>
                <w:ilvl w:val="0"/>
                <w:numId w:val="0"/>
              </w:numPr>
              <w:spacing w:line="440" w:lineRule="exact"/>
              <w:jc w:val="left"/>
              <w:textAlignment w:val="center"/>
              <w:rPr>
                <w:rFonts w:ascii="仿宋" w:hAnsi="仿宋" w:eastAsia="仿宋" w:cs="宋体"/>
                <w:color w:val="auto"/>
                <w:sz w:val="20"/>
                <w:szCs w:val="20"/>
              </w:rPr>
            </w:pPr>
            <w:r>
              <w:rPr>
                <w:rFonts w:hint="eastAsia" w:ascii="宋体" w:hAnsi="宋体" w:eastAsia="宋体" w:cs="宋体"/>
                <w:b/>
                <w:bCs/>
                <w:color w:val="auto"/>
                <w:lang w:val="en-US" w:eastAsia="zh-CN"/>
              </w:rPr>
              <w:t>二、服务时间：</w:t>
            </w:r>
            <w:r>
              <w:rPr>
                <w:rFonts w:hint="eastAsia"/>
                <w:b w:val="0"/>
                <w:bCs w:val="0"/>
                <w:szCs w:val="21"/>
                <w:lang w:val="en-US" w:eastAsia="zh-CN"/>
              </w:rPr>
              <w:t>自合</w:t>
            </w:r>
            <w:r>
              <w:rPr>
                <w:rFonts w:hint="eastAsia"/>
                <w:szCs w:val="21"/>
                <w:lang w:val="en-US" w:eastAsia="zh-CN"/>
              </w:rPr>
              <w:t>同签订之日起至服务验收合格止</w:t>
            </w:r>
            <w:r>
              <w:rPr>
                <w:rFonts w:hint="eastAsia"/>
                <w:szCs w:val="21"/>
              </w:rPr>
              <w:t>。</w:t>
            </w:r>
          </w:p>
        </w:tc>
        <w:tc>
          <w:tcPr>
            <w:tcW w:w="29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85"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25531"/>
            <w:bookmarkStart w:id="13" w:name="_Toc5989"/>
            <w:r>
              <w:rPr>
                <w:rFonts w:hint="eastAsia" w:ascii="宋体" w:hAnsi="宋体"/>
                <w:color w:val="auto"/>
                <w:szCs w:val="21"/>
              </w:rPr>
              <w:t>3</w:t>
            </w:r>
            <w:bookmarkEnd w:id="12"/>
            <w:bookmarkEnd w:id="13"/>
          </w:p>
        </w:tc>
        <w:tc>
          <w:tcPr>
            <w:tcW w:w="3794" w:type="dxa"/>
            <w:vAlign w:val="center"/>
          </w:tcPr>
          <w:p w14:paraId="0C880BD6">
            <w:pPr>
              <w:widowControl/>
              <w:numPr>
                <w:ilvl w:val="0"/>
                <w:numId w:val="0"/>
              </w:numPr>
              <w:spacing w:line="440" w:lineRule="exact"/>
              <w:jc w:val="left"/>
              <w:textAlignment w:val="center"/>
              <w:rPr>
                <w:rFonts w:ascii="仿宋" w:hAnsi="仿宋" w:eastAsia="仿宋"/>
                <w:color w:val="auto"/>
                <w:sz w:val="20"/>
                <w:szCs w:val="20"/>
              </w:rPr>
            </w:pPr>
            <w:r>
              <w:rPr>
                <w:rFonts w:hint="eastAsia" w:ascii="宋体" w:hAnsi="宋体" w:eastAsia="宋体" w:cs="宋体"/>
                <w:b/>
                <w:bCs/>
                <w:color w:val="auto"/>
                <w:lang w:val="en-US" w:eastAsia="zh-CN"/>
              </w:rPr>
              <w:t>三、服务地点：</w:t>
            </w:r>
            <w:r>
              <w:rPr>
                <w:rFonts w:hint="eastAsia"/>
                <w:szCs w:val="21"/>
                <w:lang w:val="en-US" w:eastAsia="zh-CN"/>
              </w:rPr>
              <w:t>采购人</w:t>
            </w:r>
            <w:r>
              <w:rPr>
                <w:rFonts w:hint="eastAsia"/>
                <w:szCs w:val="21"/>
              </w:rPr>
              <w:t>指定地点。</w:t>
            </w:r>
          </w:p>
        </w:tc>
        <w:tc>
          <w:tcPr>
            <w:tcW w:w="29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5"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9620"/>
            <w:bookmarkStart w:id="15" w:name="_Toc24579"/>
            <w:r>
              <w:rPr>
                <w:rFonts w:hint="eastAsia" w:ascii="宋体" w:hAnsi="宋体"/>
                <w:color w:val="auto"/>
                <w:szCs w:val="21"/>
              </w:rPr>
              <w:t>4</w:t>
            </w:r>
            <w:bookmarkEnd w:id="14"/>
            <w:bookmarkEnd w:id="15"/>
          </w:p>
        </w:tc>
        <w:tc>
          <w:tcPr>
            <w:tcW w:w="3794" w:type="dxa"/>
            <w:vAlign w:val="center"/>
          </w:tcPr>
          <w:p w14:paraId="7B2D4EC4">
            <w:pPr>
              <w:widowControl/>
              <w:numPr>
                <w:ilvl w:val="0"/>
                <w:numId w:val="0"/>
              </w:numPr>
              <w:spacing w:line="440" w:lineRule="exact"/>
              <w:jc w:val="left"/>
              <w:textAlignment w:val="center"/>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四、售后服务要求：</w:t>
            </w:r>
          </w:p>
          <w:p w14:paraId="5EDF104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lang w:val="en-US" w:eastAsia="zh-CN"/>
              </w:rPr>
            </w:pPr>
            <w:r>
              <w:rPr>
                <w:rFonts w:hint="eastAsia"/>
                <w:szCs w:val="21"/>
                <w:lang w:val="en-US" w:eastAsia="zh-CN"/>
              </w:rPr>
              <w:t>1.质量保证期：自提供服务至服务验收合格之日止。若不能在规定期间完成服务，则延长有效期到服务完成为止。</w:t>
            </w:r>
          </w:p>
          <w:p w14:paraId="561B7C5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ascii="仿宋" w:hAnsi="仿宋" w:eastAsia="仿宋"/>
                <w:bCs/>
                <w:color w:val="auto"/>
                <w:sz w:val="20"/>
                <w:szCs w:val="20"/>
              </w:rPr>
            </w:pPr>
            <w:r>
              <w:rPr>
                <w:rFonts w:hint="eastAsia"/>
                <w:szCs w:val="21"/>
                <w:lang w:val="en-US" w:eastAsia="zh-CN"/>
              </w:rPr>
              <w:t>2.处理问题响应时</w:t>
            </w:r>
            <w:bookmarkStart w:id="18" w:name="_GoBack"/>
            <w:bookmarkEnd w:id="18"/>
            <w:r>
              <w:rPr>
                <w:rFonts w:hint="eastAsia"/>
                <w:szCs w:val="21"/>
                <w:lang w:val="en-US" w:eastAsia="zh-CN"/>
              </w:rPr>
              <w:t>间：接到采购人处理问题通知后，1小时内给出反馈。如需到达采购人指定现场，需提前1天通知。</w:t>
            </w:r>
          </w:p>
        </w:tc>
        <w:tc>
          <w:tcPr>
            <w:tcW w:w="29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8228"/>
            <w:bookmarkStart w:id="17" w:name="_Toc24401"/>
            <w:r>
              <w:rPr>
                <w:rFonts w:hint="eastAsia" w:ascii="宋体" w:hAnsi="宋体"/>
                <w:color w:val="auto"/>
                <w:szCs w:val="21"/>
              </w:rPr>
              <w:t>5</w:t>
            </w:r>
            <w:bookmarkEnd w:id="16"/>
            <w:bookmarkEnd w:id="17"/>
          </w:p>
        </w:tc>
        <w:tc>
          <w:tcPr>
            <w:tcW w:w="3794" w:type="dxa"/>
            <w:vAlign w:val="center"/>
          </w:tcPr>
          <w:p w14:paraId="551AF4A5">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eastAsia="宋体"/>
                <w:b/>
                <w:bCs/>
                <w:color w:val="000000" w:themeColor="text1"/>
                <w:szCs w:val="21"/>
                <w14:textFill>
                  <w14:solidFill>
                    <w14:schemeClr w14:val="tx1"/>
                  </w14:solidFill>
                </w14:textFill>
              </w:rPr>
            </w:pPr>
            <w:r>
              <w:rPr>
                <w:rFonts w:hint="eastAsia" w:ascii="宋体" w:hAnsi="宋体" w:eastAsia="宋体"/>
                <w:b/>
                <w:bCs/>
                <w:color w:val="000000" w:themeColor="text1"/>
                <w:szCs w:val="21"/>
                <w14:textFill>
                  <w14:solidFill>
                    <w14:schemeClr w14:val="tx1"/>
                  </w14:solidFill>
                </w14:textFill>
              </w:rPr>
              <w:t>五、服务质量要求：</w:t>
            </w:r>
          </w:p>
          <w:p w14:paraId="04E2AE2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olor w:val="000000" w:themeColor="text1"/>
                <w:szCs w:val="21"/>
                <w14:textFill>
                  <w14:solidFill>
                    <w14:schemeClr w14:val="tx1"/>
                  </w14:solidFill>
                </w14:textFill>
              </w:rPr>
            </w:pPr>
            <w:r>
              <w:rPr>
                <w:rFonts w:hint="eastAsia" w:asciiTheme="minorEastAsia" w:hAnsiTheme="minorEastAsia" w:cstheme="minorEastAsia"/>
                <w:szCs w:val="21"/>
                <w:lang w:val="en-US" w:eastAsia="zh-CN"/>
              </w:rPr>
              <w:t>1.提供的设计服务内容确保原创，如因服务方提供的设计成果出现侵权行为造成的经济损失，由服务方负责解决并承担。</w:t>
            </w:r>
          </w:p>
          <w:p w14:paraId="2D8321FB">
            <w:pPr>
              <w:spacing w:line="276" w:lineRule="auto"/>
              <w:rPr>
                <w:rFonts w:ascii="仿宋" w:hAnsi="仿宋" w:eastAsia="仿宋"/>
                <w:bCs/>
                <w:color w:val="auto"/>
                <w:sz w:val="20"/>
                <w:szCs w:val="20"/>
              </w:rPr>
            </w:pPr>
            <w:r>
              <w:rPr>
                <w:rFonts w:hint="eastAsia" w:ascii="宋体" w:hAnsi="宋体" w:eastAsia="宋体"/>
                <w:color w:val="000000" w:themeColor="text1"/>
                <w:szCs w:val="21"/>
                <w:lang w:val="en-US" w:eastAsia="zh-CN"/>
                <w14:textFill>
                  <w14:solidFill>
                    <w14:schemeClr w14:val="tx1"/>
                  </w14:solidFill>
                </w14:textFill>
              </w:rPr>
              <w:t>2.</w:t>
            </w:r>
            <w:r>
              <w:rPr>
                <w:rFonts w:hint="eastAsia" w:ascii="宋体" w:hAnsi="宋体" w:eastAsia="宋体"/>
                <w:color w:val="000000" w:themeColor="text1"/>
                <w:szCs w:val="21"/>
                <w14:textFill>
                  <w14:solidFill>
                    <w14:schemeClr w14:val="tx1"/>
                  </w14:solidFill>
                </w14:textFill>
              </w:rPr>
              <w:t>如采购人审核要求对相关</w:t>
            </w:r>
            <w:r>
              <w:rPr>
                <w:rFonts w:hint="eastAsia" w:ascii="宋体" w:hAnsi="宋体" w:eastAsia="宋体"/>
                <w:color w:val="000000" w:themeColor="text1"/>
                <w:szCs w:val="21"/>
                <w:lang w:val="en-US" w:eastAsia="zh-CN"/>
                <w14:textFill>
                  <w14:solidFill>
                    <w14:schemeClr w14:val="tx1"/>
                  </w14:solidFill>
                </w14:textFill>
              </w:rPr>
              <w:t>设计内容</w:t>
            </w:r>
            <w:r>
              <w:rPr>
                <w:rFonts w:hint="eastAsia" w:ascii="宋体" w:hAnsi="宋体" w:eastAsia="宋体"/>
                <w:color w:val="000000" w:themeColor="text1"/>
                <w:szCs w:val="21"/>
                <w14:textFill>
                  <w14:solidFill>
                    <w14:schemeClr w14:val="tx1"/>
                  </w14:solidFill>
                </w14:textFill>
              </w:rPr>
              <w:t>进行修改、调整时，</w:t>
            </w:r>
            <w:r>
              <w:rPr>
                <w:rFonts w:hint="eastAsia" w:ascii="宋体" w:hAnsi="宋体" w:eastAsia="宋体"/>
                <w:color w:val="000000" w:themeColor="text1"/>
                <w:szCs w:val="21"/>
                <w:lang w:val="en-US" w:eastAsia="zh-CN"/>
                <w14:textFill>
                  <w14:solidFill>
                    <w14:schemeClr w14:val="tx1"/>
                  </w14:solidFill>
                </w14:textFill>
              </w:rPr>
              <w:t>服务方</w:t>
            </w:r>
            <w:r>
              <w:rPr>
                <w:rFonts w:hint="eastAsia" w:ascii="宋体" w:hAnsi="宋体" w:eastAsia="宋体"/>
                <w:color w:val="000000" w:themeColor="text1"/>
                <w:szCs w:val="21"/>
                <w14:textFill>
                  <w14:solidFill>
                    <w14:schemeClr w14:val="tx1"/>
                  </w14:solidFill>
                </w14:textFill>
              </w:rPr>
              <w:t>需按采购人的要求进行</w:t>
            </w:r>
            <w:r>
              <w:rPr>
                <w:rFonts w:hint="eastAsia" w:ascii="宋体" w:hAnsi="宋体"/>
                <w:color w:val="000000" w:themeColor="text1"/>
                <w:szCs w:val="21"/>
                <w:lang w:val="en-US" w:eastAsia="zh-CN"/>
                <w14:textFill>
                  <w14:solidFill>
                    <w14:schemeClr w14:val="tx1"/>
                  </w14:solidFill>
                </w14:textFill>
              </w:rPr>
              <w:t>优化改进</w:t>
            </w:r>
            <w:r>
              <w:rPr>
                <w:rFonts w:hint="eastAsia" w:ascii="宋体" w:hAnsi="宋体" w:eastAsia="宋体"/>
                <w:color w:val="000000" w:themeColor="text1"/>
                <w:szCs w:val="21"/>
                <w14:textFill>
                  <w14:solidFill>
                    <w14:schemeClr w14:val="tx1"/>
                  </w14:solidFill>
                </w14:textFill>
              </w:rPr>
              <w:t>，采购人审核通过后</w:t>
            </w:r>
            <w:r>
              <w:rPr>
                <w:rFonts w:hint="eastAsia" w:ascii="宋体" w:hAnsi="宋体" w:eastAsia="宋体"/>
                <w:color w:val="000000" w:themeColor="text1"/>
                <w:szCs w:val="21"/>
                <w:lang w:val="en-US" w:eastAsia="zh-CN"/>
                <w14:textFill>
                  <w14:solidFill>
                    <w14:schemeClr w14:val="tx1"/>
                  </w14:solidFill>
                </w14:textFill>
              </w:rPr>
              <w:t>方定稿</w:t>
            </w:r>
            <w:r>
              <w:rPr>
                <w:rFonts w:hint="eastAsia" w:ascii="宋体" w:hAnsi="宋体" w:eastAsia="宋体"/>
                <w:color w:val="000000" w:themeColor="text1"/>
                <w:szCs w:val="21"/>
                <w14:textFill>
                  <w14:solidFill>
                    <w14:schemeClr w14:val="tx1"/>
                  </w14:solidFill>
                </w14:textFill>
              </w:rPr>
              <w:t>，否则引起的经济损失等后果由</w:t>
            </w:r>
            <w:r>
              <w:rPr>
                <w:rFonts w:hint="eastAsia" w:ascii="宋体" w:hAnsi="宋体" w:eastAsia="宋体"/>
                <w:color w:val="000000" w:themeColor="text1"/>
                <w:szCs w:val="21"/>
                <w:lang w:val="en-US" w:eastAsia="zh-CN"/>
                <w14:textFill>
                  <w14:solidFill>
                    <w14:schemeClr w14:val="tx1"/>
                  </w14:solidFill>
                </w14:textFill>
              </w:rPr>
              <w:t>服务方</w:t>
            </w:r>
            <w:r>
              <w:rPr>
                <w:rFonts w:hint="eastAsia" w:ascii="宋体" w:hAnsi="宋体" w:eastAsia="宋体"/>
                <w:color w:val="000000" w:themeColor="text1"/>
                <w:szCs w:val="21"/>
                <w14:textFill>
                  <w14:solidFill>
                    <w14:schemeClr w14:val="tx1"/>
                  </w14:solidFill>
                </w14:textFill>
              </w:rPr>
              <w:t>承担；</w:t>
            </w:r>
            <w:r>
              <w:rPr>
                <w:rFonts w:hint="eastAsia" w:ascii="宋体" w:hAnsi="宋体"/>
                <w:color w:val="000000" w:themeColor="text1"/>
                <w:szCs w:val="21"/>
                <w:lang w:val="en-US" w:eastAsia="zh-CN"/>
                <w14:textFill>
                  <w14:solidFill>
                    <w14:schemeClr w14:val="tx1"/>
                  </w14:solidFill>
                </w14:textFill>
              </w:rPr>
              <w:t>服务</w:t>
            </w:r>
            <w:r>
              <w:rPr>
                <w:rFonts w:hint="eastAsia" w:ascii="宋体" w:hAnsi="宋体" w:eastAsia="宋体"/>
                <w:color w:val="000000" w:themeColor="text1"/>
                <w:szCs w:val="21"/>
                <w14:textFill>
                  <w14:solidFill>
                    <w14:schemeClr w14:val="tx1"/>
                  </w14:solidFill>
                </w14:textFill>
              </w:rPr>
              <w:t>过程中属于</w:t>
            </w:r>
            <w:r>
              <w:rPr>
                <w:rFonts w:hint="eastAsia" w:ascii="宋体" w:hAnsi="宋体" w:eastAsia="宋体"/>
                <w:color w:val="000000" w:themeColor="text1"/>
                <w:szCs w:val="21"/>
                <w:lang w:val="en-US" w:eastAsia="zh-CN"/>
                <w14:textFill>
                  <w14:solidFill>
                    <w14:schemeClr w14:val="tx1"/>
                  </w14:solidFill>
                </w14:textFill>
              </w:rPr>
              <w:t>服务方</w:t>
            </w:r>
            <w:r>
              <w:rPr>
                <w:rFonts w:hint="eastAsia" w:ascii="宋体" w:hAnsi="宋体" w:eastAsia="宋体"/>
                <w:color w:val="000000" w:themeColor="text1"/>
                <w:szCs w:val="21"/>
                <w14:textFill>
                  <w14:solidFill>
                    <w14:schemeClr w14:val="tx1"/>
                  </w14:solidFill>
                </w14:textFill>
              </w:rPr>
              <w:t>原因造成的错漏等失误，由</w:t>
            </w:r>
            <w:r>
              <w:rPr>
                <w:rFonts w:hint="eastAsia" w:ascii="宋体" w:hAnsi="宋体" w:eastAsia="宋体"/>
                <w:color w:val="000000" w:themeColor="text1"/>
                <w:szCs w:val="21"/>
                <w:lang w:val="en-US" w:eastAsia="zh-CN"/>
                <w14:textFill>
                  <w14:solidFill>
                    <w14:schemeClr w14:val="tx1"/>
                  </w14:solidFill>
                </w14:textFill>
              </w:rPr>
              <w:t>服务方</w:t>
            </w:r>
            <w:r>
              <w:rPr>
                <w:rFonts w:hint="eastAsia" w:ascii="宋体" w:hAnsi="宋体" w:eastAsia="宋体"/>
                <w:color w:val="000000" w:themeColor="text1"/>
                <w:szCs w:val="21"/>
                <w14:textFill>
                  <w14:solidFill>
                    <w14:schemeClr w14:val="tx1"/>
                  </w14:solidFill>
                </w14:textFill>
              </w:rPr>
              <w:t>负责改正，相关费用应由</w:t>
            </w:r>
            <w:r>
              <w:rPr>
                <w:rFonts w:hint="eastAsia" w:ascii="宋体" w:hAnsi="宋体" w:eastAsia="宋体"/>
                <w:color w:val="000000" w:themeColor="text1"/>
                <w:szCs w:val="21"/>
                <w:lang w:val="en-US" w:eastAsia="zh-CN"/>
                <w14:textFill>
                  <w14:solidFill>
                    <w14:schemeClr w14:val="tx1"/>
                  </w14:solidFill>
                </w14:textFill>
              </w:rPr>
              <w:t>服务方</w:t>
            </w:r>
            <w:r>
              <w:rPr>
                <w:rFonts w:hint="eastAsia" w:ascii="宋体" w:hAnsi="宋体" w:eastAsia="宋体"/>
                <w:color w:val="000000" w:themeColor="text1"/>
                <w:szCs w:val="21"/>
                <w14:textFill>
                  <w14:solidFill>
                    <w14:schemeClr w14:val="tx1"/>
                  </w14:solidFill>
                </w14:textFill>
              </w:rPr>
              <w:t>自行承担。</w:t>
            </w:r>
          </w:p>
        </w:tc>
        <w:tc>
          <w:tcPr>
            <w:tcW w:w="29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6248AC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2DCC76B">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6</w:t>
            </w:r>
          </w:p>
        </w:tc>
        <w:tc>
          <w:tcPr>
            <w:tcW w:w="3794" w:type="dxa"/>
            <w:vAlign w:val="center"/>
          </w:tcPr>
          <w:p w14:paraId="5A7364C1">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b/>
                <w:bCs/>
                <w:szCs w:val="21"/>
              </w:rPr>
            </w:pPr>
            <w:r>
              <w:rPr>
                <w:rFonts w:hint="eastAsia"/>
                <w:b/>
                <w:bCs/>
                <w:szCs w:val="21"/>
                <w:lang w:val="en-US" w:eastAsia="zh-CN"/>
              </w:rPr>
              <w:t>六、</w:t>
            </w:r>
            <w:r>
              <w:rPr>
                <w:rFonts w:hint="eastAsia"/>
                <w:b/>
                <w:bCs/>
                <w:szCs w:val="21"/>
              </w:rPr>
              <w:t>其他要求:</w:t>
            </w:r>
          </w:p>
          <w:p w14:paraId="29964175">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szCs w:val="21"/>
                <w:highlight w:val="none"/>
              </w:rPr>
            </w:pPr>
            <w:r>
              <w:rPr>
                <w:rFonts w:hint="eastAsia"/>
                <w:szCs w:val="21"/>
                <w:highlight w:val="none"/>
                <w:lang w:val="en-US" w:eastAsia="zh-CN"/>
              </w:rPr>
              <w:t>1.</w:t>
            </w:r>
            <w:r>
              <w:rPr>
                <w:rFonts w:hint="eastAsia"/>
                <w:szCs w:val="21"/>
                <w:highlight w:val="none"/>
              </w:rPr>
              <w:t>报价须包含</w:t>
            </w:r>
            <w:r>
              <w:rPr>
                <w:rFonts w:hint="eastAsia"/>
                <w:szCs w:val="21"/>
                <w:highlight w:val="none"/>
                <w:lang w:val="en-US" w:eastAsia="zh-CN"/>
              </w:rPr>
              <w:t>以下部分</w:t>
            </w:r>
          </w:p>
          <w:p w14:paraId="45F2E33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highlight w:val="none"/>
              </w:rPr>
            </w:pPr>
            <w:r>
              <w:rPr>
                <w:rFonts w:hint="eastAsia"/>
                <w:szCs w:val="21"/>
                <w:highlight w:val="none"/>
                <w:lang w:eastAsia="zh-CN"/>
              </w:rPr>
              <w:t>（</w:t>
            </w:r>
            <w:r>
              <w:rPr>
                <w:rFonts w:hint="eastAsia"/>
                <w:szCs w:val="21"/>
                <w:highlight w:val="none"/>
                <w:lang w:val="en-US" w:eastAsia="zh-CN"/>
              </w:rPr>
              <w:t>1</w:t>
            </w:r>
            <w:r>
              <w:rPr>
                <w:rFonts w:hint="eastAsia"/>
                <w:szCs w:val="21"/>
                <w:highlight w:val="none"/>
                <w:lang w:eastAsia="zh-CN"/>
              </w:rPr>
              <w:t>）</w:t>
            </w:r>
            <w:r>
              <w:rPr>
                <w:rFonts w:hint="eastAsia"/>
                <w:szCs w:val="21"/>
                <w:highlight w:val="none"/>
                <w:lang w:val="en-US" w:eastAsia="zh-CN"/>
              </w:rPr>
              <w:t>设计</w:t>
            </w:r>
            <w:r>
              <w:rPr>
                <w:rFonts w:hint="eastAsia"/>
                <w:szCs w:val="21"/>
                <w:highlight w:val="none"/>
              </w:rPr>
              <w:t>服务价格</w:t>
            </w:r>
            <w:r>
              <w:rPr>
                <w:rFonts w:hint="eastAsia"/>
                <w:szCs w:val="21"/>
                <w:highlight w:val="none"/>
                <w:lang w:eastAsia="zh-CN"/>
              </w:rPr>
              <w:t>；</w:t>
            </w:r>
          </w:p>
          <w:p w14:paraId="4C6C3011">
            <w:pPr>
              <w:keepNext w:val="0"/>
              <w:keepLines w:val="0"/>
              <w:pageBreakBefore w:val="0"/>
              <w:widowControl w:val="0"/>
              <w:numPr>
                <w:ilvl w:val="-1"/>
                <w:numId w:val="0"/>
              </w:numPr>
              <w:kinsoku/>
              <w:wordWrap/>
              <w:overflowPunct/>
              <w:topLinePunct w:val="0"/>
              <w:autoSpaceDE/>
              <w:autoSpaceDN/>
              <w:bidi w:val="0"/>
              <w:adjustRightInd/>
              <w:snapToGrid/>
              <w:spacing w:line="240" w:lineRule="auto"/>
              <w:ind w:firstLine="420" w:firstLineChars="200"/>
              <w:textAlignment w:val="auto"/>
              <w:rPr>
                <w:rFonts w:hint="eastAsia" w:eastAsia="宋体"/>
                <w:szCs w:val="21"/>
                <w:lang w:eastAsia="zh-CN"/>
              </w:rPr>
            </w:pPr>
            <w:r>
              <w:rPr>
                <w:rFonts w:hint="eastAsia"/>
                <w:szCs w:val="21"/>
                <w:highlight w:val="none"/>
                <w:lang w:eastAsia="zh-CN"/>
              </w:rPr>
              <w:t>（</w:t>
            </w:r>
            <w:r>
              <w:rPr>
                <w:rFonts w:hint="eastAsia"/>
                <w:szCs w:val="21"/>
                <w:highlight w:val="none"/>
                <w:lang w:val="en-US" w:eastAsia="zh-CN"/>
              </w:rPr>
              <w:t>2</w:t>
            </w:r>
            <w:r>
              <w:rPr>
                <w:rFonts w:hint="eastAsia"/>
                <w:szCs w:val="21"/>
                <w:highlight w:val="none"/>
                <w:lang w:eastAsia="zh-CN"/>
              </w:rPr>
              <w:t>）</w:t>
            </w:r>
            <w:r>
              <w:rPr>
                <w:rFonts w:hint="eastAsia"/>
                <w:szCs w:val="21"/>
                <w:highlight w:val="none"/>
              </w:rPr>
              <w:t>必要的保</w:t>
            </w:r>
            <w:r>
              <w:rPr>
                <w:rFonts w:hint="eastAsia"/>
                <w:szCs w:val="21"/>
              </w:rPr>
              <w:t>险费用和各项税金</w:t>
            </w:r>
            <w:r>
              <w:rPr>
                <w:rFonts w:hint="eastAsia"/>
                <w:szCs w:val="21"/>
                <w:lang w:eastAsia="zh-CN"/>
              </w:rPr>
              <w:t>；</w:t>
            </w:r>
          </w:p>
          <w:p w14:paraId="4E2C8D56">
            <w:pPr>
              <w:keepNext w:val="0"/>
              <w:keepLines w:val="0"/>
              <w:pageBreakBefore w:val="0"/>
              <w:widowControl w:val="0"/>
              <w:numPr>
                <w:ilvl w:val="-1"/>
                <w:numId w:val="0"/>
              </w:numPr>
              <w:kinsoku/>
              <w:wordWrap/>
              <w:overflowPunct/>
              <w:topLinePunct w:val="0"/>
              <w:autoSpaceDE/>
              <w:autoSpaceDN/>
              <w:bidi w:val="0"/>
              <w:adjustRightInd/>
              <w:snapToGrid/>
              <w:spacing w:line="240" w:lineRule="auto"/>
              <w:ind w:firstLine="420" w:firstLineChars="200"/>
              <w:textAlignment w:val="auto"/>
              <w:rPr>
                <w:rFonts w:hint="eastAsia"/>
                <w:szCs w:val="21"/>
                <w:lang w:eastAsia="zh-CN"/>
              </w:rPr>
            </w:pPr>
            <w:r>
              <w:rPr>
                <w:rFonts w:hint="eastAsia"/>
                <w:szCs w:val="21"/>
                <w:lang w:eastAsia="zh-CN"/>
              </w:rPr>
              <w:t>（</w:t>
            </w:r>
            <w:r>
              <w:rPr>
                <w:rFonts w:hint="eastAsia"/>
                <w:szCs w:val="21"/>
                <w:lang w:val="en-US" w:eastAsia="zh-CN"/>
              </w:rPr>
              <w:t>3</w:t>
            </w:r>
            <w:r>
              <w:rPr>
                <w:rFonts w:hint="eastAsia"/>
                <w:szCs w:val="21"/>
                <w:lang w:eastAsia="zh-CN"/>
              </w:rPr>
              <w:t>）</w:t>
            </w:r>
            <w:r>
              <w:rPr>
                <w:rFonts w:hint="eastAsia"/>
                <w:szCs w:val="21"/>
                <w:lang w:val="en-US" w:eastAsia="zh-CN"/>
              </w:rPr>
              <w:t>为采购人注册版权产生的所有费用；</w:t>
            </w:r>
          </w:p>
          <w:p w14:paraId="55BC298A">
            <w:pPr>
              <w:keepNext w:val="0"/>
              <w:keepLines w:val="0"/>
              <w:pageBreakBefore w:val="0"/>
              <w:widowControl w:val="0"/>
              <w:numPr>
                <w:ilvl w:val="-1"/>
                <w:numId w:val="0"/>
              </w:numPr>
              <w:kinsoku/>
              <w:wordWrap/>
              <w:overflowPunct/>
              <w:topLinePunct w:val="0"/>
              <w:autoSpaceDE/>
              <w:autoSpaceDN/>
              <w:bidi w:val="0"/>
              <w:adjustRightInd/>
              <w:snapToGrid/>
              <w:spacing w:line="240" w:lineRule="auto"/>
              <w:ind w:firstLine="420" w:firstLineChars="200"/>
              <w:textAlignment w:val="auto"/>
              <w:rPr>
                <w:rFonts w:hint="eastAsia"/>
                <w:szCs w:val="21"/>
                <w:lang w:eastAsia="zh-CN"/>
              </w:rPr>
            </w:pPr>
            <w:r>
              <w:rPr>
                <w:rFonts w:hint="eastAsia"/>
                <w:szCs w:val="21"/>
                <w:lang w:eastAsia="zh-CN"/>
              </w:rPr>
              <w:t>（</w:t>
            </w:r>
            <w:r>
              <w:rPr>
                <w:rFonts w:hint="eastAsia"/>
                <w:szCs w:val="21"/>
                <w:lang w:val="en-US" w:eastAsia="zh-CN"/>
              </w:rPr>
              <w:t>4</w:t>
            </w:r>
            <w:r>
              <w:rPr>
                <w:rFonts w:hint="eastAsia"/>
                <w:szCs w:val="21"/>
                <w:lang w:eastAsia="zh-CN"/>
              </w:rPr>
              <w:t>）</w:t>
            </w:r>
            <w:r>
              <w:rPr>
                <w:rFonts w:hint="eastAsia"/>
                <w:szCs w:val="21"/>
              </w:rPr>
              <w:t>其他</w:t>
            </w:r>
            <w:r>
              <w:rPr>
                <w:rFonts w:hint="eastAsia"/>
                <w:szCs w:val="21"/>
                <w:lang w:eastAsia="zh-CN"/>
              </w:rPr>
              <w:t>（</w:t>
            </w:r>
            <w:r>
              <w:rPr>
                <w:rFonts w:hint="eastAsia"/>
                <w:szCs w:val="21"/>
              </w:rPr>
              <w:t>包括不限于术支持、售后服务等与本服相关的各费用</w:t>
            </w:r>
            <w:r>
              <w:rPr>
                <w:rFonts w:hint="eastAsia"/>
                <w:szCs w:val="21"/>
                <w:lang w:eastAsia="zh-CN"/>
              </w:rPr>
              <w:t>）。</w:t>
            </w:r>
          </w:p>
          <w:p w14:paraId="0CEC664A">
            <w:pPr>
              <w:keepNext w:val="0"/>
              <w:keepLines w:val="0"/>
              <w:pageBreakBefore w:val="0"/>
              <w:widowControl w:val="0"/>
              <w:numPr>
                <w:ilvl w:val="-1"/>
                <w:numId w:val="0"/>
              </w:numPr>
              <w:kinsoku/>
              <w:wordWrap/>
              <w:overflowPunct/>
              <w:topLinePunct w:val="0"/>
              <w:autoSpaceDE/>
              <w:autoSpaceDN/>
              <w:bidi w:val="0"/>
              <w:adjustRightInd/>
              <w:snapToGrid/>
              <w:spacing w:line="240" w:lineRule="auto"/>
              <w:ind w:firstLine="420" w:firstLineChars="200"/>
              <w:textAlignment w:val="auto"/>
              <w:rPr>
                <w:rFonts w:hint="eastAsia" w:eastAsia="宋体"/>
                <w:szCs w:val="21"/>
                <w:lang w:eastAsia="zh-CN"/>
              </w:rPr>
            </w:pPr>
            <w:r>
              <w:rPr>
                <w:rFonts w:hint="eastAsia"/>
                <w:szCs w:val="21"/>
                <w:lang w:val="en-US" w:eastAsia="zh-CN"/>
              </w:rPr>
              <w:t>2.</w:t>
            </w:r>
            <w:r>
              <w:rPr>
                <w:rFonts w:hint="eastAsia"/>
                <w:szCs w:val="21"/>
              </w:rPr>
              <w:t>付款方式</w:t>
            </w:r>
            <w:r>
              <w:rPr>
                <w:rFonts w:hint="eastAsia"/>
                <w:szCs w:val="21"/>
                <w:lang w:eastAsia="zh-CN"/>
              </w:rPr>
              <w:t>：</w:t>
            </w:r>
            <w:r>
              <w:rPr>
                <w:rFonts w:hint="eastAsia"/>
                <w:szCs w:val="21"/>
              </w:rPr>
              <w:t>签订合同之日起</w:t>
            </w:r>
            <w:r>
              <w:rPr>
                <w:rFonts w:hint="eastAsia"/>
                <w:szCs w:val="21"/>
                <w:lang w:val="en-US" w:eastAsia="zh-CN"/>
              </w:rPr>
              <w:t>1</w:t>
            </w:r>
            <w:r>
              <w:rPr>
                <w:rFonts w:hint="eastAsia"/>
                <w:szCs w:val="21"/>
              </w:rPr>
              <w:t>个月内支付</w:t>
            </w:r>
            <w:r>
              <w:rPr>
                <w:rFonts w:hint="eastAsia"/>
                <w:szCs w:val="21"/>
                <w:lang w:val="en-US" w:eastAsia="zh-CN"/>
              </w:rPr>
              <w:t>30</w:t>
            </w:r>
            <w:r>
              <w:rPr>
                <w:rFonts w:hint="eastAsia"/>
                <w:szCs w:val="21"/>
              </w:rPr>
              <w:t>%合同款，</w:t>
            </w:r>
            <w:r>
              <w:rPr>
                <w:rFonts w:hint="eastAsia"/>
                <w:szCs w:val="21"/>
                <w:lang w:val="en-US" w:eastAsia="zh-CN"/>
              </w:rPr>
              <w:t>宣传手册设计服务结束并提供服务清单后支付20%合同款，邕小献形象延伸设计服务结束并完成版权注册，提供服务清单后支付30%合同款，平面设计服务结束并提供服务清单，通过验收后支付剩余的20%合同款。</w:t>
            </w:r>
            <w:r>
              <w:rPr>
                <w:rFonts w:hint="eastAsia"/>
                <w:szCs w:val="21"/>
                <w:lang w:eastAsia="zh-CN"/>
              </w:rPr>
              <w:t>（</w:t>
            </w:r>
            <w:r>
              <w:rPr>
                <w:rFonts w:hint="eastAsia"/>
                <w:szCs w:val="21"/>
              </w:rPr>
              <w:t>付款前</w:t>
            </w:r>
            <w:r>
              <w:rPr>
                <w:rFonts w:hint="eastAsia"/>
                <w:szCs w:val="21"/>
                <w:lang w:val="en-US" w:eastAsia="zh-CN"/>
              </w:rPr>
              <w:t>服务方</w:t>
            </w:r>
            <w:r>
              <w:rPr>
                <w:rFonts w:hint="eastAsia"/>
                <w:szCs w:val="21"/>
              </w:rPr>
              <w:t>需提供等额合规的增值税普通发票</w:t>
            </w:r>
            <w:r>
              <w:rPr>
                <w:rFonts w:hint="eastAsia"/>
                <w:szCs w:val="21"/>
                <w:lang w:eastAsia="zh-CN"/>
              </w:rPr>
              <w:t>）</w:t>
            </w:r>
          </w:p>
          <w:p w14:paraId="7503A68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rPr>
            </w:pPr>
            <w:r>
              <w:rPr>
                <w:rFonts w:hint="eastAsia"/>
                <w:szCs w:val="21"/>
                <w:lang w:val="en-US" w:eastAsia="zh-CN"/>
              </w:rPr>
              <w:t>3.</w:t>
            </w:r>
            <w:r>
              <w:rPr>
                <w:rFonts w:hint="eastAsia"/>
                <w:szCs w:val="21"/>
              </w:rPr>
              <w:t>成交供应商未按采购公告中《采购项目需求一览表》中的内容提供服务或服务未达标准的采购人可解除本合同。</w:t>
            </w:r>
          </w:p>
          <w:p w14:paraId="2969E057">
            <w:pPr>
              <w:spacing w:line="276" w:lineRule="auto"/>
              <w:rPr>
                <w:rFonts w:ascii="仿宋" w:hAnsi="仿宋" w:eastAsia="仿宋"/>
                <w:bCs/>
                <w:color w:val="auto"/>
                <w:sz w:val="20"/>
                <w:szCs w:val="20"/>
              </w:rPr>
            </w:pPr>
          </w:p>
        </w:tc>
        <w:tc>
          <w:tcPr>
            <w:tcW w:w="2925" w:type="dxa"/>
            <w:vAlign w:val="center"/>
          </w:tcPr>
          <w:p w14:paraId="431B7995">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07A623">
            <w:pPr>
              <w:adjustRightInd w:val="0"/>
              <w:snapToGrid w:val="0"/>
              <w:spacing w:line="400" w:lineRule="exact"/>
              <w:jc w:val="center"/>
              <w:outlineLvl w:val="0"/>
              <w:rPr>
                <w:rFonts w:ascii="宋体" w:hAnsi="宋体"/>
                <w:color w:val="auto"/>
                <w:sz w:val="16"/>
                <w:szCs w:val="16"/>
              </w:rPr>
            </w:pPr>
            <w:r>
              <w:rPr>
                <w:rFonts w:ascii="宋体" w:hAnsi="宋体"/>
                <w:color w:val="auto"/>
                <w:sz w:val="16"/>
                <w:szCs w:val="16"/>
              </w:rPr>
              <w:t>正偏离（负偏离或无偏离）</w:t>
            </w:r>
          </w:p>
        </w:tc>
      </w:tr>
      <w:tr w14:paraId="7628DB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100CF420">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4" w:type="dxa"/>
            <w:vAlign w:val="center"/>
          </w:tcPr>
          <w:p w14:paraId="59A68730">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b/>
                <w:bCs/>
                <w:szCs w:val="21"/>
              </w:rPr>
            </w:pPr>
            <w:r>
              <w:rPr>
                <w:rFonts w:hint="eastAsia"/>
                <w:b/>
                <w:bCs/>
                <w:szCs w:val="21"/>
                <w:lang w:val="en-US" w:eastAsia="zh-CN"/>
              </w:rPr>
              <w:t>七</w:t>
            </w:r>
            <w:r>
              <w:rPr>
                <w:rFonts w:hint="eastAsia"/>
                <w:b/>
                <w:bCs/>
                <w:szCs w:val="21"/>
              </w:rPr>
              <w:t>、验收条件及标准:</w:t>
            </w:r>
          </w:p>
          <w:p w14:paraId="10DD45F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rPr>
            </w:pPr>
            <w:r>
              <w:rPr>
                <w:rFonts w:hint="eastAsia"/>
                <w:szCs w:val="21"/>
              </w:rPr>
              <w:t>(一)本项目</w:t>
            </w:r>
            <w:r>
              <w:rPr>
                <w:rFonts w:hint="eastAsia"/>
                <w:szCs w:val="21"/>
                <w:lang w:val="en-US" w:eastAsia="zh-CN"/>
              </w:rPr>
              <w:t>所有服务</w:t>
            </w:r>
            <w:r>
              <w:rPr>
                <w:rFonts w:hint="eastAsia"/>
                <w:szCs w:val="21"/>
              </w:rPr>
              <w:t>完成后</w:t>
            </w:r>
            <w:r>
              <w:rPr>
                <w:rFonts w:hint="eastAsia"/>
                <w:szCs w:val="21"/>
                <w:lang w:val="en-US" w:eastAsia="zh-CN"/>
              </w:rPr>
              <w:t>服务方</w:t>
            </w:r>
            <w:r>
              <w:rPr>
                <w:rFonts w:hint="eastAsia"/>
                <w:szCs w:val="21"/>
              </w:rPr>
              <w:t>可向采购人提出验收申请。</w:t>
            </w:r>
          </w:p>
          <w:p w14:paraId="7C4D54F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szCs w:val="21"/>
              </w:rPr>
            </w:pPr>
            <w:r>
              <w:rPr>
                <w:rFonts w:hint="eastAsia"/>
                <w:szCs w:val="21"/>
              </w:rPr>
              <w:t>(二)采购人将组织验收小组对</w:t>
            </w:r>
            <w:r>
              <w:rPr>
                <w:rFonts w:hint="eastAsia"/>
                <w:szCs w:val="21"/>
                <w:lang w:val="en-US" w:eastAsia="zh-CN"/>
              </w:rPr>
              <w:t>服务方</w:t>
            </w:r>
            <w:r>
              <w:rPr>
                <w:rFonts w:hint="eastAsia"/>
                <w:szCs w:val="21"/>
              </w:rPr>
              <w:t>的服务情况进行验收，验收着重考察</w:t>
            </w:r>
            <w:r>
              <w:rPr>
                <w:rFonts w:hint="eastAsia"/>
                <w:szCs w:val="21"/>
                <w:lang w:val="en-US" w:eastAsia="zh-CN"/>
              </w:rPr>
              <w:t>服务方</w:t>
            </w:r>
            <w:r>
              <w:rPr>
                <w:rFonts w:hint="eastAsia"/>
                <w:szCs w:val="21"/>
              </w:rPr>
              <w:t>所提供的服务是否满足本项目服务要求，验收完成后验收小组将出具验收报告。</w:t>
            </w:r>
          </w:p>
          <w:p w14:paraId="05AEF8C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ascii="仿宋" w:hAnsi="仿宋" w:eastAsia="仿宋"/>
                <w:bCs/>
                <w:color w:val="auto"/>
                <w:sz w:val="20"/>
                <w:szCs w:val="20"/>
              </w:rPr>
            </w:pPr>
            <w:r>
              <w:rPr>
                <w:rFonts w:hint="eastAsia"/>
                <w:szCs w:val="21"/>
              </w:rPr>
              <w:t>(三)首次验收不合格的，中标人在收到通知之日起5个工作日内整改后重新申请验收: 若重新验收不合格的，则将被视为违约。</w:t>
            </w:r>
          </w:p>
        </w:tc>
        <w:tc>
          <w:tcPr>
            <w:tcW w:w="2925" w:type="dxa"/>
            <w:vAlign w:val="center"/>
          </w:tcPr>
          <w:p w14:paraId="5EF054AA">
            <w:pPr>
              <w:adjustRightInd w:val="0"/>
              <w:snapToGrid w:val="0"/>
              <w:spacing w:line="400" w:lineRule="exact"/>
              <w:jc w:val="center"/>
              <w:outlineLvl w:val="0"/>
              <w:rPr>
                <w:rFonts w:hint="eastAsia" w:asciiTheme="minorEastAsia" w:hAnsiTheme="minorEastAsia" w:cstheme="minorEastAsia"/>
                <w:color w:val="FF0000"/>
                <w:szCs w:val="21"/>
              </w:rPr>
            </w:pPr>
          </w:p>
        </w:tc>
        <w:tc>
          <w:tcPr>
            <w:tcW w:w="1571" w:type="dxa"/>
            <w:vAlign w:val="center"/>
          </w:tcPr>
          <w:p w14:paraId="04E1152C">
            <w:pPr>
              <w:adjustRightInd w:val="0"/>
              <w:snapToGrid w:val="0"/>
              <w:spacing w:line="400" w:lineRule="exact"/>
              <w:jc w:val="center"/>
              <w:outlineLvl w:val="0"/>
              <w:rPr>
                <w:rFonts w:ascii="宋体" w:hAnsi="宋体"/>
                <w:color w:val="auto"/>
                <w:sz w:val="16"/>
                <w:szCs w:val="16"/>
              </w:rPr>
            </w:pPr>
          </w:p>
        </w:tc>
      </w:tr>
      <w:tr w14:paraId="0EF247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7801373F">
            <w:pPr>
              <w:adjustRightInd w:val="0"/>
              <w:snapToGrid w:val="0"/>
              <w:spacing w:line="400" w:lineRule="exact"/>
              <w:jc w:val="center"/>
              <w:outlineLvl w:val="0"/>
              <w:rPr>
                <w:rFonts w:hint="default" w:ascii="宋体" w:hAnsi="宋体"/>
                <w:color w:val="auto"/>
                <w:szCs w:val="21"/>
                <w:lang w:val="en-US" w:eastAsia="zh-CN"/>
              </w:rPr>
            </w:pPr>
            <w:r>
              <w:rPr>
                <w:rFonts w:hint="eastAsia" w:ascii="宋体" w:hAnsi="宋体"/>
                <w:color w:val="auto"/>
                <w:szCs w:val="21"/>
                <w:lang w:val="en-US" w:eastAsia="zh-CN"/>
              </w:rPr>
              <w:t>8</w:t>
            </w:r>
          </w:p>
        </w:tc>
        <w:tc>
          <w:tcPr>
            <w:tcW w:w="3794" w:type="dxa"/>
            <w:vAlign w:val="center"/>
          </w:tcPr>
          <w:p w14:paraId="16B49E7F">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ascii="宋体" w:hAnsi="宋体"/>
                <w:b/>
                <w:bCs/>
                <w:color w:val="000000" w:themeColor="text1"/>
                <w:szCs w:val="21"/>
                <w14:textFill>
                  <w14:solidFill>
                    <w14:schemeClr w14:val="tx1"/>
                  </w14:solidFill>
                </w14:textFill>
              </w:rPr>
            </w:pPr>
            <w:r>
              <w:rPr>
                <w:rFonts w:hint="eastAsia" w:ascii="宋体" w:hAnsi="宋体"/>
                <w:b/>
                <w:bCs/>
                <w:color w:val="000000" w:themeColor="text1"/>
                <w:szCs w:val="21"/>
                <w:lang w:val="en-US" w:eastAsia="zh-CN"/>
                <w14:textFill>
                  <w14:solidFill>
                    <w14:schemeClr w14:val="tx1"/>
                  </w14:solidFill>
                </w14:textFill>
              </w:rPr>
              <w:t>八</w:t>
            </w:r>
            <w:r>
              <w:rPr>
                <w:rFonts w:hint="eastAsia" w:ascii="宋体" w:hAnsi="宋体"/>
                <w:b/>
                <w:bCs/>
                <w:color w:val="000000" w:themeColor="text1"/>
                <w:szCs w:val="21"/>
                <w14:textFill>
                  <w14:solidFill>
                    <w14:schemeClr w14:val="tx1"/>
                  </w14:solidFill>
                </w14:textFill>
              </w:rPr>
              <w:t>、发生以下情形，采购人有权解除合同：</w:t>
            </w:r>
          </w:p>
          <w:p w14:paraId="5308B26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w:t>
            </w:r>
            <w:r>
              <w:rPr>
                <w:rFonts w:hint="eastAsia" w:ascii="宋体" w:hAnsi="宋体"/>
                <w:color w:val="000000" w:themeColor="text1"/>
                <w:szCs w:val="21"/>
                <w14:textFill>
                  <w14:solidFill>
                    <w14:schemeClr w14:val="tx1"/>
                  </w14:solidFill>
                </w14:textFill>
              </w:rPr>
              <w:t>因不可抗拒因素导致无法代运营；</w:t>
            </w:r>
          </w:p>
          <w:p w14:paraId="657C24C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2.服务</w:t>
            </w:r>
            <w:r>
              <w:rPr>
                <w:rFonts w:hint="eastAsia" w:ascii="宋体" w:hAnsi="宋体"/>
                <w:color w:val="000000" w:themeColor="text1"/>
                <w:szCs w:val="21"/>
                <w14:textFill>
                  <w14:solidFill>
                    <w14:schemeClr w14:val="tx1"/>
                  </w14:solidFill>
                </w14:textFill>
              </w:rPr>
              <w:t>情况与合同约定要求偏差较大；</w:t>
            </w:r>
          </w:p>
          <w:p w14:paraId="209992D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3.服务</w:t>
            </w:r>
            <w:r>
              <w:rPr>
                <w:rFonts w:hint="eastAsia" w:ascii="宋体" w:hAnsi="宋体"/>
                <w:color w:val="000000" w:themeColor="text1"/>
                <w:szCs w:val="21"/>
                <w14:textFill>
                  <w14:solidFill>
                    <w14:schemeClr w14:val="tx1"/>
                  </w14:solidFill>
                </w14:textFill>
              </w:rPr>
              <w:t>期间因中标人过错对采购人造成不利影响或重大负面舆情的，采购人有权解除合同，扣除</w:t>
            </w:r>
            <w:r>
              <w:rPr>
                <w:rFonts w:hint="eastAsia" w:ascii="宋体" w:hAnsi="宋体"/>
                <w:color w:val="000000" w:themeColor="text1"/>
                <w:szCs w:val="21"/>
                <w:lang w:val="en-US" w:eastAsia="zh-CN"/>
                <w14:textFill>
                  <w14:solidFill>
                    <w14:schemeClr w14:val="tx1"/>
                  </w14:solidFill>
                </w14:textFill>
              </w:rPr>
              <w:t>服务</w:t>
            </w:r>
            <w:r>
              <w:rPr>
                <w:rFonts w:hint="eastAsia" w:ascii="宋体" w:hAnsi="宋体"/>
                <w:color w:val="000000" w:themeColor="text1"/>
                <w:szCs w:val="21"/>
                <w14:textFill>
                  <w14:solidFill>
                    <w14:schemeClr w14:val="tx1"/>
                  </w14:solidFill>
                </w14:textFill>
              </w:rPr>
              <w:t>款项并追究相关责任。</w:t>
            </w:r>
          </w:p>
          <w:p w14:paraId="77A23587">
            <w:pPr>
              <w:spacing w:line="276" w:lineRule="auto"/>
              <w:rPr>
                <w:rFonts w:ascii="仿宋" w:hAnsi="仿宋" w:eastAsia="仿宋"/>
                <w:bCs/>
                <w:color w:val="auto"/>
                <w:sz w:val="20"/>
                <w:szCs w:val="20"/>
              </w:rPr>
            </w:pPr>
            <w:r>
              <w:rPr>
                <w:rFonts w:hint="eastAsia" w:ascii="宋体" w:hAnsi="宋体"/>
                <w:color w:val="000000" w:themeColor="text1"/>
                <w:szCs w:val="21"/>
                <w:lang w:val="en-US" w:eastAsia="zh-CN"/>
                <w14:textFill>
                  <w14:solidFill>
                    <w14:schemeClr w14:val="tx1"/>
                  </w14:solidFill>
                </w14:textFill>
              </w:rPr>
              <w:t>4.</w:t>
            </w:r>
            <w:r>
              <w:rPr>
                <w:rFonts w:hint="eastAsia" w:ascii="宋体" w:hAnsi="宋体"/>
                <w:color w:val="000000" w:themeColor="text1"/>
                <w:szCs w:val="21"/>
                <w14:textFill>
                  <w14:solidFill>
                    <w14:schemeClr w14:val="tx1"/>
                  </w14:solidFill>
                </w14:textFill>
              </w:rPr>
              <w:t>被授权人代表中标人，在</w:t>
            </w:r>
            <w:r>
              <w:rPr>
                <w:rFonts w:hint="eastAsia" w:ascii="宋体" w:hAnsi="宋体"/>
                <w:color w:val="000000" w:themeColor="text1"/>
                <w:szCs w:val="21"/>
                <w:lang w:val="en-US" w:eastAsia="zh-CN"/>
                <w14:textFill>
                  <w14:solidFill>
                    <w14:schemeClr w14:val="tx1"/>
                  </w14:solidFill>
                </w14:textFill>
              </w:rPr>
              <w:t>服务</w:t>
            </w:r>
            <w:r>
              <w:rPr>
                <w:rFonts w:hint="eastAsia" w:ascii="宋体" w:hAnsi="宋体"/>
                <w:color w:val="000000" w:themeColor="text1"/>
                <w:szCs w:val="21"/>
                <w14:textFill>
                  <w14:solidFill>
                    <w14:schemeClr w14:val="tx1"/>
                  </w14:solidFill>
                </w14:textFill>
              </w:rPr>
              <w:t>期间对采购人</w:t>
            </w:r>
            <w:r>
              <w:rPr>
                <w:rFonts w:hint="eastAsia" w:ascii="宋体" w:hAnsi="宋体"/>
                <w:color w:val="000000" w:themeColor="text1"/>
                <w:szCs w:val="21"/>
                <w:lang w:val="en-US" w:eastAsia="zh-CN"/>
                <w14:textFill>
                  <w14:solidFill>
                    <w14:schemeClr w14:val="tx1"/>
                  </w14:solidFill>
                </w14:textFill>
              </w:rPr>
              <w:t>提供的服务</w:t>
            </w:r>
            <w:r>
              <w:rPr>
                <w:rFonts w:hint="eastAsia" w:ascii="宋体" w:hAnsi="宋体"/>
                <w:color w:val="000000" w:themeColor="text1"/>
                <w:szCs w:val="21"/>
                <w14:textFill>
                  <w14:solidFill>
                    <w14:schemeClr w14:val="tx1"/>
                  </w14:solidFill>
                </w14:textFill>
              </w:rPr>
              <w:t>情况负责。如出现未经采购人同意，擅自发布不利于采购人利益或产生社会负面影响的信息，由中标人负责消除不良影响并承担消除影响的相关费用和责任，采购人可根据实际情况相应扣除服务费用或追究相关责任。</w:t>
            </w:r>
          </w:p>
        </w:tc>
        <w:tc>
          <w:tcPr>
            <w:tcW w:w="2925" w:type="dxa"/>
            <w:vAlign w:val="center"/>
          </w:tcPr>
          <w:p w14:paraId="75F392BC">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571" w:type="dxa"/>
            <w:vAlign w:val="center"/>
          </w:tcPr>
          <w:p w14:paraId="1BB36444">
            <w:pPr>
              <w:adjustRightInd w:val="0"/>
              <w:snapToGrid w:val="0"/>
              <w:spacing w:line="400" w:lineRule="exact"/>
              <w:jc w:val="center"/>
              <w:outlineLvl w:val="0"/>
              <w:rPr>
                <w:rFonts w:ascii="宋体" w:hAnsi="宋体"/>
                <w:color w:val="auto"/>
                <w:sz w:val="16"/>
                <w:szCs w:val="16"/>
              </w:rPr>
            </w:pPr>
            <w:r>
              <w:rPr>
                <w:rFonts w:ascii="宋体" w:hAnsi="宋体"/>
                <w:color w:val="auto"/>
                <w:sz w:val="16"/>
                <w:szCs w:val="16"/>
              </w:rPr>
              <w:t>正偏离（负偏离或无偏离）</w:t>
            </w:r>
          </w:p>
        </w:tc>
      </w:tr>
    </w:tbl>
    <w:p w14:paraId="5D1D9BE4">
      <w:pPr>
        <w:pStyle w:val="6"/>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6"/>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3EAA5A05">
      <w:pPr>
        <w:pStyle w:val="2"/>
        <w:numPr>
          <w:ilvl w:val="3"/>
          <w:numId w:val="0"/>
        </w:numPr>
      </w:pPr>
    </w:p>
    <w:p w14:paraId="7F80F59B">
      <w:pPr>
        <w:pStyle w:val="6"/>
        <w:spacing w:line="400" w:lineRule="exact"/>
        <w:rPr>
          <w:rFonts w:hAnsi="宋体" w:cs="宋体"/>
          <w:color w:val="auto"/>
        </w:rPr>
      </w:pPr>
      <w:r>
        <w:rPr>
          <w:rFonts w:hint="eastAsia" w:hAnsi="宋体" w:cs="宋体"/>
          <w:color w:val="auto"/>
        </w:rPr>
        <w:t>响应人（盖单位公章）：</w:t>
      </w:r>
    </w:p>
    <w:p w14:paraId="4379BA0A">
      <w:pPr>
        <w:pStyle w:val="6"/>
        <w:spacing w:line="400" w:lineRule="exact"/>
        <w:rPr>
          <w:rFonts w:hAnsi="宋体" w:cs="宋体"/>
          <w:color w:val="auto"/>
        </w:rPr>
      </w:pPr>
      <w:r>
        <w:rPr>
          <w:rFonts w:hint="eastAsia" w:hAnsi="宋体" w:cs="宋体"/>
          <w:color w:val="auto"/>
        </w:rPr>
        <w:t>法定代表人或其委托代理人（签字或盖章）：</w:t>
      </w: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w:t>
      </w:r>
      <w:r>
        <w:rPr>
          <w:rFonts w:hint="eastAsia" w:ascii="仿宋_GB2312" w:eastAsia="仿宋_GB2312"/>
          <w:color w:val="000000"/>
          <w:sz w:val="28"/>
          <w:szCs w:val="28"/>
          <w:u w:val="single"/>
        </w:rPr>
        <w:t>202</w:t>
      </w:r>
      <w:r>
        <w:rPr>
          <w:rFonts w:hint="eastAsia" w:ascii="仿宋_GB2312" w:eastAsia="仿宋_GB2312"/>
          <w:color w:val="000000"/>
          <w:sz w:val="28"/>
          <w:szCs w:val="28"/>
          <w:u w:val="single"/>
          <w:lang w:val="en-US" w:eastAsia="zh-CN"/>
        </w:rPr>
        <w:t>4年无偿献血宣传设计服务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2"/>
        <w:rPr>
          <w:rFonts w:hint="eastAsia" w:ascii="宋体" w:hAnsi="宋体" w:cs="宋体"/>
          <w:b/>
          <w:sz w:val="30"/>
          <w:szCs w:val="30"/>
        </w:rPr>
      </w:pPr>
    </w:p>
    <w:p w14:paraId="2B8C9D53">
      <w:pPr>
        <w:pStyle w:val="1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FBE9A98-D520-4992-8B4B-9ECE8B41BD71}"/>
  </w:font>
  <w:font w:name="Courier New">
    <w:panose1 w:val="02070309020205020404"/>
    <w:charset w:val="01"/>
    <w:family w:val="modern"/>
    <w:pitch w:val="default"/>
    <w:sig w:usb0="E0002EFF" w:usb1="C0007843" w:usb2="00000009" w:usb3="00000000" w:csb0="400001FF" w:csb1="FFFF0000"/>
    <w:embedRegular r:id="rId2" w:fontKey="{BF237DFA-07EA-4486-8799-0AC29B50AA1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7DC3A7E-A481-4E2B-A1D7-1C98E452B2CB}"/>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AB43B5E9-B2BE-4A5C-8A49-E096000BE01A}"/>
  </w:font>
  <w:font w:name="仿宋_GB2312">
    <w:panose1 w:val="02010609030101010101"/>
    <w:charset w:val="86"/>
    <w:family w:val="modern"/>
    <w:pitch w:val="default"/>
    <w:sig w:usb0="00000001" w:usb1="080E0000" w:usb2="00000000" w:usb3="00000000" w:csb0="00040000" w:csb1="00000000"/>
    <w:embedRegular r:id="rId5" w:fontKey="{14875E53-56A1-4675-BAF2-3A1160E27CB4}"/>
  </w:font>
  <w:font w:name="Lucida Sans Unicode">
    <w:panose1 w:val="020B0602030504020204"/>
    <w:charset w:val="00"/>
    <w:family w:val="swiss"/>
    <w:pitch w:val="default"/>
    <w:sig w:usb0="80001AFF" w:usb1="0000396B" w:usb2="00000000" w:usb3="00000000" w:csb0="200000BF" w:csb1="D7F70000"/>
    <w:embedRegular r:id="rId6" w:fontKey="{6411476B-7385-43C5-A7DD-8B392A9226D5}"/>
  </w:font>
  <w:font w:name="方正楷体_GB2312">
    <w:panose1 w:val="02000000000000000000"/>
    <w:charset w:val="86"/>
    <w:family w:val="auto"/>
    <w:pitch w:val="default"/>
    <w:sig w:usb0="A00002BF" w:usb1="184F6CFA" w:usb2="00000012" w:usb3="00000000" w:csb0="00040001" w:csb1="00000000"/>
    <w:embedRegular r:id="rId7" w:fontKey="{0F922F3C-4ED5-41E9-9C78-DA223F1A7BD3}"/>
  </w:font>
  <w:font w:name="仿宋">
    <w:panose1 w:val="02010609060101010101"/>
    <w:charset w:val="86"/>
    <w:family w:val="modern"/>
    <w:pitch w:val="default"/>
    <w:sig w:usb0="800002BF" w:usb1="38CF7CFA" w:usb2="00000016" w:usb3="00000000" w:csb0="00040001" w:csb1="00000000"/>
    <w:embedRegular r:id="rId8" w:fontKey="{A3B9B696-9420-47ED-AE39-B1E7FC1E7890}"/>
  </w:font>
  <w:font w:name="Wingdings 2">
    <w:panose1 w:val="05020102010507070707"/>
    <w:charset w:val="02"/>
    <w:family w:val="roman"/>
    <w:pitch w:val="default"/>
    <w:sig w:usb0="00000000" w:usb1="00000000" w:usb2="00000000" w:usb3="00000000" w:csb0="80000000" w:csb1="00000000"/>
    <w:embedRegular r:id="rId9" w:fontKey="{DDFACDC8-6B29-4C9A-A9E5-ECFC4AB9D34D}"/>
  </w:font>
  <w:font w:name="方正公文小标宋">
    <w:panose1 w:val="02000500000000000000"/>
    <w:charset w:val="86"/>
    <w:family w:val="auto"/>
    <w:pitch w:val="default"/>
    <w:sig w:usb0="A00002BF" w:usb1="38CF7CFA" w:usb2="00000016" w:usb3="00000000" w:csb0="00040001" w:csb1="00000000"/>
    <w:embedRegular r:id="rId10" w:fontKey="{5D5F69F3-30EF-4572-B72C-688A9A5C495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2D74B40"/>
    <w:rsid w:val="031B2C7F"/>
    <w:rsid w:val="0350496E"/>
    <w:rsid w:val="03670C57"/>
    <w:rsid w:val="046C750A"/>
    <w:rsid w:val="08517143"/>
    <w:rsid w:val="0B656E1E"/>
    <w:rsid w:val="0C0A5403"/>
    <w:rsid w:val="0C145497"/>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20EC5803"/>
    <w:rsid w:val="23DF7159"/>
    <w:rsid w:val="24880C9A"/>
    <w:rsid w:val="24C95406"/>
    <w:rsid w:val="25030284"/>
    <w:rsid w:val="2A3A75DF"/>
    <w:rsid w:val="2BAB4636"/>
    <w:rsid w:val="2BF57C61"/>
    <w:rsid w:val="2CED0939"/>
    <w:rsid w:val="2E620CC5"/>
    <w:rsid w:val="2F4A332F"/>
    <w:rsid w:val="34806536"/>
    <w:rsid w:val="35234768"/>
    <w:rsid w:val="35AD02FE"/>
    <w:rsid w:val="36323860"/>
    <w:rsid w:val="380D6333"/>
    <w:rsid w:val="38575800"/>
    <w:rsid w:val="388C54AA"/>
    <w:rsid w:val="38DD5D05"/>
    <w:rsid w:val="38E946AA"/>
    <w:rsid w:val="39254A49"/>
    <w:rsid w:val="3A155D47"/>
    <w:rsid w:val="3EC14DCA"/>
    <w:rsid w:val="3EDF7B5A"/>
    <w:rsid w:val="3F794BDA"/>
    <w:rsid w:val="41717D14"/>
    <w:rsid w:val="444D69AF"/>
    <w:rsid w:val="44942BEF"/>
    <w:rsid w:val="45D636A5"/>
    <w:rsid w:val="495E2059"/>
    <w:rsid w:val="49CF5B75"/>
    <w:rsid w:val="4A2E27D8"/>
    <w:rsid w:val="4B7122DD"/>
    <w:rsid w:val="4BE930B0"/>
    <w:rsid w:val="4DF267BC"/>
    <w:rsid w:val="508825A3"/>
    <w:rsid w:val="50901C87"/>
    <w:rsid w:val="5099641F"/>
    <w:rsid w:val="539011C5"/>
    <w:rsid w:val="53DA23BC"/>
    <w:rsid w:val="53E47AF0"/>
    <w:rsid w:val="54714A29"/>
    <w:rsid w:val="55731FB9"/>
    <w:rsid w:val="5745560C"/>
    <w:rsid w:val="57671164"/>
    <w:rsid w:val="59401951"/>
    <w:rsid w:val="5B2D3245"/>
    <w:rsid w:val="5DFB7A90"/>
    <w:rsid w:val="60884935"/>
    <w:rsid w:val="61F52ED8"/>
    <w:rsid w:val="6213192F"/>
    <w:rsid w:val="63267838"/>
    <w:rsid w:val="667523D3"/>
    <w:rsid w:val="66F31915"/>
    <w:rsid w:val="674A2C89"/>
    <w:rsid w:val="6A0A3D2C"/>
    <w:rsid w:val="6AC63F9C"/>
    <w:rsid w:val="703B4AE4"/>
    <w:rsid w:val="718A5132"/>
    <w:rsid w:val="71C86016"/>
    <w:rsid w:val="726C367A"/>
    <w:rsid w:val="732B5B1E"/>
    <w:rsid w:val="745C607B"/>
    <w:rsid w:val="75CC2D87"/>
    <w:rsid w:val="7877401B"/>
    <w:rsid w:val="78CC1807"/>
    <w:rsid w:val="792579EC"/>
    <w:rsid w:val="7AAD6DF1"/>
    <w:rsid w:val="7B5E6224"/>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4"/>
    <w:qFormat/>
    <w:uiPriority w:val="0"/>
    <w:pPr>
      <w:jc w:val="left"/>
    </w:pPr>
    <w:rPr>
      <w:rFonts w:ascii="Calibri" w:hAnsi="Calibri" w:eastAsia="宋体" w:cs="Times New Roman"/>
    </w:rPr>
  </w:style>
  <w:style w:type="paragraph" w:styleId="4">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29"/>
    <w:semiHidden/>
    <w:unhideWhenUsed/>
    <w:qFormat/>
    <w:uiPriority w:val="99"/>
    <w:pPr>
      <w:spacing w:after="120"/>
      <w:ind w:left="420" w:leftChars="200"/>
    </w:pPr>
  </w:style>
  <w:style w:type="paragraph" w:styleId="6">
    <w:name w:val="Plain Text"/>
    <w:basedOn w:val="1"/>
    <w:next w:val="2"/>
    <w:link w:val="22"/>
    <w:unhideWhenUsed/>
    <w:qFormat/>
    <w:uiPriority w:val="0"/>
    <w:rPr>
      <w:rFonts w:ascii="宋体" w:hAnsi="Courier New" w:eastAsia="宋体" w:cs="Times New Roman"/>
      <w:szCs w:val="20"/>
    </w:rPr>
  </w:style>
  <w:style w:type="paragraph" w:styleId="7">
    <w:name w:val="Date"/>
    <w:basedOn w:val="1"/>
    <w:next w:val="1"/>
    <w:link w:val="31"/>
    <w:semiHidden/>
    <w:unhideWhenUsed/>
    <w:qFormat/>
    <w:uiPriority w:val="99"/>
    <w:pPr>
      <w:ind w:left="100" w:leftChars="2500"/>
    </w:pPr>
  </w:style>
  <w:style w:type="paragraph" w:styleId="8">
    <w:name w:val="Balloon Text"/>
    <w:basedOn w:val="1"/>
    <w:link w:val="25"/>
    <w:semiHidden/>
    <w:unhideWhenUsed/>
    <w:qFormat/>
    <w:uiPriority w:val="99"/>
    <w:rPr>
      <w:sz w:val="18"/>
      <w:szCs w:val="18"/>
    </w:rPr>
  </w:style>
  <w:style w:type="paragraph" w:styleId="9">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hAnsi="宋体" w:cs="宋体"/>
      <w:szCs w:val="24"/>
    </w:rPr>
  </w:style>
  <w:style w:type="paragraph" w:styleId="12">
    <w:name w:val="Body Text First Indent"/>
    <w:basedOn w:val="4"/>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3">
    <w:name w:val="Body Text First Indent 2"/>
    <w:basedOn w:val="5"/>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4"/>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6"/>
    <w:qFormat/>
    <w:uiPriority w:val="99"/>
    <w:rPr>
      <w:rFonts w:ascii="宋体" w:hAnsi="Courier New" w:eastAsia="宋体" w:cs="Times New Roman"/>
      <w:szCs w:val="20"/>
    </w:rPr>
  </w:style>
  <w:style w:type="character" w:customStyle="1" w:styleId="23">
    <w:name w:val="页脚 Char"/>
    <w:basedOn w:val="16"/>
    <w:link w:val="9"/>
    <w:qFormat/>
    <w:uiPriority w:val="0"/>
    <w:rPr>
      <w:rFonts w:ascii="Calibri" w:hAnsi="Calibri" w:eastAsia="宋体" w:cs="Times New Roman"/>
      <w:sz w:val="18"/>
      <w:szCs w:val="18"/>
    </w:rPr>
  </w:style>
  <w:style w:type="character" w:customStyle="1" w:styleId="24">
    <w:name w:val="批注文字 Char"/>
    <w:basedOn w:val="16"/>
    <w:link w:val="3"/>
    <w:qFormat/>
    <w:uiPriority w:val="0"/>
    <w:rPr>
      <w:rFonts w:ascii="Calibri" w:hAnsi="Calibri" w:eastAsia="宋体" w:cs="Times New Roman"/>
    </w:rPr>
  </w:style>
  <w:style w:type="character" w:customStyle="1" w:styleId="25">
    <w:name w:val="批注框文本 Char"/>
    <w:basedOn w:val="16"/>
    <w:link w:val="8"/>
    <w:semiHidden/>
    <w:qFormat/>
    <w:uiPriority w:val="99"/>
    <w:rPr>
      <w:sz w:val="18"/>
      <w:szCs w:val="18"/>
    </w:rPr>
  </w:style>
  <w:style w:type="character" w:customStyle="1" w:styleId="26">
    <w:name w:val="标题 4 Char"/>
    <w:basedOn w:val="16"/>
    <w:link w:val="2"/>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5"/>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7"/>
    <w:semiHidden/>
    <w:qFormat/>
    <w:uiPriority w:val="99"/>
  </w:style>
  <w:style w:type="character" w:customStyle="1" w:styleId="32">
    <w:name w:val="正文首行缩进 Char"/>
    <w:basedOn w:val="20"/>
    <w:link w:val="1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0"/>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26</Pages>
  <Words>11010</Words>
  <Characters>11499</Characters>
  <Lines>39</Lines>
  <Paragraphs>11</Paragraphs>
  <TotalTime>1</TotalTime>
  <ScaleCrop>false</ScaleCrop>
  <LinksUpToDate>false</LinksUpToDate>
  <CharactersWithSpaces>12847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2024-10-15T04:57:34Z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DBAAD00E7FFC4A1DA3C59792FBC1CCF8_13</vt:lpwstr>
  </property>
</Properties>
</file>