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南宁中心血站2024年折叠桌采购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30</w:t>
      </w:r>
      <w:r>
        <w:rPr>
          <w:rFonts w:hint="eastAsia" w:ascii="仿宋_GB2312" w:hAnsi="Courier New" w:eastAsia="仿宋_GB2312" w:cs="Courier New"/>
          <w:b/>
          <w:bCs/>
          <w:color w:val="000000"/>
          <w:kern w:val="0"/>
          <w:sz w:val="32"/>
          <w:szCs w:val="32"/>
          <w:lang w:val="zh-TW" w:eastAsia="zh-TW"/>
        </w:rPr>
        <w:t>日</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南宁中心血站2024年</w:t>
      </w:r>
      <w:r>
        <w:rPr>
          <w:rFonts w:hint="eastAsia" w:ascii="方正小标宋简体" w:hAnsi="方正小标宋简体" w:eastAsia="方正小标宋简体" w:cs="方正小标宋简体"/>
          <w:sz w:val="44"/>
          <w:szCs w:val="44"/>
          <w:lang w:val="en-US" w:eastAsia="zh-CN"/>
        </w:rPr>
        <w:t>折叠桌</w:t>
      </w: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w:t>
      </w:r>
      <w:r>
        <w:rPr>
          <w:rFonts w:hint="eastAsia" w:ascii="仿宋_GB2312" w:hAnsi="Courier New" w:eastAsia="仿宋_GB2312" w:cs="Courier New"/>
          <w:color w:val="000000"/>
          <w:kern w:val="0"/>
          <w:sz w:val="32"/>
          <w:szCs w:val="32"/>
          <w:lang w:val="en-US" w:eastAsia="zh-CN"/>
        </w:rPr>
        <w:t>折叠桌</w:t>
      </w:r>
      <w:r>
        <w:rPr>
          <w:rFonts w:hint="eastAsia" w:ascii="仿宋_GB2312" w:hAnsi="Courier New" w:eastAsia="仿宋_GB2312" w:cs="Courier New"/>
          <w:color w:val="000000"/>
          <w:kern w:val="0"/>
          <w:sz w:val="32"/>
          <w:szCs w:val="32"/>
          <w:lang w:val="zh-TW" w:eastAsia="zh-TW"/>
        </w:rPr>
        <w:t>进行采购，现就该项目邀请具有资质的单位进行响应，采购信息如下：</w:t>
      </w:r>
      <w:bookmarkStart w:id="19" w:name="_GoBack"/>
      <w:bookmarkEnd w:id="19"/>
    </w:p>
    <w:p w14:paraId="59143C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7</w:t>
      </w:r>
    </w:p>
    <w:p w14:paraId="1803D09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w:t>
      </w:r>
      <w:r>
        <w:rPr>
          <w:rFonts w:hint="eastAsia" w:ascii="仿宋_GB2312" w:hAnsi="Courier New" w:eastAsia="仿宋_GB2312" w:cs="Courier New"/>
          <w:color w:val="000000"/>
          <w:kern w:val="0"/>
          <w:sz w:val="32"/>
          <w:szCs w:val="32"/>
          <w:lang w:val="en-US" w:eastAsia="zh-CN"/>
        </w:rPr>
        <w:t>折叠桌</w:t>
      </w:r>
      <w:r>
        <w:rPr>
          <w:rFonts w:hint="eastAsia" w:ascii="仿宋_GB2312" w:hAnsi="Courier New" w:eastAsia="仿宋_GB2312" w:cs="Courier New"/>
          <w:color w:val="000000"/>
          <w:kern w:val="0"/>
          <w:sz w:val="32"/>
          <w:szCs w:val="32"/>
          <w:lang w:val="zh-TW" w:eastAsia="zh-TW"/>
        </w:rPr>
        <w:t>采购</w:t>
      </w:r>
    </w:p>
    <w:p w14:paraId="46018D6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15000</w:t>
      </w:r>
      <w:r>
        <w:rPr>
          <w:rFonts w:hint="eastAsia" w:ascii="仿宋_GB2312" w:hAnsi="Courier New" w:eastAsia="仿宋_GB2312" w:cs="Courier New"/>
          <w:color w:val="000000"/>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15000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响应折叠桌实物产品图片</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7A71D3D">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w:t>
      </w:r>
    </w:p>
    <w:p w14:paraId="7A35BA8E">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6DE991FA">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4F6A4408">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4E6BFEB4">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362D777">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42ABF5EE">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7799446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numPr>
          <w:ilvl w:val="0"/>
          <w:numId w:val="0"/>
        </w:numPr>
        <w:ind w:left="0" w:firstLine="0"/>
        <w:rPr>
          <w:b/>
          <w:bCs/>
        </w:rPr>
      </w:pPr>
      <w:r>
        <w:rPr>
          <w:rFonts w:hint="eastAsia" w:ascii="宋体" w:hAnsi="宋体" w:eastAsia="宋体" w:cs="宋体"/>
          <w:b/>
          <w:bCs/>
          <w:kern w:val="2"/>
          <w:sz w:val="21"/>
          <w:szCs w:val="21"/>
        </w:rPr>
        <w:t>说明：本采购需求一览表中标注★号的内容为实质性要求和条件，供应商必须满足，不满足或负偏离视为无效响应。</w:t>
      </w:r>
    </w:p>
    <w:tbl>
      <w:tblPr>
        <w:tblStyle w:val="17"/>
        <w:tblW w:w="8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665"/>
        <w:gridCol w:w="627"/>
        <w:gridCol w:w="6019"/>
        <w:gridCol w:w="1078"/>
      </w:tblGrid>
      <w:tr w14:paraId="70007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D63307D">
            <w:pPr>
              <w:jc w:val="center"/>
              <w:rPr>
                <w:rFonts w:ascii="宋体" w:hAnsi="宋体"/>
                <w:b/>
                <w:szCs w:val="21"/>
              </w:rPr>
            </w:pPr>
            <w:r>
              <w:rPr>
                <w:rFonts w:hint="eastAsia" w:ascii="宋体" w:hAnsi="宋体"/>
                <w:b/>
                <w:szCs w:val="21"/>
              </w:rPr>
              <w:t>项号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6309ED39">
            <w:pPr>
              <w:jc w:val="center"/>
              <w:rPr>
                <w:rFonts w:ascii="宋体" w:hAnsi="宋体"/>
                <w:b/>
                <w:szCs w:val="21"/>
              </w:rPr>
            </w:pPr>
            <w:r>
              <w:rPr>
                <w:rFonts w:hint="eastAsia" w:ascii="宋体" w:hAnsi="宋体"/>
                <w:b/>
                <w:szCs w:val="21"/>
              </w:rPr>
              <w:t>货物</w:t>
            </w:r>
          </w:p>
          <w:p w14:paraId="258F6B5C">
            <w:pPr>
              <w:jc w:val="center"/>
              <w:rPr>
                <w:rFonts w:ascii="宋体" w:hAnsi="宋体"/>
                <w:b/>
                <w:szCs w:val="21"/>
              </w:rPr>
            </w:pPr>
            <w:r>
              <w:rPr>
                <w:rFonts w:hint="eastAsia" w:ascii="宋体" w:hAnsi="宋体"/>
                <w:b/>
                <w:szCs w:val="21"/>
              </w:rPr>
              <w:t>名称</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7E83ACD">
            <w:pPr>
              <w:jc w:val="center"/>
              <w:rPr>
                <w:rFonts w:ascii="宋体" w:hAnsi="宋体"/>
                <w:b/>
                <w:szCs w:val="21"/>
              </w:rPr>
            </w:pPr>
            <w:r>
              <w:rPr>
                <w:rFonts w:hint="eastAsia" w:ascii="宋体" w:hAnsi="宋体"/>
                <w:b/>
                <w:szCs w:val="21"/>
              </w:rPr>
              <w:t>单位</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05149616">
            <w:pPr>
              <w:jc w:val="center"/>
              <w:rPr>
                <w:rFonts w:ascii="宋体" w:hAnsi="宋体"/>
                <w:b/>
                <w:szCs w:val="21"/>
              </w:rPr>
            </w:pPr>
            <w:r>
              <w:rPr>
                <w:rFonts w:hint="eastAsia" w:ascii="宋体" w:hAnsi="宋体"/>
                <w:b/>
                <w:szCs w:val="21"/>
              </w:rPr>
              <w:t>技术参数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75E83E4">
            <w:pPr>
              <w:jc w:val="center"/>
              <w:rPr>
                <w:rFonts w:ascii="宋体" w:hAnsi="宋体"/>
                <w:b/>
                <w:szCs w:val="21"/>
              </w:rPr>
            </w:pPr>
            <w:r>
              <w:rPr>
                <w:rFonts w:hint="eastAsia" w:ascii="宋体" w:hAnsi="宋体"/>
                <w:b/>
                <w:szCs w:val="21"/>
              </w:rPr>
              <w:t>预算合价（元）</w:t>
            </w:r>
          </w:p>
        </w:tc>
      </w:tr>
      <w:tr w14:paraId="2CCC27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AD9B9F">
            <w:pPr>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5D833597">
            <w:pPr>
              <w:widowControl/>
              <w:spacing w:line="400" w:lineRule="exact"/>
              <w:jc w:val="left"/>
              <w:textAlignment w:val="center"/>
              <w:rPr>
                <w:rFonts w:hint="eastAsia" w:ascii="宋体" w:hAnsi="宋体" w:eastAsia="宋体" w:cs="宋体"/>
                <w:szCs w:val="21"/>
                <w:lang w:val="en-US" w:eastAsia="zh-CN"/>
              </w:rPr>
            </w:pPr>
            <w:r>
              <w:rPr>
                <w:rFonts w:hint="eastAsia" w:ascii="宋体" w:hAnsi="宋体" w:cs="宋体"/>
                <w:szCs w:val="21"/>
                <w:lang w:val="en-US" w:eastAsia="zh-CN"/>
              </w:rPr>
              <w:t>折叠桌</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4ECF4A8B">
            <w:pPr>
              <w:widowControl/>
              <w:jc w:val="center"/>
              <w:textAlignment w:val="center"/>
              <w:rPr>
                <w:rFonts w:hint="default" w:ascii="宋体" w:hAnsi="宋体" w:eastAsia="宋体" w:cs="宋体"/>
                <w:szCs w:val="21"/>
                <w:lang w:val="en-US" w:eastAsia="zh-CN"/>
              </w:rPr>
            </w:pPr>
            <w:r>
              <w:rPr>
                <w:rFonts w:hint="eastAsia" w:ascii="宋体" w:hAnsi="宋体" w:cs="宋体"/>
                <w:szCs w:val="21"/>
                <w:lang w:val="en-US" w:eastAsia="zh-CN"/>
              </w:rPr>
              <w:t>100张</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24416B06">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1、</w:t>
            </w:r>
            <w:r>
              <w:rPr>
                <w:rFonts w:hint="eastAsia" w:ascii="宋体" w:hAnsi="宋体" w:eastAsia="宋体"/>
                <w:kern w:val="2"/>
                <w:sz w:val="21"/>
                <w:szCs w:val="24"/>
                <w:lang w:val="en-US" w:eastAsia="zh-CN" w:bidi="ar-SA"/>
              </w:rPr>
              <w:t>基材采用环保型中密度纤维板，贴三聚氰胺饰面，封PVC同色胶边。木质纹理美观耐磨、防水、耐刮；颜色为米黄色。</w:t>
            </w:r>
          </w:p>
          <w:p w14:paraId="4290030D">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2、</w:t>
            </w:r>
            <w:r>
              <w:rPr>
                <w:rFonts w:hint="eastAsia" w:ascii="宋体" w:hAnsi="宋体" w:eastAsia="宋体" w:cs="宋体"/>
                <w:b/>
                <w:bCs/>
                <w:kern w:val="2"/>
                <w:sz w:val="21"/>
                <w:szCs w:val="21"/>
              </w:rPr>
              <w:t>★</w:t>
            </w:r>
            <w:r>
              <w:rPr>
                <w:rFonts w:hint="eastAsia" w:ascii="宋体" w:hAnsi="宋体" w:eastAsia="宋体"/>
                <w:kern w:val="2"/>
                <w:sz w:val="21"/>
                <w:szCs w:val="24"/>
                <w:lang w:val="en-US" w:eastAsia="zh-CN" w:bidi="ar-SA"/>
              </w:rPr>
              <w:t>桌架采用可折叠，优质加厚钢管焊接而成，按住弹簧可轻松折叠，表面环氧喷漆处理，不易生锈。配件选用合资优质五金件。</w:t>
            </w:r>
            <w:r>
              <w:rPr>
                <w:rFonts w:hint="eastAsia" w:ascii="宋体" w:hAnsi="宋体" w:eastAsia="宋体"/>
                <w:b/>
                <w:bCs/>
                <w:kern w:val="2"/>
                <w:sz w:val="21"/>
                <w:szCs w:val="24"/>
                <w:lang w:val="en-US" w:eastAsia="zh-CN" w:bidi="ar-SA"/>
              </w:rPr>
              <w:t>所有连接处焊接点全部焊接。</w:t>
            </w:r>
          </w:p>
          <w:p w14:paraId="3ECBA639">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3、</w:t>
            </w:r>
            <w:r>
              <w:rPr>
                <w:rFonts w:hint="eastAsia" w:ascii="宋体" w:hAnsi="宋体" w:eastAsia="宋体"/>
                <w:kern w:val="2"/>
                <w:sz w:val="21"/>
                <w:szCs w:val="24"/>
                <w:lang w:val="en-US" w:eastAsia="zh-CN" w:bidi="ar-SA"/>
              </w:rPr>
              <w:t>桌子脚底可调节高度1-2cm。</w:t>
            </w:r>
          </w:p>
          <w:p w14:paraId="378437DC">
            <w:pPr>
              <w:widowControl w:val="0"/>
              <w:numPr>
                <w:ilvl w:val="0"/>
                <w:numId w:val="0"/>
              </w:numPr>
              <w:spacing w:after="120"/>
              <w:jc w:val="both"/>
              <w:rPr>
                <w:rFonts w:ascii="宋体" w:hAnsi="宋体" w:eastAsia="宋体"/>
                <w:kern w:val="2"/>
                <w:sz w:val="21"/>
                <w:szCs w:val="24"/>
                <w:lang w:val="en-US" w:eastAsia="zh-CN" w:bidi="ar-SA"/>
              </w:rPr>
            </w:pPr>
            <w:r>
              <w:rPr>
                <w:rFonts w:ascii="宋体" w:hAnsi="宋体" w:eastAsia="宋体"/>
                <w:kern w:val="2"/>
                <w:sz w:val="21"/>
                <w:szCs w:val="24"/>
                <w:lang w:val="en-US" w:eastAsia="zh-CN" w:bidi="ar-SA"/>
              </w:rPr>
              <w:t>4、</w:t>
            </w:r>
            <w:r>
              <w:rPr>
                <w:rFonts w:hint="eastAsia" w:ascii="宋体" w:hAnsi="宋体" w:eastAsia="宋体" w:cs="宋体"/>
                <w:b/>
                <w:bCs/>
                <w:kern w:val="2"/>
                <w:sz w:val="21"/>
                <w:szCs w:val="21"/>
              </w:rPr>
              <w:t>★</w:t>
            </w:r>
            <w:r>
              <w:rPr>
                <w:rFonts w:hint="eastAsia" w:ascii="宋体" w:hAnsi="宋体" w:eastAsia="宋体"/>
                <w:kern w:val="2"/>
                <w:sz w:val="21"/>
                <w:szCs w:val="24"/>
                <w:lang w:val="en-US" w:eastAsia="zh-CN" w:bidi="ar-SA"/>
              </w:rPr>
              <w:t>尺寸（cm）：120*40*76，重量：7.5（±0.5）kg。</w:t>
            </w:r>
          </w:p>
          <w:p w14:paraId="691A777F">
            <w:pPr>
              <w:widowControl w:val="0"/>
              <w:numPr>
                <w:ilvl w:val="0"/>
                <w:numId w:val="0"/>
              </w:numPr>
              <w:spacing w:after="120"/>
              <w:jc w:val="both"/>
              <w:rPr>
                <w:rFonts w:hint="eastAsia" w:ascii="宋体" w:hAnsi="宋体" w:eastAsia="宋体"/>
                <w:kern w:val="2"/>
                <w:sz w:val="21"/>
                <w:szCs w:val="24"/>
                <w:lang w:val="en-US" w:eastAsia="zh-CN" w:bidi="ar-SA"/>
              </w:rPr>
            </w:pPr>
            <w:r>
              <w:rPr>
                <w:rFonts w:hint="eastAsia" w:ascii="宋体" w:hAnsi="宋体" w:eastAsia="宋体" w:cs="宋体"/>
                <w:lang w:val="en-US" w:eastAsia="zh-CN"/>
              </w:rPr>
              <w:drawing>
                <wp:anchor distT="0" distB="0" distL="114300" distR="114300" simplePos="0" relativeHeight="251660288" behindDoc="0" locked="0" layoutInCell="1" allowOverlap="1">
                  <wp:simplePos x="0" y="0"/>
                  <wp:positionH relativeFrom="column">
                    <wp:posOffset>-29210</wp:posOffset>
                  </wp:positionH>
                  <wp:positionV relativeFrom="paragraph">
                    <wp:posOffset>395605</wp:posOffset>
                  </wp:positionV>
                  <wp:extent cx="3681095" cy="2598420"/>
                  <wp:effectExtent l="0" t="0" r="14605" b="11430"/>
                  <wp:wrapSquare wrapText="bothSides"/>
                  <wp:docPr id="2" name="图片 2" descr="561bc7e001555a1de943211b8d67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61bc7e001555a1de943211b8d67b40"/>
                          <pic:cNvPicPr>
                            <a:picLocks noChangeAspect="1"/>
                          </pic:cNvPicPr>
                        </pic:nvPicPr>
                        <pic:blipFill>
                          <a:blip r:embed="rId7"/>
                          <a:stretch>
                            <a:fillRect/>
                          </a:stretch>
                        </pic:blipFill>
                        <pic:spPr>
                          <a:xfrm>
                            <a:off x="0" y="0"/>
                            <a:ext cx="3681095" cy="2598420"/>
                          </a:xfrm>
                          <a:prstGeom prst="rect">
                            <a:avLst/>
                          </a:prstGeom>
                          <a:noFill/>
                          <a:ln>
                            <a:noFill/>
                          </a:ln>
                        </pic:spPr>
                      </pic:pic>
                    </a:graphicData>
                  </a:graphic>
                </wp:anchor>
              </w:drawing>
            </w:r>
            <w:r>
              <w:rPr>
                <w:rFonts w:ascii="宋体" w:hAnsi="宋体" w:eastAsia="宋体"/>
                <w:kern w:val="2"/>
                <w:sz w:val="21"/>
                <w:szCs w:val="24"/>
                <w:lang w:val="en-US" w:eastAsia="zh-CN" w:bidi="ar-SA"/>
              </w:rPr>
              <w:t>5、</w:t>
            </w:r>
            <w:r>
              <w:rPr>
                <w:rFonts w:hint="eastAsia" w:ascii="宋体" w:hAnsi="宋体" w:eastAsia="宋体"/>
                <w:kern w:val="2"/>
                <w:sz w:val="21"/>
                <w:szCs w:val="24"/>
                <w:lang w:val="en-US" w:eastAsia="zh-CN" w:bidi="ar-SA"/>
              </w:rPr>
              <w:t>参考样式如下：</w:t>
            </w:r>
          </w:p>
          <w:p w14:paraId="719C899E">
            <w:pPr>
              <w:widowControl w:val="0"/>
              <w:numPr>
                <w:ilvl w:val="0"/>
                <w:numId w:val="0"/>
              </w:numPr>
              <w:spacing w:after="120"/>
              <w:jc w:val="both"/>
              <w:rPr>
                <w:rFonts w:hint="default" w:ascii="宋体" w:hAnsi="宋体" w:eastAsia="宋体"/>
                <w:kern w:val="2"/>
                <w:sz w:val="21"/>
                <w:szCs w:val="24"/>
                <w:lang w:val="en-US" w:eastAsia="zh-CN" w:bidi="ar-SA"/>
              </w:rPr>
            </w:pPr>
            <w:r>
              <w:rPr>
                <w:rFonts w:hint="eastAsia" w:ascii="宋体" w:hAnsi="宋体" w:eastAsia="宋体"/>
                <w:kern w:val="2"/>
                <w:sz w:val="21"/>
                <w:szCs w:val="24"/>
                <w:lang w:val="en-US" w:eastAsia="zh-CN" w:bidi="ar-SA"/>
              </w:rPr>
              <w:t>6、</w:t>
            </w:r>
            <w:r>
              <w:rPr>
                <w:rFonts w:hint="eastAsia" w:ascii="Times New Roman" w:hAnsi="Times New Roman" w:eastAsia="宋体" w:cs="Times New Roman"/>
                <w:highlight w:val="none"/>
                <w:lang w:val="en-US" w:eastAsia="zh-CN"/>
              </w:rPr>
              <w:t>响应供应商须提供响应产品实物图片。</w:t>
            </w:r>
          </w:p>
        </w:tc>
        <w:tc>
          <w:tcPr>
            <w:tcW w:w="1078" w:type="dxa"/>
            <w:tcBorders>
              <w:left w:val="single" w:color="auto" w:sz="4" w:space="0"/>
              <w:bottom w:val="single" w:color="auto" w:sz="4" w:space="0"/>
              <w:right w:val="single" w:color="auto" w:sz="4" w:space="0"/>
            </w:tcBorders>
            <w:noWrap w:val="0"/>
            <w:vAlign w:val="center"/>
          </w:tcPr>
          <w:p w14:paraId="4AD5CFF1">
            <w:pPr>
              <w:rPr>
                <w:rFonts w:hint="default" w:ascii="宋体" w:hAnsi="宋体" w:cs="宋体"/>
                <w:szCs w:val="21"/>
                <w:lang w:val="en-US" w:eastAsia="zh-CN"/>
              </w:rPr>
            </w:pPr>
          </w:p>
        </w:tc>
      </w:tr>
      <w:tr w14:paraId="6F631A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D3F64ED">
            <w:pPr>
              <w:jc w:val="center"/>
              <w:rPr>
                <w:rFonts w:ascii="宋体" w:hAnsi="宋体" w:cs="宋体"/>
                <w:szCs w:val="21"/>
              </w:rPr>
            </w:pPr>
            <w:r>
              <w:rPr>
                <w:rFonts w:hint="eastAsia" w:ascii="宋体" w:hAnsi="宋体" w:cs="宋体"/>
                <w:szCs w:val="21"/>
              </w:rPr>
              <w:t>商务条款</w:t>
            </w:r>
          </w:p>
        </w:tc>
        <w:tc>
          <w:tcPr>
            <w:tcW w:w="8389" w:type="dxa"/>
            <w:gridSpan w:val="4"/>
            <w:tcBorders>
              <w:top w:val="single" w:color="auto" w:sz="4" w:space="0"/>
              <w:left w:val="single" w:color="auto" w:sz="4" w:space="0"/>
              <w:bottom w:val="single" w:color="auto" w:sz="4" w:space="0"/>
              <w:right w:val="single" w:color="auto" w:sz="4" w:space="0"/>
            </w:tcBorders>
            <w:noWrap w:val="0"/>
            <w:vAlign w:val="center"/>
          </w:tcPr>
          <w:p w14:paraId="3AA5DDFF">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814C732">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p w14:paraId="15DC9E9B">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55FAECBB">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650E3C19">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7E92EE8C">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036BD9FF">
            <w:pPr>
              <w:widowControl/>
              <w:shd w:val="clear" w:color="auto" w:fill="FFFFFF"/>
              <w:spacing w:line="360" w:lineRule="auto"/>
              <w:rPr>
                <w:rFonts w:ascii="宋体" w:hAnsi="宋体"/>
                <w:szCs w:val="21"/>
              </w:rPr>
            </w:pPr>
            <w:r>
              <w:rPr>
                <w:rFonts w:hint="eastAsia" w:ascii="宋体" w:hAnsi="宋体"/>
                <w:szCs w:val="21"/>
              </w:rPr>
              <w:t>五、验收方式及要求：</w:t>
            </w:r>
          </w:p>
          <w:p w14:paraId="1C900BC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5C24F061">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32BECE2">
            <w:pPr>
              <w:widowControl/>
              <w:shd w:val="clear" w:color="auto" w:fill="FFFFFF"/>
              <w:spacing w:line="360" w:lineRule="auto"/>
              <w:rPr>
                <w:rFonts w:ascii="宋体" w:hAnsi="宋体"/>
                <w:szCs w:val="21"/>
              </w:rPr>
            </w:pPr>
            <w:r>
              <w:rPr>
                <w:rFonts w:hint="eastAsia" w:ascii="宋体" w:hAnsi="宋体"/>
                <w:szCs w:val="21"/>
              </w:rPr>
              <w:t>六、售后服务要求：</w:t>
            </w:r>
          </w:p>
          <w:p w14:paraId="319AC183">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4F5B51">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FFA5131">
            <w:pPr>
              <w:spacing w:line="360" w:lineRule="auto"/>
              <w:rPr>
                <w:rFonts w:ascii="宋体" w:hAnsi="宋体"/>
                <w:szCs w:val="21"/>
              </w:rPr>
            </w:pPr>
            <w:r>
              <w:rPr>
                <w:rFonts w:hint="eastAsia" w:ascii="宋体" w:hAnsi="宋体"/>
                <w:szCs w:val="21"/>
              </w:rPr>
              <w:t>七、其他要求：</w:t>
            </w:r>
          </w:p>
          <w:p w14:paraId="1D35B49A">
            <w:pPr>
              <w:spacing w:line="360" w:lineRule="auto"/>
              <w:rPr>
                <w:rFonts w:ascii="宋体" w:hAnsi="宋体"/>
                <w:szCs w:val="21"/>
              </w:rPr>
            </w:pPr>
            <w:r>
              <w:rPr>
                <w:rFonts w:hint="eastAsia" w:ascii="宋体" w:hAnsi="宋体"/>
                <w:szCs w:val="21"/>
              </w:rPr>
              <w:t>1、投标报价为采购人指定地点的现场交货价，包括：</w:t>
            </w:r>
          </w:p>
          <w:p w14:paraId="47C03CC8">
            <w:pPr>
              <w:spacing w:line="360" w:lineRule="auto"/>
              <w:rPr>
                <w:rFonts w:ascii="宋体" w:hAnsi="宋体"/>
                <w:szCs w:val="21"/>
              </w:rPr>
            </w:pPr>
            <w:r>
              <w:rPr>
                <w:rFonts w:hint="eastAsia" w:ascii="宋体" w:hAnsi="宋体"/>
                <w:szCs w:val="21"/>
              </w:rPr>
              <w:t>（1）货物的价格；</w:t>
            </w:r>
          </w:p>
          <w:p w14:paraId="5A0B7B12">
            <w:pPr>
              <w:spacing w:line="360" w:lineRule="auto"/>
              <w:rPr>
                <w:rFonts w:ascii="宋体" w:hAnsi="宋体"/>
                <w:szCs w:val="21"/>
              </w:rPr>
            </w:pPr>
            <w:r>
              <w:rPr>
                <w:rFonts w:hint="eastAsia" w:ascii="宋体" w:hAnsi="宋体"/>
                <w:szCs w:val="21"/>
              </w:rPr>
              <w:t>（2）货物的标准附件、备品备件、专用工具的价格；</w:t>
            </w:r>
          </w:p>
          <w:p w14:paraId="4743B5B5">
            <w:pPr>
              <w:spacing w:line="360" w:lineRule="auto"/>
              <w:rPr>
                <w:rFonts w:ascii="宋体" w:hAnsi="宋体"/>
                <w:szCs w:val="21"/>
              </w:rPr>
            </w:pPr>
            <w:r>
              <w:rPr>
                <w:rFonts w:hint="eastAsia" w:ascii="宋体" w:hAnsi="宋体"/>
                <w:szCs w:val="21"/>
              </w:rPr>
              <w:t>（3）运输、装卸、搬运、技术支持、售后服务等费用；</w:t>
            </w:r>
          </w:p>
          <w:p w14:paraId="4E6D6AB2">
            <w:pPr>
              <w:spacing w:line="360" w:lineRule="auto"/>
              <w:rPr>
                <w:rFonts w:ascii="宋体" w:hAnsi="宋体"/>
                <w:szCs w:val="21"/>
              </w:rPr>
            </w:pPr>
            <w:r>
              <w:rPr>
                <w:rFonts w:hint="eastAsia" w:ascii="宋体" w:hAnsi="宋体"/>
                <w:szCs w:val="21"/>
              </w:rPr>
              <w:t>（4）必要的保险费用和各项税费；</w:t>
            </w:r>
          </w:p>
          <w:p w14:paraId="2E01AFA1">
            <w:pPr>
              <w:pStyle w:val="11"/>
              <w:rPr>
                <w:rFonts w:ascii="宋体" w:hAnsi="宋体"/>
                <w:sz w:val="21"/>
                <w:szCs w:val="21"/>
              </w:rPr>
            </w:pPr>
            <w:r>
              <w:rPr>
                <w:rFonts w:hint="eastAsia" w:ascii="宋体" w:hAnsi="宋体"/>
                <w:sz w:val="21"/>
                <w:szCs w:val="21"/>
              </w:rPr>
              <w:t>2、付款方式：货物验收合格后一次性支付合同款（付款前中标人需开具等额合规的增值税普通发票）。</w:t>
            </w:r>
          </w:p>
        </w:tc>
      </w:tr>
    </w:tbl>
    <w:p w14:paraId="5A32886D">
      <w:pPr>
        <w:pStyle w:val="8"/>
        <w:jc w:val="center"/>
        <w:rPr>
          <w:rFonts w:hint="eastAsia"/>
          <w:b/>
          <w:sz w:val="32"/>
        </w:rPr>
      </w:pPr>
    </w:p>
    <w:p w14:paraId="0D6CA9E2">
      <w:pPr>
        <w:rPr>
          <w:rFonts w:hint="eastAsia"/>
          <w:b/>
          <w:sz w:val="32"/>
        </w:rPr>
      </w:pPr>
    </w:p>
    <w:p w14:paraId="28BFDAD0">
      <w:pPr>
        <w:rPr>
          <w:rFonts w:hint="eastAsia"/>
          <w:b/>
          <w:sz w:val="32"/>
        </w:rPr>
      </w:pPr>
    </w:p>
    <w:p w14:paraId="7FCD1EB2">
      <w:pPr>
        <w:rPr>
          <w:rFonts w:hint="eastAsia"/>
          <w:b/>
          <w:sz w:val="32"/>
        </w:rPr>
      </w:pPr>
    </w:p>
    <w:p w14:paraId="42EC192F">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南宁中心血站2024年折叠桌采购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4B1B5388">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南宁中心血站2024年折叠桌采购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745"/>
        <w:gridCol w:w="1080"/>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07" w:type="pct"/>
            <w:vAlign w:val="center"/>
          </w:tcPr>
          <w:p w14:paraId="3B16DF6D">
            <w:pPr>
              <w:pStyle w:val="8"/>
              <w:jc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响应品牌型号</w:t>
            </w:r>
          </w:p>
        </w:tc>
        <w:tc>
          <w:tcPr>
            <w:tcW w:w="591"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1169"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cs="宋体"/>
                <w:sz w:val="21"/>
                <w:szCs w:val="21"/>
                <w:lang w:val="en-US" w:eastAsia="zh-CN"/>
              </w:rPr>
              <w:t>折叠桌</w:t>
            </w:r>
          </w:p>
        </w:tc>
        <w:tc>
          <w:tcPr>
            <w:tcW w:w="407" w:type="pct"/>
            <w:vAlign w:val="center"/>
          </w:tcPr>
          <w:p w14:paraId="0A7B04E2">
            <w:pPr>
              <w:pStyle w:val="8"/>
              <w:jc w:val="center"/>
              <w:rPr>
                <w:rFonts w:hint="default" w:ascii="宋体" w:hAnsi="宋体" w:eastAsia="宋体" w:cs="宋体"/>
                <w:sz w:val="21"/>
                <w:szCs w:val="21"/>
                <w:lang w:val="en-US" w:eastAsia="zh-CN"/>
              </w:rPr>
            </w:pPr>
          </w:p>
        </w:tc>
        <w:tc>
          <w:tcPr>
            <w:tcW w:w="591" w:type="pct"/>
            <w:vAlign w:val="center"/>
          </w:tcPr>
          <w:p w14:paraId="28C8EA6B">
            <w:pPr>
              <w:pStyle w:val="8"/>
              <w:ind w:firstLine="210" w:firstLineChars="100"/>
              <w:rPr>
                <w:rFonts w:hint="default" w:hAnsi="宋体" w:eastAsia="宋体" w:cs="宋体"/>
                <w:sz w:val="21"/>
                <w:szCs w:val="21"/>
                <w:lang w:val="en-US" w:eastAsia="zh-CN"/>
              </w:rPr>
            </w:pPr>
            <w:r>
              <w:rPr>
                <w:rFonts w:hint="eastAsia" w:hAnsi="宋体" w:eastAsia="宋体" w:cs="宋体"/>
                <w:sz w:val="21"/>
                <w:szCs w:val="21"/>
                <w:lang w:val="en-US" w:eastAsia="zh-CN"/>
              </w:rPr>
              <w:t>张</w:t>
            </w:r>
          </w:p>
        </w:tc>
        <w:tc>
          <w:tcPr>
            <w:tcW w:w="629" w:type="pct"/>
            <w:vAlign w:val="center"/>
          </w:tcPr>
          <w:p w14:paraId="61E33CBA">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65C8013E">
            <w:pPr>
              <w:pStyle w:val="8"/>
              <w:rPr>
                <w:rFonts w:hint="eastAsia" w:ascii="宋体" w:hAnsi="宋体" w:eastAsia="宋体" w:cs="宋体"/>
                <w:sz w:val="21"/>
                <w:szCs w:val="21"/>
              </w:rPr>
            </w:pPr>
          </w:p>
        </w:tc>
        <w:tc>
          <w:tcPr>
            <w:tcW w:w="593" w:type="pct"/>
            <w:vAlign w:val="center"/>
          </w:tcPr>
          <w:p w14:paraId="22A497A9">
            <w:pPr>
              <w:pStyle w:val="8"/>
              <w:rPr>
                <w:rFonts w:hint="eastAsia" w:ascii="宋体" w:hAnsi="宋体" w:eastAsia="宋体" w:cs="宋体"/>
                <w:sz w:val="21"/>
                <w:szCs w:val="21"/>
              </w:rPr>
            </w:pPr>
          </w:p>
        </w:tc>
        <w:tc>
          <w:tcPr>
            <w:tcW w:w="477" w:type="pct"/>
            <w:vAlign w:val="center"/>
          </w:tcPr>
          <w:p w14:paraId="52ADECBC">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3"/>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71930762"/>
    <w:p w14:paraId="4D27A0D8"/>
    <w:p w14:paraId="0B14A385"/>
    <w:p w14:paraId="65521ACB"/>
    <w:p w14:paraId="62178AC8"/>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763"/>
        <w:gridCol w:w="506"/>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427" w:type="pct"/>
            <w:gridSpan w:val="2"/>
            <w:vAlign w:val="center"/>
          </w:tcPr>
          <w:p w14:paraId="6400F0E2">
            <w:pPr>
              <w:jc w:val="center"/>
              <w:rPr>
                <w:rFonts w:ascii="宋体"/>
                <w:szCs w:val="21"/>
              </w:rPr>
            </w:pPr>
            <w:r>
              <w:rPr>
                <w:rFonts w:hint="eastAsia" w:ascii="宋体" w:hAnsi="宋体"/>
                <w:szCs w:val="21"/>
              </w:rPr>
              <w:t>采购文件需求</w:t>
            </w:r>
          </w:p>
        </w:tc>
        <w:tc>
          <w:tcPr>
            <w:tcW w:w="2008"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2058" w:type="pct"/>
            <w:vAlign w:val="center"/>
          </w:tcPr>
          <w:p w14:paraId="090188AF">
            <w:pPr>
              <w:jc w:val="center"/>
              <w:rPr>
                <w:rFonts w:ascii="宋体"/>
                <w:szCs w:val="21"/>
              </w:rPr>
            </w:pPr>
            <w:r>
              <w:rPr>
                <w:rFonts w:hint="eastAsia" w:ascii="宋体" w:hAnsi="宋体"/>
                <w:szCs w:val="21"/>
              </w:rPr>
              <w:t>采购内容及要求</w:t>
            </w:r>
          </w:p>
        </w:tc>
        <w:tc>
          <w:tcPr>
            <w:tcW w:w="276"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cs="宋体"/>
                <w:sz w:val="21"/>
                <w:szCs w:val="21"/>
                <w:lang w:val="en-US" w:eastAsia="zh-CN"/>
              </w:rPr>
              <w:t>折叠桌</w:t>
            </w:r>
          </w:p>
        </w:tc>
        <w:tc>
          <w:tcPr>
            <w:tcW w:w="2058" w:type="pct"/>
            <w:shd w:val="clear" w:color="auto" w:fill="auto"/>
            <w:vAlign w:val="center"/>
          </w:tcPr>
          <w:p w14:paraId="57B3D8A2">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1、基材采用环保型中密度纤维板，贴三聚氰胺饰面，封PVC同色胶边。木质纹理美观耐磨、防水、耐刮；颜色为米黄色。</w:t>
            </w:r>
          </w:p>
          <w:p w14:paraId="050E0128">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2、★桌架采用可折叠，优质加厚钢管焊接而成，按住弹簧可轻松折叠，表面环氧喷漆处理，不易生锈。配件选用合资优质五金件。所有连接处焊接点全部焊接。</w:t>
            </w:r>
          </w:p>
          <w:p w14:paraId="1D1467B6">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3、桌子脚底可调节高度1-2cm。</w:t>
            </w:r>
          </w:p>
          <w:p w14:paraId="3D8514E2">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4、★尺寸（cm）：120*40*76，重量：7.5（±0.5）kg。</w:t>
            </w:r>
          </w:p>
          <w:p w14:paraId="382F6E1A">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drawing>
                <wp:anchor distT="0" distB="0" distL="114300" distR="114300" simplePos="0" relativeHeight="251661312" behindDoc="0" locked="0" layoutInCell="1" allowOverlap="1">
                  <wp:simplePos x="0" y="0"/>
                  <wp:positionH relativeFrom="column">
                    <wp:posOffset>-51435</wp:posOffset>
                  </wp:positionH>
                  <wp:positionV relativeFrom="paragraph">
                    <wp:posOffset>418465</wp:posOffset>
                  </wp:positionV>
                  <wp:extent cx="2106930" cy="1448435"/>
                  <wp:effectExtent l="0" t="0" r="7620" b="18415"/>
                  <wp:wrapSquare wrapText="bothSides"/>
                  <wp:docPr id="5" name="图片 4" descr="561bc7e001555a1de943211b8d67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561bc7e001555a1de943211b8d67b40"/>
                          <pic:cNvPicPr>
                            <a:picLocks noChangeAspect="1"/>
                          </pic:cNvPicPr>
                        </pic:nvPicPr>
                        <pic:blipFill>
                          <a:blip r:embed="rId7"/>
                          <a:stretch>
                            <a:fillRect/>
                          </a:stretch>
                        </pic:blipFill>
                        <pic:spPr>
                          <a:xfrm>
                            <a:off x="0" y="0"/>
                            <a:ext cx="2106930" cy="1448435"/>
                          </a:xfrm>
                          <a:prstGeom prst="rect">
                            <a:avLst/>
                          </a:prstGeom>
                          <a:noFill/>
                          <a:ln>
                            <a:noFill/>
                          </a:ln>
                        </pic:spPr>
                      </pic:pic>
                    </a:graphicData>
                  </a:graphic>
                </wp:anchor>
              </w:drawing>
            </w:r>
            <w:r>
              <w:rPr>
                <w:rFonts w:hint="eastAsia" w:ascii="宋体" w:hAnsi="宋体" w:eastAsia="宋体" w:cs="宋体"/>
                <w:lang w:val="en-US" w:eastAsia="zh-CN"/>
              </w:rPr>
              <w:t>5、参考样式如下：</w:t>
            </w:r>
          </w:p>
          <w:p w14:paraId="5CB0C363">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eastAsia="宋体" w:cs="宋体"/>
                <w:lang w:val="en-US" w:eastAsia="zh-CN"/>
              </w:rPr>
              <w:t>6、响应供应商须提供响应产品实物图片，用于项目评审。</w:t>
            </w:r>
          </w:p>
        </w:tc>
        <w:tc>
          <w:tcPr>
            <w:tcW w:w="276"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cs="宋体"/>
                <w:sz w:val="21"/>
                <w:szCs w:val="21"/>
                <w:lang w:val="en-US" w:eastAsia="zh-CN"/>
              </w:rPr>
              <w:t>折叠桌</w:t>
            </w:r>
          </w:p>
        </w:tc>
        <w:tc>
          <w:tcPr>
            <w:tcW w:w="1731"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148086BB">
      <w:pPr>
        <w:spacing w:line="400" w:lineRule="exact"/>
        <w:ind w:firstLine="560" w:firstLineChars="200"/>
        <w:jc w:val="left"/>
        <w:rPr>
          <w:rFonts w:hint="eastAsia" w:asciiTheme="minorEastAsia" w:hAnsiTheme="minorEastAsia" w:cstheme="majorEastAsia"/>
          <w:bCs/>
          <w:color w:val="000000"/>
          <w:sz w:val="28"/>
          <w:szCs w:val="28"/>
        </w:rPr>
      </w:pPr>
    </w:p>
    <w:p w14:paraId="1A083281">
      <w:pPr>
        <w:spacing w:line="400" w:lineRule="exact"/>
        <w:ind w:firstLine="560" w:firstLineChars="200"/>
        <w:jc w:val="left"/>
        <w:rPr>
          <w:rFonts w:hint="eastAsia" w:asciiTheme="minorEastAsia" w:hAnsiTheme="minorEastAsia" w:cstheme="majorEastAsia"/>
          <w:bCs/>
          <w:color w:val="000000"/>
          <w:sz w:val="28"/>
          <w:szCs w:val="28"/>
        </w:rPr>
      </w:pPr>
    </w:p>
    <w:p w14:paraId="35310819">
      <w:pPr>
        <w:spacing w:line="400" w:lineRule="exact"/>
        <w:ind w:firstLine="560" w:firstLineChars="200"/>
        <w:jc w:val="left"/>
        <w:rPr>
          <w:rFonts w:hint="eastAsia" w:asciiTheme="minorEastAsia" w:hAnsiTheme="minorEastAsia" w:cstheme="majorEastAsia"/>
          <w:bCs/>
          <w:color w:val="000000"/>
          <w:sz w:val="28"/>
          <w:szCs w:val="28"/>
        </w:rPr>
      </w:pPr>
    </w:p>
    <w:p w14:paraId="47DA867D">
      <w:pPr>
        <w:spacing w:line="400" w:lineRule="exact"/>
        <w:ind w:firstLine="560" w:firstLineChars="200"/>
        <w:jc w:val="left"/>
        <w:rPr>
          <w:rFonts w:hint="eastAsia" w:asciiTheme="minorEastAsia" w:hAnsiTheme="minorEastAsia" w:cstheme="majorEastAsia"/>
          <w:bCs/>
          <w:color w:val="000000"/>
          <w:sz w:val="28"/>
          <w:szCs w:val="28"/>
        </w:rPr>
      </w:pPr>
    </w:p>
    <w:p w14:paraId="21DB262E">
      <w:pPr>
        <w:spacing w:line="400" w:lineRule="exact"/>
        <w:ind w:firstLine="560" w:firstLineChars="200"/>
        <w:jc w:val="left"/>
        <w:rPr>
          <w:rFonts w:hint="eastAsia" w:asciiTheme="minorEastAsia" w:hAnsiTheme="minorEastAsia" w:cstheme="majorEastAsia"/>
          <w:bCs/>
          <w:color w:val="000000"/>
          <w:sz w:val="28"/>
          <w:szCs w:val="28"/>
        </w:rPr>
      </w:pPr>
    </w:p>
    <w:p w14:paraId="3F05ECCE">
      <w:pPr>
        <w:spacing w:line="400" w:lineRule="exact"/>
        <w:ind w:firstLine="560" w:firstLineChars="200"/>
        <w:jc w:val="left"/>
        <w:rPr>
          <w:rFonts w:hint="eastAsia" w:asciiTheme="minorEastAsia" w:hAnsiTheme="minorEastAsia" w:cstheme="majorEastAsia"/>
          <w:bCs/>
          <w:color w:val="000000"/>
          <w:sz w:val="28"/>
          <w:szCs w:val="28"/>
        </w:rPr>
      </w:pPr>
    </w:p>
    <w:p w14:paraId="158FDFDB">
      <w:pPr>
        <w:spacing w:line="400" w:lineRule="exact"/>
        <w:ind w:firstLine="560" w:firstLineChars="200"/>
        <w:jc w:val="left"/>
        <w:rPr>
          <w:rFonts w:hint="eastAsia" w:asciiTheme="minorEastAsia" w:hAnsiTheme="minorEastAsia" w:cstheme="majorEastAsia"/>
          <w:bCs/>
          <w:color w:val="000000"/>
          <w:sz w:val="28"/>
          <w:szCs w:val="28"/>
        </w:rPr>
      </w:pPr>
    </w:p>
    <w:p w14:paraId="5D426AA9">
      <w:pPr>
        <w:spacing w:line="400" w:lineRule="exact"/>
        <w:ind w:firstLine="560" w:firstLineChars="200"/>
        <w:jc w:val="left"/>
        <w:rPr>
          <w:rFonts w:hint="eastAsia" w:asciiTheme="minorEastAsia" w:hAnsiTheme="minorEastAsia" w:cstheme="majorEastAsia"/>
          <w:bCs/>
          <w:color w:val="000000"/>
          <w:sz w:val="28"/>
          <w:szCs w:val="28"/>
        </w:rPr>
      </w:pPr>
    </w:p>
    <w:p w14:paraId="61AE2E00">
      <w:pPr>
        <w:spacing w:line="400" w:lineRule="exact"/>
        <w:ind w:firstLine="560" w:firstLineChars="200"/>
        <w:jc w:val="left"/>
        <w:rPr>
          <w:rFonts w:hint="eastAsia" w:asciiTheme="minorEastAsia" w:hAnsiTheme="minorEastAsia" w:cstheme="majorEastAsia"/>
          <w:bCs/>
          <w:color w:val="000000"/>
          <w:sz w:val="28"/>
          <w:szCs w:val="28"/>
        </w:rPr>
      </w:pPr>
    </w:p>
    <w:p w14:paraId="0C43C641">
      <w:pPr>
        <w:spacing w:line="400" w:lineRule="exact"/>
        <w:ind w:firstLine="560" w:firstLineChars="200"/>
        <w:jc w:val="left"/>
        <w:rPr>
          <w:rFonts w:hint="eastAsia" w:asciiTheme="minorEastAsia" w:hAnsiTheme="minorEastAsia" w:cstheme="majorEastAsia"/>
          <w:bCs/>
          <w:color w:val="000000"/>
          <w:sz w:val="28"/>
          <w:szCs w:val="28"/>
        </w:rPr>
      </w:pPr>
    </w:p>
    <w:p w14:paraId="78233154">
      <w:pPr>
        <w:spacing w:line="400" w:lineRule="exact"/>
        <w:ind w:firstLine="560" w:firstLineChars="200"/>
        <w:jc w:val="left"/>
        <w:rPr>
          <w:rFonts w:hint="eastAsia" w:asciiTheme="minorEastAsia" w:hAnsiTheme="minorEastAsia" w:cstheme="majorEastAsia"/>
          <w:bCs/>
          <w:color w:val="000000"/>
          <w:sz w:val="28"/>
          <w:szCs w:val="28"/>
        </w:rPr>
      </w:pPr>
    </w:p>
    <w:p w14:paraId="277F84AE">
      <w:pPr>
        <w:spacing w:line="400" w:lineRule="exact"/>
        <w:ind w:firstLine="560" w:firstLineChars="200"/>
        <w:jc w:val="left"/>
        <w:rPr>
          <w:rFonts w:hint="eastAsia" w:asciiTheme="minorEastAsia" w:hAnsiTheme="minorEastAsia" w:cstheme="majorEastAsia"/>
          <w:bCs/>
          <w:color w:val="000000"/>
          <w:sz w:val="28"/>
          <w:szCs w:val="28"/>
        </w:rPr>
      </w:pPr>
    </w:p>
    <w:p w14:paraId="5ABFBA5C">
      <w:pPr>
        <w:spacing w:line="400" w:lineRule="exact"/>
        <w:ind w:firstLine="560" w:firstLineChars="200"/>
        <w:jc w:val="left"/>
        <w:rPr>
          <w:rFonts w:hint="eastAsia" w:asciiTheme="minorEastAsia" w:hAnsiTheme="minorEastAsia" w:cstheme="majorEastAsia"/>
          <w:bCs/>
          <w:color w:val="000000"/>
          <w:sz w:val="28"/>
          <w:szCs w:val="28"/>
        </w:rPr>
      </w:pPr>
    </w:p>
    <w:p w14:paraId="2B8FFF51">
      <w:pPr>
        <w:spacing w:line="400" w:lineRule="exact"/>
        <w:ind w:firstLine="560" w:firstLineChars="200"/>
        <w:jc w:val="left"/>
        <w:rPr>
          <w:rFonts w:hint="eastAsia" w:asciiTheme="minorEastAsia" w:hAnsiTheme="minorEastAsia" w:cstheme="majorEastAsia"/>
          <w:bCs/>
          <w:color w:val="000000"/>
          <w:sz w:val="28"/>
          <w:szCs w:val="28"/>
        </w:rPr>
      </w:pPr>
    </w:p>
    <w:p w14:paraId="484CC83C">
      <w:pPr>
        <w:spacing w:line="400" w:lineRule="exact"/>
        <w:ind w:firstLine="560" w:firstLineChars="200"/>
        <w:jc w:val="left"/>
        <w:rPr>
          <w:rFonts w:hint="eastAsia" w:asciiTheme="minorEastAsia" w:hAnsiTheme="minorEastAsia" w:cstheme="majorEastAsia"/>
          <w:bCs/>
          <w:color w:val="000000"/>
          <w:sz w:val="28"/>
          <w:szCs w:val="28"/>
        </w:rPr>
      </w:pPr>
    </w:p>
    <w:p w14:paraId="2D9EEA9F">
      <w:pPr>
        <w:spacing w:line="400" w:lineRule="exact"/>
        <w:ind w:firstLine="560" w:firstLineChars="200"/>
        <w:jc w:val="left"/>
        <w:rPr>
          <w:rFonts w:hint="eastAsia" w:asciiTheme="minorEastAsia" w:hAnsiTheme="minorEastAsia" w:cstheme="majorEastAsia"/>
          <w:bCs/>
          <w:color w:val="000000"/>
          <w:sz w:val="28"/>
          <w:szCs w:val="28"/>
        </w:rPr>
      </w:pPr>
    </w:p>
    <w:p w14:paraId="5763E7B9">
      <w:pPr>
        <w:spacing w:line="400" w:lineRule="exact"/>
        <w:ind w:firstLine="560" w:firstLineChars="200"/>
        <w:jc w:val="left"/>
        <w:rPr>
          <w:rFonts w:hint="eastAsia" w:asciiTheme="minorEastAsia" w:hAnsiTheme="minorEastAsia" w:cstheme="majorEastAsia"/>
          <w:bCs/>
          <w:color w:val="000000"/>
          <w:sz w:val="28"/>
          <w:szCs w:val="28"/>
        </w:rPr>
      </w:pPr>
    </w:p>
    <w:p w14:paraId="2519FF74">
      <w:pPr>
        <w:spacing w:line="400" w:lineRule="exact"/>
        <w:ind w:firstLine="560" w:firstLineChars="200"/>
        <w:jc w:val="left"/>
        <w:rPr>
          <w:rFonts w:hint="eastAsia" w:asciiTheme="minorEastAsia" w:hAnsiTheme="minorEastAsia" w:cstheme="majorEastAsia"/>
          <w:bCs/>
          <w:color w:val="000000"/>
          <w:sz w:val="28"/>
          <w:szCs w:val="28"/>
        </w:rPr>
      </w:pPr>
    </w:p>
    <w:p w14:paraId="1CF9A3C9">
      <w:pPr>
        <w:spacing w:line="400" w:lineRule="exact"/>
        <w:ind w:firstLine="560" w:firstLineChars="200"/>
        <w:jc w:val="left"/>
        <w:rPr>
          <w:rFonts w:hint="eastAsia" w:asciiTheme="minorEastAsia" w:hAnsiTheme="minorEastAsia" w:cstheme="majorEastAsia"/>
          <w:bCs/>
          <w:color w:val="000000"/>
          <w:sz w:val="28"/>
          <w:szCs w:val="28"/>
        </w:rPr>
      </w:pPr>
    </w:p>
    <w:p w14:paraId="17B80A01">
      <w:pPr>
        <w:spacing w:line="400" w:lineRule="exact"/>
        <w:ind w:firstLine="560" w:firstLineChars="200"/>
        <w:jc w:val="left"/>
        <w:rPr>
          <w:rFonts w:hint="eastAsia" w:asciiTheme="minorEastAsia" w:hAnsiTheme="minorEastAsia" w:cstheme="majorEastAsia"/>
          <w:bCs/>
          <w:color w:val="000000"/>
          <w:sz w:val="28"/>
          <w:szCs w:val="28"/>
        </w:rPr>
      </w:pPr>
    </w:p>
    <w:p w14:paraId="252CC805">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4785976">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0A475771">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10</w:t>
            </w:r>
            <w:r>
              <w:rPr>
                <w:rFonts w:hint="eastAsia" w:ascii="宋体" w:hAnsi="宋体"/>
                <w:szCs w:val="21"/>
              </w:rPr>
              <w:t>日内交付全部货物。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r>
              <w:rPr>
                <w:rFonts w:hint="eastAsia" w:ascii="宋体" w:hAnsi="宋体"/>
                <w:color w:val="auto"/>
                <w:szCs w:val="21"/>
                <w:highlight w:val="none"/>
                <w:u w:val="none"/>
              </w:rPr>
              <w:t xml:space="preserve"> </w:t>
            </w:r>
            <w:r>
              <w:rPr>
                <w:rFonts w:ascii="Times New Roman" w:hAnsi="Times New Roman"/>
                <w:color w:val="auto"/>
                <w:szCs w:val="21"/>
                <w:highlight w:val="none"/>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7DC21A14">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CB8C0D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994787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5C6CAD98">
            <w:pPr>
              <w:widowControl/>
              <w:shd w:val="clear" w:color="auto" w:fill="FFFFFF"/>
              <w:spacing w:line="360" w:lineRule="auto"/>
              <w:rPr>
                <w:rFonts w:ascii="宋体" w:hAnsi="宋体"/>
                <w:szCs w:val="21"/>
              </w:rPr>
            </w:pPr>
            <w:r>
              <w:rPr>
                <w:rFonts w:hint="eastAsia" w:ascii="宋体" w:hAnsi="宋体"/>
                <w:szCs w:val="21"/>
              </w:rPr>
              <w:t>五、验收方式及要求：</w:t>
            </w:r>
          </w:p>
          <w:p w14:paraId="23FFE2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8FD174D">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BF01456">
            <w:pPr>
              <w:widowControl/>
              <w:shd w:val="clear" w:color="auto" w:fill="FFFFFF"/>
              <w:spacing w:line="360" w:lineRule="auto"/>
              <w:rPr>
                <w:rFonts w:hint="eastAsia" w:ascii="宋体" w:hAnsi="宋体"/>
                <w:szCs w:val="21"/>
              </w:rPr>
            </w:pPr>
            <w:r>
              <w:rPr>
                <w:rFonts w:hint="eastAsia" w:ascii="宋体" w:hAnsi="宋体"/>
                <w:szCs w:val="21"/>
              </w:rPr>
              <w:t>六、售后服务要求：</w:t>
            </w:r>
          </w:p>
          <w:p w14:paraId="2F3E0A49">
            <w:pPr>
              <w:widowControl/>
              <w:shd w:val="clear" w:color="auto" w:fill="FFFFFF"/>
              <w:spacing w:line="360" w:lineRule="auto"/>
              <w:rPr>
                <w:rFonts w:hint="eastAsia"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14:paraId="35AAFBE7">
            <w:pPr>
              <w:widowControl/>
              <w:shd w:val="clear" w:color="auto" w:fill="FFFFFF"/>
              <w:spacing w:line="360" w:lineRule="auto"/>
              <w:rPr>
                <w:rFonts w:ascii="仿宋" w:hAnsi="仿宋" w:eastAsia="仿宋"/>
                <w:color w:val="auto"/>
                <w:sz w:val="20"/>
                <w:szCs w:val="20"/>
              </w:rPr>
            </w:pPr>
            <w:r>
              <w:rPr>
                <w:rFonts w:hint="eastAsia" w:ascii="宋体" w:hAnsi="宋体"/>
                <w:szCs w:val="21"/>
              </w:rPr>
              <w:t>2、服务响应时间：对于服务请求，须在 20 分钟内响应；一般问题 8小时内解决；对于重大问题不能超过 48 小时解决且要求 4 小时内到现场服务。</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51F89BD">
            <w:pPr>
              <w:widowControl/>
              <w:shd w:val="clear" w:color="auto" w:fill="FFFFFF"/>
              <w:spacing w:line="360" w:lineRule="auto"/>
              <w:rPr>
                <w:rFonts w:hint="eastAsia" w:ascii="宋体" w:hAnsi="宋体"/>
                <w:szCs w:val="21"/>
              </w:rPr>
            </w:pPr>
            <w:r>
              <w:rPr>
                <w:rFonts w:hint="eastAsia" w:ascii="宋体" w:hAnsi="宋体"/>
                <w:szCs w:val="21"/>
              </w:rPr>
              <w:t>七、其他要求：</w:t>
            </w:r>
          </w:p>
          <w:p w14:paraId="59941308">
            <w:pPr>
              <w:widowControl/>
              <w:shd w:val="clear" w:color="auto" w:fill="FFFFFF"/>
              <w:spacing w:line="360" w:lineRule="auto"/>
              <w:rPr>
                <w:rFonts w:hint="eastAsia" w:ascii="宋体" w:hAnsi="宋体"/>
                <w:szCs w:val="21"/>
              </w:rPr>
            </w:pPr>
            <w:r>
              <w:rPr>
                <w:rFonts w:hint="eastAsia" w:ascii="宋体" w:hAnsi="宋体"/>
                <w:szCs w:val="21"/>
              </w:rPr>
              <w:t>1、投标报价为采购人指定地点的现场交货价，包括：</w:t>
            </w:r>
          </w:p>
          <w:p w14:paraId="6829EF21">
            <w:pPr>
              <w:widowControl/>
              <w:shd w:val="clear" w:color="auto" w:fill="FFFFFF"/>
              <w:spacing w:line="360" w:lineRule="auto"/>
              <w:rPr>
                <w:rFonts w:hint="eastAsia" w:ascii="宋体" w:hAnsi="宋体"/>
                <w:szCs w:val="21"/>
              </w:rPr>
            </w:pPr>
            <w:r>
              <w:rPr>
                <w:rFonts w:hint="eastAsia" w:ascii="宋体" w:hAnsi="宋体"/>
                <w:szCs w:val="21"/>
              </w:rPr>
              <w:t>（1）货物的价格；</w:t>
            </w:r>
          </w:p>
          <w:p w14:paraId="68F25FA6">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（2）货物的标准附件、备品备件、专用工具的价格；</w:t>
            </w:r>
          </w:p>
          <w:p w14:paraId="3878B26E">
            <w:pPr>
              <w:widowControl/>
              <w:shd w:val="clear" w:color="auto" w:fill="FFFFFF"/>
              <w:spacing w:line="360" w:lineRule="auto"/>
              <w:rPr>
                <w:rFonts w:hint="eastAsia" w:ascii="宋体" w:hAnsi="宋体"/>
                <w:szCs w:val="21"/>
              </w:rPr>
            </w:pPr>
            <w:r>
              <w:rPr>
                <w:rFonts w:hint="eastAsia" w:ascii="宋体" w:hAnsi="宋体"/>
                <w:szCs w:val="21"/>
              </w:rPr>
              <w:t>（3）运输、装卸、搬运、技术支持、售后服务等费用；</w:t>
            </w:r>
          </w:p>
          <w:p w14:paraId="62531AE1">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2A37D90C">
            <w:pPr>
              <w:widowControl/>
              <w:shd w:val="clear" w:color="auto" w:fill="FFFFFF"/>
              <w:spacing w:line="360" w:lineRule="auto"/>
              <w:rPr>
                <w:rFonts w:ascii="仿宋" w:hAnsi="仿宋" w:eastAsia="仿宋"/>
                <w:color w:val="auto"/>
                <w:sz w:val="20"/>
                <w:szCs w:val="20"/>
              </w:rPr>
            </w:pPr>
            <w:r>
              <w:rPr>
                <w:rFonts w:hint="eastAsia" w:ascii="宋体" w:hAnsi="宋体"/>
                <w:szCs w:val="21"/>
              </w:rPr>
              <w:t>2、付款方式：货物验收合格后一次性支付合同款（付款前中标人需开具等额合规的增值税普通发票）。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南宁中心血站2024年折叠桌采购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603B57-D45C-4BDA-B754-00F967F03D3C}"/>
  </w:font>
  <w:font w:name="Courier New">
    <w:panose1 w:val="02070309020205020404"/>
    <w:charset w:val="01"/>
    <w:family w:val="modern"/>
    <w:pitch w:val="default"/>
    <w:sig w:usb0="E0002EFF" w:usb1="C0007843" w:usb2="00000009" w:usb3="00000000" w:csb0="400001FF" w:csb1="FFFF0000"/>
    <w:embedRegular r:id="rId2" w:fontKey="{CDCF3006-6515-48F4-AF03-AD4EF6996B5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B96822C-5E8E-41A9-A3ED-8D1233E336C7}"/>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2E24577-5DB0-4A9B-A464-FB8EDC7F9E05}"/>
  </w:font>
  <w:font w:name="仿宋_GB2312">
    <w:panose1 w:val="02010609030101010101"/>
    <w:charset w:val="86"/>
    <w:family w:val="modern"/>
    <w:pitch w:val="default"/>
    <w:sig w:usb0="00000001" w:usb1="080E0000" w:usb2="00000000" w:usb3="00000000" w:csb0="00040000" w:csb1="00000000"/>
    <w:embedRegular r:id="rId5" w:fontKey="{07975FAC-577D-4A82-A6C0-8D8D9B31707C}"/>
  </w:font>
  <w:font w:name="方正楷体_GB2312">
    <w:panose1 w:val="02000000000000000000"/>
    <w:charset w:val="86"/>
    <w:family w:val="auto"/>
    <w:pitch w:val="default"/>
    <w:sig w:usb0="A00002BF" w:usb1="184F6CFA" w:usb2="00000012" w:usb3="00000000" w:csb0="00040001" w:csb1="00000000"/>
    <w:embedRegular r:id="rId6" w:fontKey="{79F5C57E-4AA7-46F7-9724-E6E621B51F67}"/>
  </w:font>
  <w:font w:name="Wingdings 2">
    <w:panose1 w:val="05020102010507070707"/>
    <w:charset w:val="02"/>
    <w:family w:val="roman"/>
    <w:pitch w:val="default"/>
    <w:sig w:usb0="00000000" w:usb1="00000000" w:usb2="00000000" w:usb3="00000000" w:csb0="80000000" w:csb1="00000000"/>
    <w:embedRegular r:id="rId7" w:fontKey="{CB9B5249-55F7-4FAC-A087-49FF80606787}"/>
  </w:font>
  <w:font w:name="仿宋">
    <w:panose1 w:val="02010609060101010101"/>
    <w:charset w:val="86"/>
    <w:family w:val="modern"/>
    <w:pitch w:val="default"/>
    <w:sig w:usb0="800002BF" w:usb1="38CF7CFA" w:usb2="00000016" w:usb3="00000000" w:csb0="00040001" w:csb1="00000000"/>
    <w:embedRegular r:id="rId8" w:fontKey="{04596E2E-C03D-475E-85DB-D305CC710F60}"/>
  </w:font>
  <w:font w:name="方正公文小标宋">
    <w:panose1 w:val="02000500000000000000"/>
    <w:charset w:val="86"/>
    <w:family w:val="auto"/>
    <w:pitch w:val="default"/>
    <w:sig w:usb0="A00002BF" w:usb1="38CF7CFA" w:usb2="00000016" w:usb3="00000000" w:csb0="00040001" w:csb1="00000000"/>
    <w:embedRegular r:id="rId9" w:fontKey="{1D91B043-1D80-4662-975A-6E32997774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57700"/>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8856</Words>
  <Characters>9279</Characters>
  <Lines>71</Lines>
  <Paragraphs>20</Paragraphs>
  <TotalTime>9</TotalTime>
  <ScaleCrop>false</ScaleCrop>
  <LinksUpToDate>false</LinksUpToDate>
  <CharactersWithSpaces>11145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2024-10-30T09:47:39Z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127536711A934BE2946F08AB5A1B1634_13</vt:lpwstr>
  </property>
</Properties>
</file>