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项目名称：南宁中心血站2025年污水处理设施维保服务</w:t>
      </w:r>
    </w:p>
    <w:p w14:paraId="255FED0B">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项目编号：NNBCFW202402</w:t>
      </w:r>
      <w:r>
        <w:rPr>
          <w:rFonts w:hint="eastAsia" w:ascii="仿宋_GB2312" w:hAnsi="Courier New" w:eastAsia="仿宋_GB2312" w:cs="Courier New"/>
          <w:b/>
          <w:bCs/>
          <w:color w:val="000000"/>
          <w:kern w:val="0"/>
          <w:sz w:val="32"/>
          <w:szCs w:val="32"/>
          <w:lang w:val="en-US" w:eastAsia="zh-CN"/>
        </w:rPr>
        <w:t>6</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11</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28</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525F88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南宁中心血站2025年污水处理设施维保服务采购公告</w:t>
      </w:r>
    </w:p>
    <w:p w14:paraId="2B8B4A59">
      <w:pPr>
        <w:keepNext w:val="0"/>
        <w:keepLines w:val="0"/>
        <w:pageBreakBefore w:val="0"/>
        <w:widowControl/>
        <w:kinsoku/>
        <w:wordWrap/>
        <w:overflowPunct/>
        <w:topLinePunct w:val="0"/>
        <w:autoSpaceDE/>
        <w:autoSpaceDN/>
        <w:bidi w:val="0"/>
        <w:adjustRightInd/>
        <w:snapToGrid/>
        <w:spacing w:line="64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南宁中心血站按照采购计划，对南宁中心血站2025年污水处理设施维保服务进行采购，现就该项目邀请具有资质的单位进行响应，采购信息如下：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项目编号：NNBCFW202402</w:t>
      </w:r>
      <w:r>
        <w:rPr>
          <w:rFonts w:hint="eastAsia" w:ascii="仿宋_GB2312" w:hAnsi="Courier New" w:eastAsia="仿宋_GB2312" w:cs="Courier New"/>
          <w:color w:val="000000"/>
          <w:kern w:val="0"/>
          <w:sz w:val="32"/>
          <w:szCs w:val="32"/>
          <w:lang w:val="en-US" w:eastAsia="zh-CN"/>
        </w:rPr>
        <w:t>6</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项目名称：南宁中心血站2025年污水处理设施维保服务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贰万肆仟伍佰元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245</w:t>
      </w:r>
      <w:r>
        <w:rPr>
          <w:rFonts w:hint="eastAsia" w:ascii="仿宋_GB2312" w:hAnsi="Courier New" w:eastAsia="仿宋_GB2312" w:cs="Courier New"/>
          <w:color w:val="000000"/>
          <w:kern w:val="0"/>
          <w:sz w:val="32"/>
          <w:szCs w:val="32"/>
          <w:lang w:val="zh-TW" w:eastAsia="zh-TW"/>
        </w:rPr>
        <w:t>00.00）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贰万肆仟伍佰元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245</w:t>
      </w:r>
      <w:r>
        <w:rPr>
          <w:rFonts w:hint="eastAsia" w:ascii="仿宋_GB2312" w:hAnsi="Courier New" w:eastAsia="仿宋_GB2312" w:cs="Courier New"/>
          <w:color w:val="000000"/>
          <w:kern w:val="0"/>
          <w:sz w:val="32"/>
          <w:szCs w:val="32"/>
          <w:lang w:val="zh-TW" w:eastAsia="zh-TW"/>
        </w:rPr>
        <w:t>00.00）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56A648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秦海娜</w:t>
      </w:r>
    </w:p>
    <w:p w14:paraId="1DE7A5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6BE25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1A00AF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A37C6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line="56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58A27A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28</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17D05D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48FE1ADA">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E3C6E17">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71D82D6">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513BDEB8">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211A425">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E2A2662">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13290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09A6DC29">
      <w:pPr>
        <w:rPr>
          <w:rFonts w:hint="eastAsia" w:ascii="仿宋" w:hAnsi="仿宋" w:eastAsia="仿宋"/>
          <w:color w:val="auto"/>
          <w:sz w:val="30"/>
          <w:szCs w:val="30"/>
        </w:rPr>
      </w:pP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2"/>
        <w:jc w:val="center"/>
        <w:rPr>
          <w:rFonts w:hint="eastAsia" w:hAnsi="宋体" w:cs="宋体"/>
          <w:b/>
          <w:sz w:val="36"/>
        </w:rPr>
      </w:pPr>
      <w:r>
        <w:rPr>
          <w:rFonts w:hint="eastAsia" w:hAnsi="宋体" w:cs="宋体"/>
          <w:b/>
          <w:sz w:val="36"/>
        </w:rPr>
        <w:t>采购需求一览表</w:t>
      </w:r>
    </w:p>
    <w:p w14:paraId="2BCE669B">
      <w:pPr>
        <w:pStyle w:val="36"/>
        <w:ind w:firstLine="462" w:firstLineChars="200"/>
        <w:rPr>
          <w:sz w:val="21"/>
          <w:szCs w:val="21"/>
        </w:rPr>
      </w:pPr>
      <w:r>
        <w:rPr>
          <w:rFonts w:hint="eastAsia" w:ascii="宋体" w:hAnsi="宋体" w:cs="宋体"/>
          <w:b/>
          <w:sz w:val="21"/>
          <w:szCs w:val="21"/>
        </w:rPr>
        <w:t>说明：本采购需求一览表中各参数要求需要全部满足，不允许负偏离，负偏离视为无效响应</w:t>
      </w:r>
      <w:r>
        <w:rPr>
          <w:rFonts w:hint="eastAsia" w:hAnsi="宋体"/>
          <w:b/>
          <w:sz w:val="21"/>
          <w:szCs w:val="21"/>
        </w:rPr>
        <w:t>。</w:t>
      </w:r>
    </w:p>
    <w:tbl>
      <w:tblPr>
        <w:tblStyle w:val="14"/>
        <w:tblW w:w="87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2"/>
        <w:gridCol w:w="863"/>
        <w:gridCol w:w="763"/>
        <w:gridCol w:w="5500"/>
        <w:gridCol w:w="1090"/>
      </w:tblGrid>
      <w:tr w14:paraId="198FD6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254FC34">
            <w:pPr>
              <w:jc w:val="center"/>
              <w:rPr>
                <w:rFonts w:ascii="宋体" w:hAnsi="宋体"/>
                <w:b/>
                <w:szCs w:val="21"/>
                <w:highlight w:val="none"/>
              </w:rPr>
            </w:pPr>
            <w:r>
              <w:rPr>
                <w:rFonts w:hint="eastAsia" w:ascii="宋体" w:hAnsi="宋体"/>
                <w:b/>
                <w:szCs w:val="21"/>
                <w:highlight w:val="none"/>
              </w:rPr>
              <w:t>项号</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4691C35">
            <w:pPr>
              <w:jc w:val="center"/>
              <w:rPr>
                <w:rFonts w:ascii="宋体" w:hAnsi="宋体"/>
                <w:b/>
                <w:szCs w:val="21"/>
                <w:highlight w:val="none"/>
              </w:rPr>
            </w:pPr>
            <w:r>
              <w:rPr>
                <w:rFonts w:hint="eastAsia" w:ascii="宋体" w:hAnsi="宋体"/>
                <w:b/>
                <w:szCs w:val="21"/>
                <w:highlight w:val="none"/>
              </w:rPr>
              <w:t>采购项目名称</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750EDAAF">
            <w:pPr>
              <w:jc w:val="center"/>
              <w:rPr>
                <w:rFonts w:ascii="宋体" w:hAnsi="宋体"/>
                <w:b/>
                <w:szCs w:val="21"/>
                <w:highlight w:val="none"/>
              </w:rPr>
            </w:pPr>
            <w:r>
              <w:rPr>
                <w:rFonts w:hint="eastAsia" w:ascii="宋体" w:hAnsi="宋体"/>
                <w:b/>
                <w:szCs w:val="21"/>
                <w:highlight w:val="none"/>
              </w:rPr>
              <w:t>数量</w:t>
            </w:r>
          </w:p>
        </w:tc>
        <w:tc>
          <w:tcPr>
            <w:tcW w:w="5500" w:type="dxa"/>
            <w:tcBorders>
              <w:top w:val="single" w:color="auto" w:sz="4" w:space="0"/>
              <w:left w:val="single" w:color="auto" w:sz="4" w:space="0"/>
              <w:bottom w:val="single" w:color="auto" w:sz="4" w:space="0"/>
              <w:right w:val="single" w:color="auto" w:sz="4" w:space="0"/>
            </w:tcBorders>
            <w:noWrap w:val="0"/>
            <w:vAlign w:val="center"/>
          </w:tcPr>
          <w:p w14:paraId="43C28C40">
            <w:pPr>
              <w:jc w:val="center"/>
              <w:rPr>
                <w:rFonts w:hint="default" w:ascii="宋体" w:hAnsi="宋体" w:eastAsia="宋体"/>
                <w:b/>
                <w:szCs w:val="21"/>
                <w:highlight w:val="none"/>
                <w:lang w:val="en-US" w:eastAsia="zh-CN"/>
              </w:rPr>
            </w:pPr>
            <w:r>
              <w:rPr>
                <w:rFonts w:hint="eastAsia" w:ascii="宋体" w:hAnsi="宋体"/>
                <w:b/>
                <w:szCs w:val="21"/>
                <w:highlight w:val="none"/>
              </w:rPr>
              <w:t>采购项目的具体内容和要求</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7BDDDC64">
            <w:pPr>
              <w:jc w:val="center"/>
              <w:rPr>
                <w:rFonts w:ascii="宋体" w:hAnsi="宋体"/>
                <w:b/>
                <w:szCs w:val="21"/>
                <w:highlight w:val="none"/>
              </w:rPr>
            </w:pPr>
            <w:r>
              <w:rPr>
                <w:rFonts w:hint="eastAsia" w:ascii="宋体" w:hAnsi="宋体"/>
                <w:b/>
                <w:szCs w:val="21"/>
                <w:highlight w:val="none"/>
                <w:lang w:val="en-US" w:eastAsia="zh-CN"/>
              </w:rPr>
              <w:t>预算限额</w:t>
            </w:r>
          </w:p>
        </w:tc>
      </w:tr>
      <w:tr w14:paraId="2F39AB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BD72797">
            <w:pPr>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5EC5245">
            <w:pPr>
              <w:jc w:val="center"/>
              <w:rPr>
                <w:rFonts w:hint="eastAsia" w:ascii="宋体" w:hAnsi="宋体" w:eastAsia="宋体" w:cs="宋体"/>
                <w:szCs w:val="21"/>
                <w:highlight w:val="none"/>
              </w:rPr>
            </w:pPr>
            <w:r>
              <w:rPr>
                <w:rFonts w:hint="eastAsia" w:ascii="宋体" w:hAnsi="宋体" w:eastAsia="宋体" w:cs="宋体"/>
                <w:szCs w:val="21"/>
                <w:highlight w:val="none"/>
              </w:rPr>
              <w:t>南宁中心血站2025年污水处理设施维保服务</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2A314ABC">
            <w:pPr>
              <w:jc w:val="center"/>
              <w:rPr>
                <w:rFonts w:hint="eastAsia" w:ascii="宋体" w:hAnsi="宋体" w:eastAsia="宋体" w:cs="宋体"/>
                <w:szCs w:val="21"/>
                <w:highlight w:val="none"/>
              </w:rPr>
            </w:pPr>
            <w:r>
              <w:rPr>
                <w:rFonts w:hint="eastAsia" w:ascii="宋体" w:hAnsi="宋体" w:eastAsia="宋体" w:cs="宋体"/>
                <w:szCs w:val="21"/>
                <w:highlight w:val="none"/>
              </w:rPr>
              <w:t>1项</w:t>
            </w:r>
          </w:p>
        </w:tc>
        <w:tc>
          <w:tcPr>
            <w:tcW w:w="5500" w:type="dxa"/>
            <w:tcBorders>
              <w:top w:val="single" w:color="auto" w:sz="4" w:space="0"/>
              <w:left w:val="single" w:color="auto" w:sz="4" w:space="0"/>
              <w:bottom w:val="single" w:color="auto" w:sz="4" w:space="0"/>
              <w:right w:val="single" w:color="auto" w:sz="4" w:space="0"/>
            </w:tcBorders>
            <w:noWrap w:val="0"/>
            <w:vAlign w:val="center"/>
          </w:tcPr>
          <w:p w14:paraId="22A6FEFF">
            <w:pPr>
              <w:spacing w:line="420" w:lineRule="exact"/>
              <w:rPr>
                <w:rFonts w:hint="default" w:ascii="Calibri" w:hAnsi="Calibri" w:eastAsia="宋体" w:cs="黑体"/>
                <w:sz w:val="21"/>
                <w:szCs w:val="22"/>
                <w:highlight w:val="none"/>
              </w:rPr>
            </w:pPr>
            <w:r>
              <w:rPr>
                <w:rFonts w:hint="default" w:ascii="Calibri" w:hAnsi="Calibri" w:eastAsia="宋体" w:cs="黑体"/>
                <w:sz w:val="21"/>
                <w:szCs w:val="22"/>
                <w:highlight w:val="none"/>
              </w:rPr>
              <w:t>1. 保障南宁中心血站污水处理系统正常运行。</w:t>
            </w:r>
          </w:p>
          <w:p w14:paraId="46DB5E32">
            <w:pPr>
              <w:spacing w:line="420" w:lineRule="exact"/>
              <w:rPr>
                <w:rFonts w:hint="eastAsia" w:ascii="Calibri" w:hAnsi="Calibri" w:eastAsia="宋体" w:cs="黑体"/>
                <w:sz w:val="21"/>
                <w:szCs w:val="22"/>
                <w:highlight w:val="none"/>
              </w:rPr>
            </w:pPr>
            <w:r>
              <w:rPr>
                <w:rFonts w:hint="default" w:ascii="Calibri" w:hAnsi="Calibri" w:eastAsia="宋体" w:cs="黑体"/>
                <w:sz w:val="21"/>
                <w:szCs w:val="22"/>
                <w:highlight w:val="none"/>
              </w:rPr>
              <w:t>2. 服务期限：一年</w:t>
            </w:r>
            <w:r>
              <w:rPr>
                <w:rFonts w:hint="default" w:ascii="Calibri" w:hAnsi="Calibri" w:eastAsia="宋体" w:cs="黑体"/>
                <w:sz w:val="21"/>
                <w:szCs w:val="22"/>
                <w:highlight w:val="none"/>
                <w:lang w:eastAsia="zh-CN"/>
              </w:rPr>
              <w:t>。</w:t>
            </w:r>
          </w:p>
          <w:p w14:paraId="1B2A605A">
            <w:pPr>
              <w:spacing w:line="420" w:lineRule="exact"/>
              <w:rPr>
                <w:rFonts w:hint="default" w:ascii="Calibri" w:hAnsi="Calibri" w:eastAsia="宋体" w:cs="黑体"/>
                <w:sz w:val="21"/>
                <w:szCs w:val="22"/>
                <w:highlight w:val="none"/>
              </w:rPr>
            </w:pPr>
            <w:r>
              <w:rPr>
                <w:rFonts w:hint="default" w:ascii="Calibri" w:hAnsi="Calibri" w:eastAsia="宋体" w:cs="黑体"/>
                <w:sz w:val="21"/>
                <w:szCs w:val="22"/>
                <w:highlight w:val="none"/>
              </w:rPr>
              <w:t>3.服务范围：南宁中心血站。</w:t>
            </w:r>
          </w:p>
          <w:p w14:paraId="127264FD">
            <w:pPr>
              <w:spacing w:line="420" w:lineRule="exact"/>
              <w:rPr>
                <w:rFonts w:hint="eastAsia" w:ascii="Calibri" w:hAnsi="Calibri" w:eastAsia="宋体" w:cs="黑体"/>
                <w:bCs w:val="0"/>
                <w:szCs w:val="22"/>
                <w:highlight w:val="none"/>
              </w:rPr>
            </w:pPr>
            <w:r>
              <w:rPr>
                <w:rFonts w:hint="default" w:eastAsia="宋体" w:cs="黑体"/>
                <w:szCs w:val="22"/>
                <w:highlight w:val="none"/>
              </w:rPr>
              <w:t>4</w:t>
            </w:r>
            <w:r>
              <w:rPr>
                <w:rFonts w:hint="default" w:ascii="Calibri" w:hAnsi="Calibri" w:eastAsia="宋体" w:cs="黑体"/>
                <w:bCs w:val="0"/>
                <w:szCs w:val="22"/>
                <w:highlight w:val="none"/>
              </w:rPr>
              <w:t>.服务价格：包干价</w:t>
            </w:r>
            <w:r>
              <w:rPr>
                <w:rFonts w:hint="default" w:ascii="Calibri" w:hAnsi="Calibri" w:eastAsia="宋体" w:cs="黑体"/>
                <w:bCs w:val="0"/>
                <w:sz w:val="21"/>
                <w:szCs w:val="22"/>
                <w:highlight w:val="none"/>
                <w:lang w:eastAsia="zh-CN"/>
              </w:rPr>
              <w:t>。</w:t>
            </w:r>
          </w:p>
          <w:p w14:paraId="017155D0">
            <w:pPr>
              <w:spacing w:line="420" w:lineRule="exact"/>
              <w:rPr>
                <w:rFonts w:hint="eastAsia" w:ascii="Calibri" w:hAnsi="Calibri" w:eastAsia="宋体" w:cs="黑体"/>
                <w:sz w:val="21"/>
                <w:szCs w:val="22"/>
                <w:highlight w:val="none"/>
              </w:rPr>
            </w:pPr>
            <w:r>
              <w:rPr>
                <w:rFonts w:hint="default" w:ascii="Calibri" w:hAnsi="Calibri" w:eastAsia="宋体" w:cs="黑体"/>
                <w:sz w:val="21"/>
                <w:szCs w:val="22"/>
                <w:highlight w:val="none"/>
              </w:rPr>
              <w:t>5.服务要求：</w:t>
            </w:r>
          </w:p>
          <w:p w14:paraId="6A3CD4EE">
            <w:pPr>
              <w:spacing w:line="420" w:lineRule="exact"/>
              <w:rPr>
                <w:rFonts w:hint="eastAsia" w:ascii="Calibri" w:hAnsi="Calibri" w:eastAsia="宋体" w:cs="黑体"/>
                <w:bCs w:val="0"/>
                <w:spacing w:val="0"/>
                <w:kern w:val="2"/>
                <w:szCs w:val="22"/>
                <w:highlight w:val="none"/>
              </w:rPr>
            </w:pPr>
            <w:r>
              <w:rPr>
                <w:rFonts w:hint="default" w:ascii="Calibri" w:hAnsi="Calibri" w:eastAsia="宋体" w:cs="黑体"/>
                <w:szCs w:val="22"/>
                <w:highlight w:val="none"/>
              </w:rPr>
              <w:t>5</w:t>
            </w:r>
            <w:r>
              <w:rPr>
                <w:rFonts w:hint="default" w:ascii="Calibri" w:hAnsi="Calibri" w:eastAsia="宋体" w:cs="黑体"/>
                <w:bCs w:val="0"/>
                <w:spacing w:val="0"/>
                <w:kern w:val="2"/>
                <w:szCs w:val="22"/>
                <w:highlight w:val="none"/>
              </w:rPr>
              <w:t>.1污水排放符合国家医疗机构污水排放标准</w:t>
            </w:r>
            <w:r>
              <w:rPr>
                <w:rFonts w:hint="eastAsia" w:eastAsia="宋体" w:cs="黑体"/>
                <w:bCs w:val="0"/>
                <w:spacing w:val="0"/>
                <w:kern w:val="2"/>
                <w:szCs w:val="22"/>
                <w:highlight w:val="none"/>
                <w:lang w:eastAsia="zh-CN"/>
              </w:rPr>
              <w:t>；</w:t>
            </w:r>
          </w:p>
          <w:p w14:paraId="08DD9FF0">
            <w:pPr>
              <w:spacing w:line="420" w:lineRule="exact"/>
              <w:rPr>
                <w:rFonts w:hint="eastAsia" w:ascii="Calibri" w:hAnsi="Calibri" w:eastAsia="宋体" w:cs="黑体"/>
                <w:bCs w:val="0"/>
                <w:spacing w:val="0"/>
                <w:kern w:val="2"/>
                <w:szCs w:val="22"/>
                <w:highlight w:val="none"/>
              </w:rPr>
            </w:pPr>
            <w:r>
              <w:rPr>
                <w:rFonts w:hint="default" w:ascii="Calibri" w:hAnsi="Calibri" w:eastAsia="宋体" w:cs="黑体"/>
                <w:bCs w:val="0"/>
                <w:spacing w:val="0"/>
                <w:kern w:val="2"/>
                <w:szCs w:val="22"/>
                <w:highlight w:val="none"/>
              </w:rPr>
              <w:t>5.2负责污水处理站的所有设备（包括潜水泵、计量泵、其它电器</w:t>
            </w:r>
            <w:r>
              <w:rPr>
                <w:rFonts w:hint="default" w:ascii="Calibri" w:hAnsi="Calibri" w:eastAsia="宋体" w:cs="黑体"/>
                <w:bCs w:val="0"/>
                <w:spacing w:val="0"/>
                <w:kern w:val="2"/>
                <w:sz w:val="21"/>
                <w:szCs w:val="22"/>
                <w:highlight w:val="none"/>
                <w:lang w:val="en-US" w:eastAsia="zh-CN"/>
              </w:rPr>
              <w:t>元</w:t>
            </w:r>
            <w:r>
              <w:rPr>
                <w:rFonts w:hint="default" w:ascii="Calibri" w:hAnsi="Calibri" w:eastAsia="宋体" w:cs="黑体"/>
                <w:bCs w:val="0"/>
                <w:spacing w:val="0"/>
                <w:kern w:val="2"/>
                <w:szCs w:val="22"/>
                <w:highlight w:val="none"/>
              </w:rPr>
              <w:t>件等更换）管道的维修、保养</w:t>
            </w:r>
            <w:r>
              <w:rPr>
                <w:rFonts w:hint="default" w:ascii="Calibri" w:hAnsi="Calibri" w:eastAsia="宋体" w:cs="黑体"/>
                <w:bCs w:val="0"/>
                <w:color w:val="0000FF"/>
                <w:spacing w:val="0"/>
                <w:kern w:val="2"/>
                <w:szCs w:val="22"/>
                <w:highlight w:val="none"/>
              </w:rPr>
              <w:t>、</w:t>
            </w:r>
            <w:r>
              <w:rPr>
                <w:rFonts w:hint="default" w:eastAsia="宋体" w:cs="黑体"/>
                <w:color w:val="auto"/>
                <w:szCs w:val="22"/>
                <w:highlight w:val="none"/>
              </w:rPr>
              <w:t>零部件</w:t>
            </w:r>
            <w:r>
              <w:rPr>
                <w:rFonts w:hint="default" w:ascii="Calibri" w:hAnsi="Calibri" w:eastAsia="宋体" w:cs="黑体"/>
                <w:bCs w:val="0"/>
                <w:spacing w:val="0"/>
                <w:kern w:val="2"/>
                <w:szCs w:val="22"/>
                <w:highlight w:val="none"/>
              </w:rPr>
              <w:t>更换</w:t>
            </w:r>
            <w:r>
              <w:rPr>
                <w:rFonts w:hint="eastAsia" w:eastAsia="宋体" w:cs="黑体"/>
                <w:bCs w:val="0"/>
                <w:spacing w:val="0"/>
                <w:kern w:val="2"/>
                <w:szCs w:val="22"/>
                <w:highlight w:val="none"/>
                <w:lang w:eastAsia="zh-CN"/>
              </w:rPr>
              <w:t>；</w:t>
            </w:r>
          </w:p>
          <w:p w14:paraId="691F541C">
            <w:pPr>
              <w:spacing w:line="420" w:lineRule="exact"/>
              <w:rPr>
                <w:rFonts w:hint="default" w:ascii="Calibri" w:hAnsi="Calibri" w:eastAsia="宋体" w:cs="黑体"/>
                <w:bCs w:val="0"/>
                <w:spacing w:val="0"/>
                <w:kern w:val="2"/>
                <w:szCs w:val="22"/>
                <w:highlight w:val="none"/>
              </w:rPr>
            </w:pPr>
            <w:r>
              <w:rPr>
                <w:rFonts w:hint="default" w:ascii="Calibri" w:hAnsi="Calibri" w:eastAsia="宋体" w:cs="黑体"/>
                <w:bCs w:val="0"/>
                <w:spacing w:val="0"/>
                <w:kern w:val="2"/>
                <w:szCs w:val="22"/>
                <w:highlight w:val="none"/>
              </w:rPr>
              <w:t>5.3提供日常运行所需的原料盐，以及测试余氯所需试剂</w:t>
            </w:r>
          </w:p>
          <w:p w14:paraId="482B9EB8">
            <w:pPr>
              <w:spacing w:line="420" w:lineRule="exact"/>
              <w:rPr>
                <w:rFonts w:hint="eastAsia" w:ascii="Calibri" w:hAnsi="Calibri" w:eastAsia="宋体" w:cs="黑体"/>
                <w:bCs w:val="0"/>
                <w:spacing w:val="0"/>
                <w:kern w:val="2"/>
                <w:szCs w:val="22"/>
                <w:highlight w:val="none"/>
              </w:rPr>
            </w:pPr>
            <w:r>
              <w:rPr>
                <w:rFonts w:hint="default" w:ascii="Calibri" w:hAnsi="Calibri" w:eastAsia="宋体" w:cs="黑体"/>
                <w:bCs w:val="0"/>
                <w:spacing w:val="0"/>
                <w:kern w:val="2"/>
                <w:szCs w:val="22"/>
                <w:highlight w:val="none"/>
              </w:rPr>
              <w:t>5.4负责每月电解槽进行酸洗一次；格栅池每年进行清理一次</w:t>
            </w:r>
            <w:r>
              <w:rPr>
                <w:rFonts w:hint="eastAsia" w:eastAsia="宋体" w:cs="黑体"/>
                <w:bCs w:val="0"/>
                <w:spacing w:val="0"/>
                <w:kern w:val="2"/>
                <w:szCs w:val="22"/>
                <w:highlight w:val="none"/>
                <w:lang w:eastAsia="zh-CN"/>
              </w:rPr>
              <w:t>；</w:t>
            </w:r>
          </w:p>
          <w:p w14:paraId="17840A75">
            <w:pPr>
              <w:spacing w:line="420" w:lineRule="exact"/>
              <w:rPr>
                <w:rFonts w:hint="eastAsia" w:ascii="Calibri" w:hAnsi="Calibri" w:eastAsia="宋体" w:cs="黑体"/>
                <w:bCs w:val="0"/>
                <w:spacing w:val="0"/>
                <w:kern w:val="2"/>
                <w:szCs w:val="22"/>
                <w:highlight w:val="none"/>
              </w:rPr>
            </w:pPr>
            <w:r>
              <w:rPr>
                <w:rFonts w:hint="default" w:ascii="Calibri" w:hAnsi="Calibri" w:eastAsia="宋体" w:cs="黑体"/>
                <w:bCs w:val="0"/>
                <w:spacing w:val="0"/>
                <w:kern w:val="2"/>
                <w:szCs w:val="22"/>
                <w:highlight w:val="none"/>
              </w:rPr>
              <w:t>5.5提供每年1-2次的污水处理设备操作培训</w:t>
            </w:r>
            <w:r>
              <w:rPr>
                <w:rFonts w:hint="eastAsia" w:eastAsia="宋体" w:cs="黑体"/>
                <w:bCs w:val="0"/>
                <w:spacing w:val="0"/>
                <w:kern w:val="2"/>
                <w:szCs w:val="22"/>
                <w:highlight w:val="none"/>
                <w:lang w:eastAsia="zh-CN"/>
              </w:rPr>
              <w:t>；</w:t>
            </w:r>
          </w:p>
          <w:p w14:paraId="4D90D28B">
            <w:pPr>
              <w:spacing w:line="420" w:lineRule="exact"/>
              <w:rPr>
                <w:rFonts w:hint="default" w:ascii="Calibri" w:hAnsi="Calibri" w:eastAsia="宋体" w:cs="黑体"/>
                <w:bCs w:val="0"/>
                <w:spacing w:val="0"/>
                <w:kern w:val="2"/>
                <w:szCs w:val="22"/>
                <w:highlight w:val="none"/>
              </w:rPr>
            </w:pPr>
            <w:r>
              <w:rPr>
                <w:rFonts w:hint="default" w:ascii="Calibri" w:hAnsi="Calibri" w:eastAsia="宋体" w:cs="黑体"/>
                <w:bCs w:val="0"/>
                <w:spacing w:val="0"/>
                <w:kern w:val="2"/>
                <w:szCs w:val="22"/>
                <w:highlight w:val="none"/>
              </w:rPr>
              <w:t>5.6采购人设备出现故障的报修通知，供应商1-4小时候内到达现场维修，尽快恢复系统正常运行；</w:t>
            </w:r>
          </w:p>
          <w:p w14:paraId="2E751728">
            <w:pPr>
              <w:spacing w:line="420" w:lineRule="exact"/>
              <w:rPr>
                <w:rFonts w:hint="eastAsia" w:ascii="Calibri" w:hAnsi="Calibri" w:eastAsia="宋体" w:cs="黑体"/>
                <w:bCs w:val="0"/>
                <w:spacing w:val="0"/>
                <w:kern w:val="2"/>
                <w:szCs w:val="22"/>
                <w:highlight w:val="none"/>
              </w:rPr>
            </w:pPr>
            <w:r>
              <w:rPr>
                <w:rFonts w:hint="default" w:ascii="Calibri" w:hAnsi="Calibri" w:eastAsia="宋体" w:cs="黑体"/>
                <w:bCs w:val="0"/>
                <w:spacing w:val="0"/>
                <w:kern w:val="2"/>
                <w:szCs w:val="22"/>
                <w:highlight w:val="none"/>
              </w:rPr>
              <w:t>5.7供应商上门维修没有次数限制，不另外收取任何费用</w:t>
            </w:r>
            <w:r>
              <w:rPr>
                <w:rFonts w:hint="eastAsia" w:eastAsia="宋体" w:cs="黑体"/>
                <w:bCs w:val="0"/>
                <w:spacing w:val="0"/>
                <w:kern w:val="2"/>
                <w:szCs w:val="22"/>
                <w:highlight w:val="none"/>
                <w:lang w:eastAsia="zh-CN"/>
              </w:rPr>
              <w:t>；</w:t>
            </w:r>
          </w:p>
          <w:p w14:paraId="3853A7C5">
            <w:pPr>
              <w:spacing w:line="420" w:lineRule="exact"/>
              <w:rPr>
                <w:rFonts w:hint="eastAsia" w:eastAsia="宋体" w:cs="黑体"/>
                <w:szCs w:val="22"/>
                <w:highlight w:val="none"/>
                <w:lang w:val="en-US" w:eastAsia="zh-CN"/>
              </w:rPr>
            </w:pPr>
            <w:r>
              <w:rPr>
                <w:rFonts w:hint="default" w:ascii="Calibri" w:hAnsi="Calibri" w:eastAsia="宋体" w:cs="黑体"/>
                <w:bCs w:val="0"/>
                <w:spacing w:val="0"/>
                <w:kern w:val="2"/>
                <w:szCs w:val="22"/>
                <w:highlight w:val="none"/>
              </w:rPr>
              <w:t>5.8如果采购人设备短时间无法修复投入使用，供应商应提供取代措施，确保所排放污水达标</w:t>
            </w:r>
            <w:r>
              <w:rPr>
                <w:rFonts w:hint="default" w:eastAsia="宋体" w:cs="黑体"/>
                <w:szCs w:val="22"/>
                <w:highlight w:val="none"/>
              </w:rPr>
              <w:t>。</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47EFFE38">
            <w:pPr>
              <w:pStyle w:val="2"/>
              <w:jc w:val="left"/>
              <w:rPr>
                <w:rFonts w:hint="eastAsia" w:ascii="宋体" w:hAnsi="宋体" w:eastAsia="宋体" w:cs="宋体"/>
                <w:szCs w:val="21"/>
                <w:highlight w:val="none"/>
              </w:rPr>
            </w:pPr>
            <w:r>
              <w:rPr>
                <w:rFonts w:hint="eastAsia" w:ascii="Calibri" w:hAnsi="Calibri" w:eastAsia="宋体" w:cs="黑体"/>
                <w:bCs w:val="0"/>
                <w:spacing w:val="0"/>
                <w:kern w:val="2"/>
                <w:sz w:val="21"/>
                <w:szCs w:val="22"/>
                <w:highlight w:val="none"/>
                <w:lang w:val="en-US" w:eastAsia="zh-CN" w:bidi="ar-SA"/>
              </w:rPr>
              <w:t>24500元</w:t>
            </w:r>
          </w:p>
        </w:tc>
      </w:tr>
      <w:tr w14:paraId="61A091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0CF9CB5">
            <w:pPr>
              <w:jc w:val="center"/>
              <w:rPr>
                <w:rFonts w:hint="eastAsia" w:ascii="宋体" w:hAnsi="宋体" w:eastAsia="宋体" w:cs="宋体"/>
                <w:szCs w:val="21"/>
                <w:highlight w:val="none"/>
              </w:rPr>
            </w:pPr>
            <w:r>
              <w:rPr>
                <w:rFonts w:hint="eastAsia" w:ascii="宋体" w:hAnsi="宋体" w:eastAsia="宋体" w:cs="宋体"/>
                <w:szCs w:val="21"/>
                <w:highlight w:val="none"/>
              </w:rPr>
              <w:t>商务条款</w:t>
            </w:r>
          </w:p>
        </w:tc>
        <w:tc>
          <w:tcPr>
            <w:tcW w:w="8216" w:type="dxa"/>
            <w:gridSpan w:val="4"/>
            <w:tcBorders>
              <w:top w:val="single" w:color="auto" w:sz="4" w:space="0"/>
              <w:left w:val="single" w:color="auto" w:sz="4" w:space="0"/>
              <w:bottom w:val="single" w:color="auto" w:sz="4" w:space="0"/>
              <w:right w:val="single" w:color="auto" w:sz="4" w:space="0"/>
            </w:tcBorders>
            <w:noWrap w:val="0"/>
            <w:vAlign w:val="center"/>
          </w:tcPr>
          <w:p w14:paraId="2AA27A84">
            <w:pPr>
              <w:spacing w:line="420" w:lineRule="exact"/>
              <w:rPr>
                <w:rFonts w:hint="eastAsia" w:ascii="宋体" w:hAnsi="宋体" w:eastAsia="宋体" w:cs="宋体"/>
                <w:szCs w:val="21"/>
                <w:highlight w:val="none"/>
              </w:rPr>
            </w:pPr>
            <w:r>
              <w:rPr>
                <w:rFonts w:hint="eastAsia" w:ascii="宋体" w:hAnsi="宋体" w:eastAsia="宋体" w:cs="宋体"/>
                <w:szCs w:val="21"/>
                <w:highlight w:val="none"/>
              </w:rPr>
              <w:t>一、合同签订期:自成交结果公布之日起</w:t>
            </w:r>
            <w:r>
              <w:rPr>
                <w:rFonts w:hint="eastAsia" w:ascii="宋体" w:hAnsi="宋体" w:eastAsia="宋体" w:cs="宋体"/>
                <w:szCs w:val="21"/>
                <w:highlight w:val="none"/>
                <w:lang w:val="en-US" w:eastAsia="zh-CN"/>
              </w:rPr>
              <w:t>10</w:t>
            </w:r>
            <w:r>
              <w:rPr>
                <w:rFonts w:hint="eastAsia" w:ascii="宋体" w:hAnsi="宋体" w:eastAsia="宋体" w:cs="宋体"/>
                <w:szCs w:val="21"/>
                <w:highlight w:val="none"/>
              </w:rPr>
              <w:t>个工作日内。</w:t>
            </w:r>
          </w:p>
          <w:p w14:paraId="3546A179">
            <w:pPr>
              <w:spacing w:line="420" w:lineRule="exact"/>
              <w:rPr>
                <w:rFonts w:hint="eastAsia" w:ascii="宋体" w:hAnsi="宋体" w:eastAsia="宋体" w:cs="宋体"/>
                <w:szCs w:val="21"/>
                <w:highlight w:val="none"/>
              </w:rPr>
            </w:pPr>
            <w:r>
              <w:rPr>
                <w:rFonts w:hint="eastAsia" w:ascii="宋体" w:hAnsi="宋体" w:eastAsia="宋体" w:cs="宋体"/>
                <w:szCs w:val="21"/>
                <w:highlight w:val="none"/>
              </w:rPr>
              <w:t>二、服务期限</w:t>
            </w:r>
          </w:p>
          <w:p w14:paraId="730E6863">
            <w:pPr>
              <w:spacing w:line="420" w:lineRule="exact"/>
              <w:rPr>
                <w:rFonts w:hint="eastAsia" w:ascii="宋体" w:hAnsi="宋体" w:eastAsia="宋体" w:cs="宋体"/>
                <w:szCs w:val="21"/>
                <w:highlight w:val="none"/>
              </w:rPr>
            </w:pPr>
            <w:r>
              <w:rPr>
                <w:rFonts w:hint="eastAsia" w:ascii="宋体" w:hAnsi="宋体" w:eastAsia="宋体" w:cs="宋体"/>
                <w:szCs w:val="21"/>
                <w:highlight w:val="none"/>
                <w:lang w:val="en-US" w:eastAsia="zh-CN"/>
              </w:rPr>
              <w:t xml:space="preserve">1. </w:t>
            </w:r>
            <w:r>
              <w:rPr>
                <w:rFonts w:hint="eastAsia" w:ascii="宋体" w:hAnsi="宋体" w:eastAsia="宋体" w:cs="宋体"/>
                <w:szCs w:val="21"/>
                <w:highlight w:val="none"/>
                <w:lang w:eastAsia="zh-CN"/>
              </w:rPr>
              <w:t>合同签订之日起一年</w:t>
            </w:r>
            <w:r>
              <w:rPr>
                <w:rFonts w:hint="eastAsia" w:ascii="宋体" w:hAnsi="宋体" w:eastAsia="宋体" w:cs="宋体"/>
                <w:szCs w:val="21"/>
                <w:highlight w:val="none"/>
              </w:rPr>
              <w:t>。</w:t>
            </w:r>
          </w:p>
          <w:p w14:paraId="45452CAD">
            <w:pPr>
              <w:spacing w:line="420" w:lineRule="exact"/>
              <w:rPr>
                <w:rFonts w:hint="eastAsia" w:ascii="宋体" w:hAnsi="宋体" w:eastAsia="宋体" w:cs="宋体"/>
                <w:szCs w:val="21"/>
                <w:highlight w:val="none"/>
              </w:rPr>
            </w:pPr>
            <w:r>
              <w:rPr>
                <w:rFonts w:hint="eastAsia" w:ascii="宋体" w:hAnsi="宋体" w:eastAsia="宋体" w:cs="宋体"/>
                <w:szCs w:val="21"/>
                <w:highlight w:val="none"/>
                <w:lang w:val="en-US" w:eastAsia="zh-CN"/>
              </w:rPr>
              <w:t>2.</w:t>
            </w:r>
            <w:r>
              <w:rPr>
                <w:rFonts w:hint="eastAsia" w:ascii="宋体" w:hAnsi="宋体" w:eastAsia="宋体" w:cs="宋体"/>
                <w:color w:val="000000"/>
                <w:szCs w:val="21"/>
              </w:rPr>
              <w:t>合同延续年限、条件和方式：本项目合同履约期到期后，采购人依据本项目的服务履约评价情况及实际需求，在年度预算保障的前提下，</w:t>
            </w:r>
            <w:r>
              <w:rPr>
                <w:rFonts w:hint="eastAsia" w:ascii="宋体" w:hAnsi="宋体" w:eastAsia="宋体" w:cs="宋体"/>
                <w:color w:val="000000"/>
                <w:szCs w:val="21"/>
                <w:lang w:val="en-US" w:eastAsia="zh-CN"/>
              </w:rPr>
              <w:t>且采购</w:t>
            </w:r>
            <w:r>
              <w:rPr>
                <w:rFonts w:hint="eastAsia" w:ascii="宋体" w:hAnsi="宋体" w:eastAsia="宋体" w:cs="宋体"/>
                <w:color w:val="000000"/>
                <w:szCs w:val="21"/>
              </w:rPr>
              <w:t>内容（采购需求）相对固定、连续（延续）性强、经费来源稳定、价格变化幅度小的</w:t>
            </w:r>
            <w:r>
              <w:rPr>
                <w:rFonts w:hint="eastAsia" w:ascii="宋体" w:hAnsi="宋体" w:eastAsia="宋体" w:cs="宋体"/>
                <w:color w:val="000000"/>
                <w:szCs w:val="21"/>
                <w:lang w:val="en-US" w:eastAsia="zh-CN"/>
              </w:rPr>
              <w:t>情况下</w:t>
            </w:r>
            <w:r>
              <w:rPr>
                <w:rFonts w:hint="eastAsia" w:ascii="宋体" w:hAnsi="宋体" w:eastAsia="宋体" w:cs="宋体"/>
                <w:color w:val="000000"/>
                <w:szCs w:val="21"/>
              </w:rPr>
              <w:t>，可以通过一年一签</w:t>
            </w:r>
            <w:r>
              <w:rPr>
                <w:rFonts w:hint="eastAsia" w:ascii="宋体" w:hAnsi="宋体" w:eastAsia="宋体" w:cs="宋体"/>
                <w:color w:val="000000"/>
                <w:szCs w:val="21"/>
                <w:lang w:eastAsia="zh-CN"/>
              </w:rPr>
              <w:t>的</w:t>
            </w:r>
            <w:r>
              <w:rPr>
                <w:rFonts w:hint="eastAsia" w:ascii="宋体" w:hAnsi="宋体" w:eastAsia="宋体" w:cs="宋体"/>
                <w:color w:val="000000"/>
                <w:szCs w:val="21"/>
              </w:rPr>
              <w:t>方式</w:t>
            </w:r>
            <w:r>
              <w:rPr>
                <w:rFonts w:hint="eastAsia" w:ascii="宋体" w:hAnsi="宋体" w:eastAsia="宋体" w:cs="宋体"/>
                <w:color w:val="000000"/>
                <w:szCs w:val="21"/>
                <w:lang w:val="en-US" w:eastAsia="zh-CN"/>
              </w:rPr>
              <w:t>延续</w:t>
            </w:r>
            <w:r>
              <w:rPr>
                <w:rFonts w:hint="eastAsia" w:ascii="宋体" w:hAnsi="宋体" w:eastAsia="宋体" w:cs="宋体"/>
                <w:color w:val="000000"/>
                <w:szCs w:val="21"/>
              </w:rPr>
              <w:t>合同，</w:t>
            </w:r>
            <w:r>
              <w:rPr>
                <w:rFonts w:hint="eastAsia" w:ascii="宋体" w:hAnsi="宋体" w:eastAsia="宋体" w:cs="宋体"/>
                <w:color w:val="000000"/>
                <w:szCs w:val="21"/>
                <w:lang w:val="en-US" w:eastAsia="zh-CN"/>
              </w:rPr>
              <w:t>最终总</w:t>
            </w:r>
            <w:r>
              <w:rPr>
                <w:rFonts w:hint="eastAsia" w:ascii="宋体" w:hAnsi="宋体" w:eastAsia="宋体" w:cs="宋体"/>
                <w:color w:val="000000"/>
                <w:szCs w:val="21"/>
              </w:rPr>
              <w:t>期限不得超过三年。</w:t>
            </w:r>
          </w:p>
          <w:p w14:paraId="1A9F821C">
            <w:pPr>
              <w:spacing w:line="420" w:lineRule="exac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三、付款方式：成交供应商按照采购服务需求履行维保服务的，经采购人验收合格的采购人每半年支付相应合同款（即6月30日、12月30日前支付服务费用）。每次付款前成交供应商应开具对应金额发票并送达采购人处。</w:t>
            </w:r>
          </w:p>
          <w:p w14:paraId="4B1FBF97">
            <w:pPr>
              <w:spacing w:line="420" w:lineRule="exact"/>
              <w:rPr>
                <w:rFonts w:hint="eastAsia" w:ascii="宋体" w:hAnsi="宋体" w:eastAsia="宋体" w:cs="宋体"/>
                <w:szCs w:val="21"/>
                <w:highlight w:val="none"/>
              </w:rPr>
            </w:pPr>
            <w:r>
              <w:rPr>
                <w:rFonts w:hint="eastAsia" w:ascii="宋体" w:hAnsi="宋体" w:eastAsia="宋体" w:cs="宋体"/>
                <w:szCs w:val="21"/>
                <w:highlight w:val="none"/>
                <w:lang w:val="en-US" w:eastAsia="zh-CN"/>
              </w:rPr>
              <w:t>四</w:t>
            </w:r>
            <w:r>
              <w:rPr>
                <w:rFonts w:hint="eastAsia" w:ascii="宋体" w:hAnsi="宋体" w:eastAsia="宋体" w:cs="宋体"/>
                <w:szCs w:val="21"/>
                <w:highlight w:val="none"/>
              </w:rPr>
              <w:t>、服务地点：南宁市科园大道18号</w:t>
            </w:r>
            <w:r>
              <w:rPr>
                <w:rFonts w:hint="eastAsia" w:ascii="宋体" w:hAnsi="宋体" w:eastAsia="宋体" w:cs="宋体"/>
                <w:szCs w:val="21"/>
                <w:highlight w:val="none"/>
                <w:lang w:val="en-US" w:eastAsia="zh-CN"/>
              </w:rPr>
              <w:t>南宁中心血站</w:t>
            </w:r>
            <w:r>
              <w:rPr>
                <w:rFonts w:hint="eastAsia" w:ascii="宋体" w:hAnsi="宋体" w:eastAsia="宋体" w:cs="宋体"/>
                <w:szCs w:val="21"/>
                <w:highlight w:val="none"/>
              </w:rPr>
              <w:t>。</w:t>
            </w:r>
          </w:p>
          <w:p w14:paraId="74EA6962">
            <w:pPr>
              <w:spacing w:line="420" w:lineRule="exact"/>
              <w:rPr>
                <w:rFonts w:hint="eastAsia" w:ascii="宋体" w:hAnsi="宋体" w:eastAsia="宋体" w:cs="宋体"/>
                <w:szCs w:val="21"/>
                <w:highlight w:val="none"/>
              </w:rPr>
            </w:pPr>
            <w:r>
              <w:rPr>
                <w:rFonts w:hint="eastAsia" w:ascii="宋体" w:hAnsi="宋体" w:eastAsia="宋体" w:cs="宋体"/>
                <w:szCs w:val="21"/>
                <w:highlight w:val="none"/>
                <w:lang w:val="en-US" w:eastAsia="zh-CN"/>
              </w:rPr>
              <w:t>五</w:t>
            </w:r>
            <w:r>
              <w:rPr>
                <w:rFonts w:hint="eastAsia" w:ascii="宋体" w:hAnsi="宋体" w:eastAsia="宋体" w:cs="宋体"/>
                <w:szCs w:val="21"/>
                <w:highlight w:val="none"/>
              </w:rPr>
              <w:t>、其他要求：</w:t>
            </w:r>
          </w:p>
          <w:p w14:paraId="569C18F4">
            <w:pPr>
              <w:spacing w:line="420" w:lineRule="exact"/>
              <w:rPr>
                <w:rFonts w:hint="eastAsia" w:ascii="宋体" w:hAnsi="宋体" w:eastAsia="宋体" w:cs="宋体"/>
                <w:szCs w:val="21"/>
                <w:highlight w:val="none"/>
              </w:rPr>
            </w:pPr>
            <w:r>
              <w:rPr>
                <w:rFonts w:hint="eastAsia" w:ascii="宋体" w:hAnsi="宋体" w:eastAsia="宋体" w:cs="宋体"/>
                <w:szCs w:val="21"/>
                <w:highlight w:val="none"/>
              </w:rPr>
              <w:t>1、报价必须含以下部分，包括：</w:t>
            </w:r>
          </w:p>
          <w:p w14:paraId="5E472DD5">
            <w:pPr>
              <w:spacing w:line="420" w:lineRule="exact"/>
              <w:rPr>
                <w:rFonts w:hint="eastAsia" w:ascii="宋体" w:hAnsi="宋体" w:eastAsia="宋体" w:cs="宋体"/>
                <w:szCs w:val="21"/>
                <w:highlight w:val="none"/>
              </w:rPr>
            </w:pPr>
            <w:r>
              <w:rPr>
                <w:rFonts w:hint="eastAsia" w:ascii="宋体" w:hAnsi="宋体" w:eastAsia="宋体" w:cs="宋体"/>
                <w:szCs w:val="21"/>
                <w:highlight w:val="none"/>
              </w:rPr>
              <w:t>（1）服务的价格；</w:t>
            </w:r>
          </w:p>
          <w:p w14:paraId="4D48A7D3">
            <w:pPr>
              <w:spacing w:line="420" w:lineRule="exact"/>
              <w:rPr>
                <w:rFonts w:hint="eastAsia" w:ascii="宋体" w:hAnsi="宋体" w:eastAsia="宋体" w:cs="宋体"/>
                <w:szCs w:val="21"/>
                <w:highlight w:val="none"/>
              </w:rPr>
            </w:pPr>
            <w:r>
              <w:rPr>
                <w:rFonts w:hint="eastAsia" w:ascii="宋体" w:hAnsi="宋体" w:eastAsia="宋体" w:cs="宋体"/>
                <w:szCs w:val="21"/>
                <w:highlight w:val="none"/>
              </w:rPr>
              <w:t>（2）必要的保险费用和各项税金；</w:t>
            </w:r>
          </w:p>
          <w:p w14:paraId="0628FC25">
            <w:pPr>
              <w:spacing w:line="420" w:lineRule="exact"/>
              <w:rPr>
                <w:rFonts w:hint="eastAsia" w:ascii="宋体" w:hAnsi="宋体" w:eastAsia="宋体" w:cs="宋体"/>
                <w:szCs w:val="21"/>
                <w:highlight w:val="none"/>
                <w:lang w:eastAsia="zh-CN"/>
              </w:rPr>
            </w:pPr>
            <w:r>
              <w:rPr>
                <w:rFonts w:hint="eastAsia" w:ascii="宋体" w:hAnsi="宋体" w:eastAsia="宋体" w:cs="宋体"/>
                <w:szCs w:val="21"/>
                <w:highlight w:val="none"/>
              </w:rPr>
              <w:t>（3）</w:t>
            </w:r>
            <w:r>
              <w:rPr>
                <w:rFonts w:hint="eastAsia" w:ascii="宋体" w:hAnsi="宋体" w:eastAsia="宋体" w:cs="宋体"/>
                <w:szCs w:val="21"/>
                <w:highlight w:val="none"/>
                <w:lang w:val="en-US" w:eastAsia="zh-CN"/>
              </w:rPr>
              <w:t>其他如</w:t>
            </w:r>
            <w:r>
              <w:rPr>
                <w:rFonts w:hint="eastAsia" w:ascii="宋体" w:hAnsi="宋体" w:eastAsia="宋体" w:cs="宋体"/>
                <w:szCs w:val="21"/>
                <w:highlight w:val="none"/>
              </w:rPr>
              <w:t>完成本项目服务所需的人工、设备配置、利润和税金等所有费用。</w:t>
            </w:r>
          </w:p>
          <w:p w14:paraId="6BEB0018">
            <w:pPr>
              <w:spacing w:line="420" w:lineRule="exact"/>
              <w:rPr>
                <w:rFonts w:hint="eastAsia" w:ascii="宋体" w:hAnsi="宋体" w:eastAsia="宋体" w:cs="宋体"/>
                <w:szCs w:val="21"/>
                <w:highlight w:val="none"/>
              </w:rPr>
            </w:pPr>
            <w:r>
              <w:rPr>
                <w:rFonts w:hint="eastAsia" w:ascii="宋体" w:hAnsi="宋体" w:eastAsia="宋体" w:cs="宋体"/>
                <w:szCs w:val="21"/>
                <w:highlight w:val="none"/>
              </w:rPr>
              <w:t>2、供应商应具备履行合同所必须的设备和专业技术能力。</w:t>
            </w:r>
          </w:p>
          <w:p w14:paraId="260F9CDC">
            <w:pPr>
              <w:spacing w:line="420" w:lineRule="exact"/>
              <w:rPr>
                <w:rFonts w:hint="eastAsia" w:ascii="宋体" w:hAnsi="宋体" w:eastAsia="宋体" w:cs="宋体"/>
                <w:szCs w:val="21"/>
                <w:highlight w:val="none"/>
              </w:rPr>
            </w:pPr>
            <w:r>
              <w:rPr>
                <w:rFonts w:hint="eastAsia" w:ascii="宋体" w:hAnsi="宋体" w:eastAsia="宋体" w:cs="宋体"/>
                <w:szCs w:val="21"/>
                <w:highlight w:val="none"/>
              </w:rPr>
              <w:t>3、服务过程中，如发现服务成果与需求不符的，经采购人三次提醒后成交供应商未能改正的，采购人有权解除采购合同，对采购人造成损失的成交供应商赔偿全部损失。</w:t>
            </w:r>
          </w:p>
        </w:tc>
      </w:tr>
    </w:tbl>
    <w:p w14:paraId="3BB0B742">
      <w:pPr>
        <w:pStyle w:val="6"/>
        <w:spacing w:line="500" w:lineRule="exact"/>
        <w:jc w:val="left"/>
        <w:rPr>
          <w:rFonts w:hint="eastAsia" w:asciiTheme="minorEastAsia" w:hAnsiTheme="minorEastAsia" w:eastAsiaTheme="minorEastAsia" w:cstheme="minorEastAsia"/>
          <w:color w:val="auto"/>
          <w:sz w:val="21"/>
          <w:szCs w:val="21"/>
        </w:rPr>
      </w:pPr>
    </w:p>
    <w:p w14:paraId="31857004">
      <w:pPr>
        <w:pStyle w:val="3"/>
        <w:numPr>
          <w:ilvl w:val="3"/>
          <w:numId w:val="0"/>
        </w:numPr>
        <w:ind w:left="1077" w:leftChars="0"/>
        <w:rPr>
          <w:rFonts w:hint="eastAsia"/>
        </w:rPr>
      </w:pPr>
    </w:p>
    <w:p w14:paraId="209C3DE3">
      <w:pPr>
        <w:rPr>
          <w:rFonts w:hint="eastAsia" w:ascii="仿宋" w:hAnsi="仿宋" w:eastAsia="仿宋"/>
          <w:color w:val="auto"/>
          <w:sz w:val="30"/>
          <w:szCs w:val="30"/>
        </w:rPr>
      </w:pPr>
    </w:p>
    <w:p w14:paraId="5FC3EC2C">
      <w:pPr>
        <w:pStyle w:val="12"/>
        <w:rPr>
          <w:rFonts w:hint="eastAsia" w:ascii="仿宋" w:hAnsi="仿宋" w:eastAsia="仿宋"/>
          <w:color w:val="auto"/>
          <w:sz w:val="30"/>
          <w:szCs w:val="30"/>
        </w:rPr>
      </w:pPr>
    </w:p>
    <w:p w14:paraId="3A36C108">
      <w:pPr>
        <w:pStyle w:val="12"/>
        <w:rPr>
          <w:rFonts w:hint="eastAsia" w:ascii="仿宋" w:hAnsi="仿宋" w:eastAsia="仿宋"/>
          <w:color w:val="auto"/>
          <w:sz w:val="30"/>
          <w:szCs w:val="30"/>
        </w:rPr>
      </w:pPr>
    </w:p>
    <w:p w14:paraId="731100E7">
      <w:pPr>
        <w:pStyle w:val="12"/>
        <w:rPr>
          <w:rFonts w:hint="eastAsia" w:ascii="仿宋" w:hAnsi="仿宋" w:eastAsia="仿宋"/>
          <w:color w:val="auto"/>
          <w:sz w:val="30"/>
          <w:szCs w:val="30"/>
        </w:rPr>
      </w:pPr>
    </w:p>
    <w:p w14:paraId="1983EA58">
      <w:pPr>
        <w:pStyle w:val="3"/>
        <w:numPr>
          <w:ilvl w:val="3"/>
          <w:numId w:val="0"/>
        </w:numPr>
        <w:rPr>
          <w:rFonts w:hint="eastAsia"/>
        </w:rPr>
      </w:pPr>
    </w:p>
    <w:p w14:paraId="3A8E7A10">
      <w:pPr>
        <w:rPr>
          <w:rFonts w:hint="eastAsia"/>
        </w:rPr>
      </w:pPr>
    </w:p>
    <w:p w14:paraId="3F5E8724">
      <w:pPr>
        <w:pStyle w:val="2"/>
        <w:rPr>
          <w:rFonts w:hint="eastAsia"/>
        </w:rPr>
      </w:pPr>
    </w:p>
    <w:p w14:paraId="4B4AB187">
      <w:pPr>
        <w:rPr>
          <w:rFonts w:hint="eastAsia"/>
        </w:rPr>
      </w:pPr>
    </w:p>
    <w:p w14:paraId="32FCF847">
      <w:pPr>
        <w:pStyle w:val="12"/>
        <w:rPr>
          <w:rFonts w:hint="eastAsia"/>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南宁中心血站2025年污水处理设施维保服务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2"/>
        <w:spacing w:line="360" w:lineRule="auto"/>
        <w:ind w:firstLineChars="200"/>
        <w:rPr>
          <w:color w:val="auto"/>
        </w:rPr>
      </w:pPr>
      <w:r>
        <w:rPr>
          <w:rFonts w:hint="eastAsia"/>
          <w:color w:val="auto"/>
        </w:rPr>
        <w:t>我方对委托代理人的签字事项负全部责任。</w:t>
      </w:r>
    </w:p>
    <w:p w14:paraId="4156E484">
      <w:pPr>
        <w:pStyle w:val="1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2"/>
        <w:spacing w:line="360" w:lineRule="auto"/>
        <w:ind w:firstLineChars="200"/>
        <w:rPr>
          <w:color w:val="auto"/>
        </w:rPr>
      </w:pPr>
      <w:r>
        <w:rPr>
          <w:rFonts w:hint="eastAsia"/>
          <w:color w:val="auto"/>
        </w:rPr>
        <w:t>委托代理人无转委托权，特此委托。</w:t>
      </w:r>
    </w:p>
    <w:p w14:paraId="4AAACB6B">
      <w:pPr>
        <w:pStyle w:val="1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2"/>
        <w:spacing w:line="360" w:lineRule="auto"/>
        <w:ind w:firstLineChars="200"/>
        <w:rPr>
          <w:color w:val="auto"/>
        </w:rPr>
      </w:pPr>
    </w:p>
    <w:p w14:paraId="06C42395">
      <w:pPr>
        <w:pStyle w:val="12"/>
        <w:ind w:firstLineChars="200"/>
        <w:rPr>
          <w:color w:val="auto"/>
        </w:rPr>
      </w:pPr>
    </w:p>
    <w:p w14:paraId="310B8657">
      <w:pPr>
        <w:pStyle w:val="1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2"/>
        <w:ind w:firstLineChars="200"/>
        <w:rPr>
          <w:rFonts w:hint="default" w:eastAsiaTheme="minorEastAsia"/>
          <w:color w:val="auto"/>
          <w:lang w:val="en-US" w:eastAsia="zh-CN"/>
        </w:rPr>
      </w:pPr>
    </w:p>
    <w:p w14:paraId="26ABD9C4">
      <w:pPr>
        <w:pStyle w:val="12"/>
        <w:ind w:firstLineChars="200"/>
        <w:rPr>
          <w:color w:val="auto"/>
        </w:rPr>
      </w:pPr>
    </w:p>
    <w:p w14:paraId="1A155D87">
      <w:pPr>
        <w:pStyle w:val="1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2"/>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F36B736">
      <w:pPr>
        <w:pStyle w:val="3"/>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6"/>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6"/>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6"/>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3B53E540">
            <w:pPr>
              <w:jc w:val="center"/>
              <w:rPr>
                <w:rFonts w:ascii="宋体" w:hAnsi="宋体" w:eastAsia="宋体" w:cs="宋体"/>
                <w:kern w:val="0"/>
                <w:sz w:val="20"/>
                <w:szCs w:val="21"/>
              </w:rPr>
            </w:pPr>
            <w:r>
              <w:rPr>
                <w:rFonts w:hint="eastAsia" w:ascii="宋体" w:hAnsi="宋体" w:eastAsia="宋体" w:cs="宋体"/>
                <w:kern w:val="0"/>
                <w:sz w:val="20"/>
                <w:szCs w:val="21"/>
              </w:rPr>
              <w:t>南宁中心血站2025年污水处理设施维保服务</w:t>
            </w:r>
          </w:p>
        </w:tc>
        <w:tc>
          <w:tcPr>
            <w:tcW w:w="2150" w:type="dxa"/>
            <w:noWrap w:val="0"/>
            <w:vAlign w:val="center"/>
          </w:tcPr>
          <w:p w14:paraId="545DEFD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6"/>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6"/>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6"/>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6"/>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p>
        </w:tc>
      </w:tr>
    </w:tbl>
    <w:p w14:paraId="031CEA9A">
      <w:pPr>
        <w:pStyle w:val="6"/>
        <w:spacing w:line="560" w:lineRule="exact"/>
        <w:rPr>
          <w:rFonts w:hint="eastAsia" w:asciiTheme="minorEastAsia" w:hAnsiTheme="minorEastAsia" w:cstheme="minorEastAsia"/>
          <w:color w:val="auto"/>
          <w:szCs w:val="21"/>
        </w:rPr>
      </w:pPr>
    </w:p>
    <w:p w14:paraId="757F4053">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4C070FAE">
      <w:pPr>
        <w:pStyle w:val="6"/>
        <w:spacing w:line="560" w:lineRule="exact"/>
        <w:rPr>
          <w:rFonts w:asciiTheme="minorEastAsia" w:hAnsiTheme="minorEastAsia" w:cstheme="minorEastAsia"/>
          <w:color w:val="auto"/>
          <w:szCs w:val="21"/>
          <w:u w:val="single"/>
        </w:rPr>
      </w:pP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26E84496">
      <w:pPr>
        <w:ind w:firstLine="600" w:firstLineChars="200"/>
        <w:rPr>
          <w:rFonts w:hint="eastAsia" w:ascii="仿宋" w:hAnsi="仿宋" w:eastAsia="仿宋"/>
          <w:color w:val="auto"/>
          <w:sz w:val="30"/>
          <w:szCs w:val="30"/>
          <w:lang w:val="en-US" w:eastAsia="zh-CN"/>
        </w:rPr>
      </w:pPr>
    </w:p>
    <w:p w14:paraId="739716C6">
      <w:pPr>
        <w:ind w:firstLine="600" w:firstLineChars="200"/>
        <w:rPr>
          <w:rFonts w:hint="eastAsia" w:ascii="仿宋" w:hAnsi="仿宋" w:eastAsia="仿宋"/>
          <w:color w:val="auto"/>
          <w:sz w:val="30"/>
          <w:szCs w:val="30"/>
          <w:lang w:val="en-US" w:eastAsia="zh-CN"/>
        </w:rPr>
      </w:pPr>
    </w:p>
    <w:p w14:paraId="31BA5B95">
      <w:pPr>
        <w:ind w:firstLine="600" w:firstLineChars="200"/>
        <w:rPr>
          <w:rFonts w:hint="eastAsia" w:ascii="仿宋" w:hAnsi="仿宋" w:eastAsia="仿宋"/>
          <w:color w:val="auto"/>
          <w:sz w:val="30"/>
          <w:szCs w:val="30"/>
          <w:lang w:val="en-US" w:eastAsia="zh-CN"/>
        </w:rPr>
      </w:pPr>
    </w:p>
    <w:p w14:paraId="72074B66">
      <w:pPr>
        <w:rPr>
          <w:rFonts w:hint="eastAsia" w:ascii="仿宋" w:hAnsi="仿宋" w:eastAsia="仿宋"/>
          <w:color w:val="auto"/>
          <w:sz w:val="30"/>
          <w:szCs w:val="30"/>
          <w:lang w:val="en-US" w:eastAsia="zh-CN"/>
        </w:rPr>
      </w:pPr>
    </w:p>
    <w:p w14:paraId="504E1A2F">
      <w:pPr>
        <w:rPr>
          <w:rFonts w:hint="eastAsia" w:ascii="仿宋" w:hAnsi="仿宋" w:eastAsia="仿宋"/>
          <w:color w:val="auto"/>
          <w:sz w:val="30"/>
          <w:szCs w:val="30"/>
        </w:rPr>
      </w:pPr>
    </w:p>
    <w:p w14:paraId="57D18DE7">
      <w:pPr>
        <w:rPr>
          <w:rFonts w:hint="eastAsia" w:ascii="仿宋" w:hAnsi="仿宋" w:eastAsia="仿宋"/>
          <w:color w:val="auto"/>
          <w:sz w:val="30"/>
          <w:szCs w:val="30"/>
        </w:rPr>
      </w:pPr>
    </w:p>
    <w:p w14:paraId="1F5506BB">
      <w:pPr>
        <w:rPr>
          <w:rFonts w:hint="eastAsia" w:ascii="仿宋" w:hAnsi="仿宋" w:eastAsia="仿宋"/>
          <w:color w:val="auto"/>
          <w:sz w:val="30"/>
          <w:szCs w:val="30"/>
        </w:rPr>
      </w:pPr>
    </w:p>
    <w:p w14:paraId="2307793D">
      <w:pPr>
        <w:pStyle w:val="2"/>
        <w:rPr>
          <w:rFonts w:hint="eastAsia"/>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500EE994">
      <w:pPr>
        <w:pStyle w:val="6"/>
        <w:spacing w:line="440" w:lineRule="exact"/>
        <w:ind w:firstLine="422" w:firstLineChars="200"/>
      </w:pPr>
      <w:r>
        <w:rPr>
          <w:rFonts w:hint="eastAsia" w:asciiTheme="minorEastAsia" w:hAnsiTheme="minorEastAsia"/>
          <w:b/>
          <w:bCs/>
          <w:color w:val="auto"/>
          <w:szCs w:val="21"/>
        </w:rPr>
        <w:t>本采购需求一览表中标注★号的内容为实质性要求和条件，供应商必须满足，不满足或负偏离视为无效响应。</w:t>
      </w:r>
    </w:p>
    <w:tbl>
      <w:tblPr>
        <w:tblStyle w:val="14"/>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1082"/>
        <w:gridCol w:w="2895"/>
        <w:gridCol w:w="1141"/>
        <w:gridCol w:w="2576"/>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3977" w:type="dxa"/>
            <w:gridSpan w:val="2"/>
            <w:vAlign w:val="center"/>
          </w:tcPr>
          <w:p w14:paraId="0DE12347">
            <w:pPr>
              <w:jc w:val="center"/>
              <w:rPr>
                <w:rFonts w:ascii="宋体"/>
                <w:color w:val="auto"/>
                <w:szCs w:val="21"/>
              </w:rPr>
            </w:pPr>
            <w:r>
              <w:rPr>
                <w:rFonts w:hint="eastAsia" w:ascii="宋体" w:hAnsi="宋体"/>
                <w:color w:val="auto"/>
                <w:szCs w:val="21"/>
              </w:rPr>
              <w:t>采购文件需求</w:t>
            </w:r>
          </w:p>
        </w:tc>
        <w:tc>
          <w:tcPr>
            <w:tcW w:w="3717" w:type="dxa"/>
            <w:gridSpan w:val="2"/>
            <w:vAlign w:val="center"/>
          </w:tcPr>
          <w:p w14:paraId="643763B8">
            <w:pPr>
              <w:jc w:val="center"/>
              <w:rPr>
                <w:rFonts w:ascii="宋体"/>
                <w:color w:val="auto"/>
                <w:szCs w:val="21"/>
              </w:rPr>
            </w:pPr>
            <w:r>
              <w:rPr>
                <w:rFonts w:hint="eastAsia" w:ascii="宋体" w:hAnsi="宋体"/>
                <w:color w:val="auto"/>
                <w:szCs w:val="21"/>
              </w:rPr>
              <w:t>响应文件承诺</w:t>
            </w:r>
          </w:p>
        </w:tc>
        <w:tc>
          <w:tcPr>
            <w:tcW w:w="876" w:type="dxa"/>
            <w:vMerge w:val="restart"/>
            <w:vAlign w:val="center"/>
          </w:tcPr>
          <w:p w14:paraId="706E51DD">
            <w:pPr>
              <w:jc w:val="center"/>
              <w:rPr>
                <w:rFonts w:ascii="宋体"/>
                <w:color w:val="auto"/>
                <w:szCs w:val="21"/>
              </w:rPr>
            </w:pPr>
            <w:r>
              <w:rPr>
                <w:rFonts w:hint="eastAsia" w:ascii="宋体" w:hAnsi="宋体"/>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1082" w:type="dxa"/>
            <w:vAlign w:val="center"/>
          </w:tcPr>
          <w:p w14:paraId="3B7AC663">
            <w:pPr>
              <w:jc w:val="center"/>
              <w:rPr>
                <w:rFonts w:ascii="宋体"/>
                <w:color w:val="auto"/>
                <w:szCs w:val="21"/>
              </w:rPr>
            </w:pPr>
            <w:r>
              <w:rPr>
                <w:rFonts w:hint="eastAsia" w:ascii="宋体" w:hAnsi="宋体"/>
                <w:color w:val="auto"/>
                <w:szCs w:val="21"/>
                <w:lang w:val="en-US" w:eastAsia="zh-CN"/>
              </w:rPr>
              <w:t>项目</w:t>
            </w:r>
            <w:r>
              <w:rPr>
                <w:rFonts w:hint="eastAsia" w:ascii="宋体" w:hAnsi="宋体"/>
                <w:color w:val="auto"/>
                <w:szCs w:val="21"/>
              </w:rPr>
              <w:t>名称</w:t>
            </w:r>
          </w:p>
        </w:tc>
        <w:tc>
          <w:tcPr>
            <w:tcW w:w="2895" w:type="dxa"/>
            <w:vAlign w:val="center"/>
          </w:tcPr>
          <w:p w14:paraId="34BC4A96">
            <w:pPr>
              <w:jc w:val="center"/>
              <w:rPr>
                <w:rFonts w:ascii="宋体"/>
                <w:color w:val="auto"/>
                <w:szCs w:val="21"/>
              </w:rPr>
            </w:pPr>
            <w:r>
              <w:rPr>
                <w:rFonts w:hint="eastAsia" w:ascii="宋体"/>
                <w:color w:val="auto"/>
                <w:szCs w:val="21"/>
              </w:rPr>
              <w:t>技术参数</w:t>
            </w:r>
          </w:p>
        </w:tc>
        <w:tc>
          <w:tcPr>
            <w:tcW w:w="1141" w:type="dxa"/>
            <w:vAlign w:val="center"/>
          </w:tcPr>
          <w:p w14:paraId="50260F94">
            <w:pPr>
              <w:jc w:val="center"/>
              <w:rPr>
                <w:rFonts w:ascii="宋体"/>
                <w:color w:val="auto"/>
                <w:szCs w:val="21"/>
              </w:rPr>
            </w:pPr>
            <w:r>
              <w:rPr>
                <w:rFonts w:hint="eastAsia" w:ascii="宋体" w:hAnsi="宋体"/>
                <w:color w:val="auto"/>
                <w:szCs w:val="21"/>
                <w:lang w:val="en-US" w:eastAsia="zh-CN"/>
              </w:rPr>
              <w:t>项目</w:t>
            </w:r>
            <w:r>
              <w:rPr>
                <w:rFonts w:hint="eastAsia" w:ascii="宋体" w:hAnsi="宋体"/>
                <w:color w:val="auto"/>
                <w:szCs w:val="21"/>
              </w:rPr>
              <w:t>名称</w:t>
            </w:r>
          </w:p>
        </w:tc>
        <w:tc>
          <w:tcPr>
            <w:tcW w:w="2576" w:type="dxa"/>
            <w:vAlign w:val="center"/>
          </w:tcPr>
          <w:p w14:paraId="31A59E2D">
            <w:pPr>
              <w:jc w:val="center"/>
              <w:rPr>
                <w:rFonts w:ascii="宋体"/>
                <w:color w:val="auto"/>
                <w:szCs w:val="21"/>
              </w:rPr>
            </w:pPr>
            <w:r>
              <w:rPr>
                <w:rFonts w:hint="eastAsia" w:ascii="宋体" w:hAnsi="宋体"/>
                <w:color w:val="auto"/>
                <w:szCs w:val="21"/>
              </w:rPr>
              <w:t>响应技术参数</w:t>
            </w:r>
          </w:p>
        </w:tc>
        <w:tc>
          <w:tcPr>
            <w:tcW w:w="876" w:type="dxa"/>
            <w:vMerge w:val="continue"/>
            <w:vAlign w:val="center"/>
          </w:tcPr>
          <w:p w14:paraId="1A0BC623">
            <w:pPr>
              <w:jc w:val="center"/>
              <w:rPr>
                <w:rFonts w:ascii="宋体"/>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Align w:val="center"/>
          </w:tcPr>
          <w:p w14:paraId="009041CD">
            <w:pPr>
              <w:pStyle w:val="6"/>
              <w:jc w:val="center"/>
              <w:rPr>
                <w:rFonts w:ascii="仿宋" w:hAnsi="仿宋" w:eastAsia="仿宋"/>
                <w:color w:val="auto"/>
                <w:spacing w:val="-20"/>
                <w:sz w:val="20"/>
              </w:rPr>
            </w:pPr>
            <w:r>
              <w:rPr>
                <w:rFonts w:ascii="仿宋" w:hAnsi="仿宋" w:eastAsia="仿宋"/>
                <w:color w:val="auto"/>
                <w:spacing w:val="-20"/>
                <w:sz w:val="20"/>
              </w:rPr>
              <w:t>1</w:t>
            </w:r>
          </w:p>
        </w:tc>
        <w:tc>
          <w:tcPr>
            <w:tcW w:w="1082" w:type="dxa"/>
            <w:vAlign w:val="center"/>
          </w:tcPr>
          <w:p w14:paraId="5EF1D8C3">
            <w:pPr>
              <w:rPr>
                <w:rFonts w:ascii="仿宋" w:hAnsi="仿宋" w:eastAsia="仿宋" w:cs="宋体"/>
                <w:color w:val="auto"/>
                <w:szCs w:val="21"/>
              </w:rPr>
            </w:pPr>
            <w:r>
              <w:rPr>
                <w:rFonts w:hint="eastAsia" w:ascii="仿宋" w:hAnsi="仿宋" w:eastAsia="仿宋" w:cs="宋体"/>
                <w:color w:val="auto"/>
                <w:szCs w:val="21"/>
              </w:rPr>
              <w:t>南宁中心血站2025年污水处理设施维保服务</w:t>
            </w:r>
          </w:p>
        </w:tc>
        <w:tc>
          <w:tcPr>
            <w:tcW w:w="2895" w:type="dxa"/>
            <w:vAlign w:val="center"/>
          </w:tcPr>
          <w:p w14:paraId="7809FA43">
            <w:pPr>
              <w:pStyle w:val="1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1. 保障南宁中心血站污水处理系统正常运行。</w:t>
            </w:r>
          </w:p>
          <w:p w14:paraId="5A2BF7C8">
            <w:pPr>
              <w:pStyle w:val="1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2. 服务期限：一年。</w:t>
            </w:r>
          </w:p>
          <w:p w14:paraId="5EF7D18C">
            <w:pPr>
              <w:pStyle w:val="1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3.服务范围：南宁中心血站。</w:t>
            </w:r>
          </w:p>
          <w:p w14:paraId="7C48447B">
            <w:pPr>
              <w:pStyle w:val="1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4.服务价格：包干价。</w:t>
            </w:r>
          </w:p>
          <w:p w14:paraId="7BB6DEB0">
            <w:pPr>
              <w:pStyle w:val="1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5.服务要求：</w:t>
            </w:r>
          </w:p>
          <w:p w14:paraId="5221B9F1">
            <w:pPr>
              <w:pStyle w:val="1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5.1污水排放符合国家医疗机构污水排放标准；</w:t>
            </w:r>
          </w:p>
          <w:p w14:paraId="65C943D0">
            <w:pPr>
              <w:pStyle w:val="1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5.2负责污水处理站的所有设备（包括潜水泵、计量泵、其它电器元件等更换）管道的维修、保养、零部件更换；</w:t>
            </w:r>
          </w:p>
          <w:p w14:paraId="2573AD5A">
            <w:pPr>
              <w:pStyle w:val="1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5.3提供日常运行所需的原料盐，以及测试余氯所需试剂</w:t>
            </w:r>
          </w:p>
          <w:p w14:paraId="67550647">
            <w:pPr>
              <w:pStyle w:val="1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5.4负责每月电解槽进行酸洗一次；格栅池每年进行清理一次；</w:t>
            </w:r>
          </w:p>
          <w:p w14:paraId="652E6CBA">
            <w:pPr>
              <w:pStyle w:val="1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5.5提供每年1-2次的污水处理设备操作培训；</w:t>
            </w:r>
          </w:p>
          <w:p w14:paraId="70F8965C">
            <w:pPr>
              <w:pStyle w:val="1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5.6采购人设备出现故障的报修通知，供应商1-4小时候内到达现场维修，尽快恢复系统正常运行；</w:t>
            </w:r>
          </w:p>
          <w:p w14:paraId="01367532">
            <w:pPr>
              <w:pStyle w:val="1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5.7供应商上门维修没有次数限制，不另外收取任何费用；</w:t>
            </w:r>
          </w:p>
          <w:p w14:paraId="6B1D29FB">
            <w:pPr>
              <w:pStyle w:val="12"/>
              <w:ind w:left="0" w:leftChars="0" w:firstLine="0" w:firstLineChars="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5.8如果采购人设备短时间无法修复投入使用，供应商应提供取代措施，确保所排放污水达标。</w:t>
            </w:r>
          </w:p>
        </w:tc>
        <w:tc>
          <w:tcPr>
            <w:tcW w:w="1141" w:type="dxa"/>
            <w:vAlign w:val="center"/>
          </w:tcPr>
          <w:p w14:paraId="2EDEDA46">
            <w:pPr>
              <w:rPr>
                <w:rFonts w:ascii="仿宋" w:hAnsi="仿宋" w:eastAsia="仿宋" w:cs="宋体"/>
                <w:color w:val="auto"/>
                <w:szCs w:val="21"/>
              </w:rPr>
            </w:pPr>
            <w:r>
              <w:rPr>
                <w:rFonts w:hint="eastAsia" w:ascii="仿宋" w:hAnsi="仿宋" w:eastAsia="仿宋" w:cs="宋体"/>
                <w:color w:val="auto"/>
                <w:szCs w:val="21"/>
              </w:rPr>
              <w:t>南宁中心血站2025年污水处理设施维保服务</w:t>
            </w:r>
          </w:p>
        </w:tc>
        <w:tc>
          <w:tcPr>
            <w:tcW w:w="2576" w:type="dxa"/>
            <w:vAlign w:val="center"/>
          </w:tcPr>
          <w:p w14:paraId="3BF8F671">
            <w:pPr>
              <w:rPr>
                <w:rFonts w:hAnsi="宋体"/>
                <w:color w:val="auto"/>
                <w:sz w:val="16"/>
                <w:szCs w:val="16"/>
              </w:rPr>
            </w:pPr>
            <w:r>
              <w:rPr>
                <w:rFonts w:hint="eastAsia" w:asciiTheme="minorEastAsia" w:hAnsiTheme="minorEastAsia" w:cstheme="minorEastAsia"/>
                <w:color w:val="FF0000"/>
                <w:szCs w:val="21"/>
              </w:rPr>
              <w:t>请填入贵单位响应的内容。</w:t>
            </w:r>
          </w:p>
        </w:tc>
        <w:tc>
          <w:tcPr>
            <w:tcW w:w="876" w:type="dxa"/>
            <w:vAlign w:val="center"/>
          </w:tcPr>
          <w:p w14:paraId="6E15C104">
            <w:pPr>
              <w:rPr>
                <w:rFonts w:ascii="宋体" w:hAnsi="宋体"/>
                <w:color w:val="auto"/>
                <w:sz w:val="16"/>
                <w:szCs w:val="16"/>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57E62672">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3"/>
        <w:numPr>
          <w:ilvl w:val="3"/>
          <w:numId w:val="0"/>
        </w:numPr>
        <w:ind w:left="1077"/>
        <w:rPr>
          <w:color w:val="auto"/>
          <w:sz w:val="18"/>
          <w:szCs w:val="18"/>
        </w:rPr>
      </w:pPr>
    </w:p>
    <w:p w14:paraId="63CC2721">
      <w:pPr>
        <w:pStyle w:val="6"/>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3C86953E">
      <w:pPr>
        <w:rPr>
          <w:rFonts w:hint="eastAsia" w:ascii="仿宋" w:hAnsi="仿宋" w:eastAsia="仿宋"/>
          <w:color w:val="auto"/>
          <w:sz w:val="30"/>
          <w:szCs w:val="30"/>
        </w:rPr>
      </w:pPr>
    </w:p>
    <w:p w14:paraId="0E93062A">
      <w:pPr>
        <w:rPr>
          <w:rFonts w:hint="eastAsia" w:ascii="仿宋" w:hAnsi="仿宋" w:eastAsia="仿宋"/>
          <w:color w:val="auto"/>
          <w:sz w:val="30"/>
          <w:szCs w:val="30"/>
        </w:rPr>
      </w:pPr>
    </w:p>
    <w:p w14:paraId="2E790097">
      <w:pPr>
        <w:pStyle w:val="12"/>
        <w:rPr>
          <w:rFonts w:hint="eastAsia" w:ascii="仿宋" w:hAnsi="仿宋" w:eastAsia="仿宋"/>
          <w:color w:val="auto"/>
          <w:sz w:val="30"/>
          <w:szCs w:val="30"/>
        </w:rPr>
      </w:pPr>
    </w:p>
    <w:p w14:paraId="398A9B96">
      <w:pPr>
        <w:pStyle w:val="12"/>
        <w:rPr>
          <w:rFonts w:hint="eastAsia" w:ascii="仿宋" w:hAnsi="仿宋" w:eastAsia="仿宋"/>
          <w:color w:val="auto"/>
          <w:sz w:val="30"/>
          <w:szCs w:val="30"/>
        </w:rPr>
      </w:pPr>
    </w:p>
    <w:p w14:paraId="7744DFD0">
      <w:pPr>
        <w:pStyle w:val="12"/>
        <w:rPr>
          <w:rFonts w:hint="eastAsia" w:ascii="仿宋" w:hAnsi="仿宋" w:eastAsia="仿宋"/>
          <w:color w:val="auto"/>
          <w:sz w:val="30"/>
          <w:szCs w:val="30"/>
        </w:rPr>
      </w:pPr>
    </w:p>
    <w:p w14:paraId="52B9644E">
      <w:pPr>
        <w:pStyle w:val="12"/>
        <w:rPr>
          <w:rFonts w:hint="eastAsia" w:ascii="仿宋" w:hAnsi="仿宋" w:eastAsia="仿宋"/>
          <w:color w:val="auto"/>
          <w:sz w:val="30"/>
          <w:szCs w:val="30"/>
        </w:rPr>
      </w:pPr>
    </w:p>
    <w:p w14:paraId="58524F01">
      <w:pPr>
        <w:pStyle w:val="12"/>
        <w:rPr>
          <w:rFonts w:hint="eastAsia" w:ascii="仿宋" w:hAnsi="仿宋" w:eastAsia="仿宋"/>
          <w:color w:val="auto"/>
          <w:sz w:val="30"/>
          <w:szCs w:val="30"/>
        </w:rPr>
      </w:pPr>
    </w:p>
    <w:p w14:paraId="71942E33">
      <w:pPr>
        <w:pStyle w:val="12"/>
        <w:rPr>
          <w:rFonts w:hint="eastAsia" w:ascii="仿宋" w:hAnsi="仿宋" w:eastAsia="仿宋"/>
          <w:color w:val="auto"/>
          <w:sz w:val="30"/>
          <w:szCs w:val="30"/>
        </w:rPr>
      </w:pPr>
    </w:p>
    <w:p w14:paraId="075B9681">
      <w:pPr>
        <w:pStyle w:val="12"/>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4605C699">
      <w:pPr>
        <w:spacing w:line="400" w:lineRule="exact"/>
        <w:jc w:val="center"/>
        <w:rPr>
          <w:rFonts w:hint="eastAsia" w:ascii="宋体" w:hAnsi="宋体"/>
          <w:b/>
          <w:color w:val="auto"/>
          <w:sz w:val="36"/>
          <w:szCs w:val="36"/>
        </w:rPr>
      </w:pPr>
    </w:p>
    <w:p w14:paraId="003F1E03">
      <w:pPr>
        <w:pStyle w:val="6"/>
        <w:ind w:firstLine="420" w:firstLineChars="200"/>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794"/>
        <w:gridCol w:w="2925"/>
        <w:gridCol w:w="1571"/>
      </w:tblGrid>
      <w:tr w14:paraId="298A8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75" w:hRule="atLeast"/>
          <w:jc w:val="center"/>
        </w:trPr>
        <w:tc>
          <w:tcPr>
            <w:tcW w:w="640" w:type="dxa"/>
            <w:vAlign w:val="center"/>
          </w:tcPr>
          <w:p w14:paraId="1C2FB91F">
            <w:pPr>
              <w:adjustRightInd w:val="0"/>
              <w:snapToGrid w:val="0"/>
              <w:spacing w:line="400" w:lineRule="exact"/>
              <w:jc w:val="center"/>
              <w:outlineLvl w:val="0"/>
              <w:rPr>
                <w:rFonts w:ascii="宋体" w:hAnsi="宋体"/>
                <w:color w:val="auto"/>
                <w:szCs w:val="21"/>
              </w:rPr>
            </w:pPr>
            <w:bookmarkStart w:id="2" w:name="_Toc18211"/>
            <w:bookmarkStart w:id="3" w:name="_Toc529"/>
            <w:r>
              <w:rPr>
                <w:rFonts w:hint="eastAsia" w:ascii="宋体" w:hAnsi="宋体"/>
                <w:color w:val="auto"/>
                <w:szCs w:val="21"/>
              </w:rPr>
              <w:t>序号</w:t>
            </w:r>
            <w:bookmarkEnd w:id="2"/>
            <w:bookmarkEnd w:id="3"/>
          </w:p>
        </w:tc>
        <w:tc>
          <w:tcPr>
            <w:tcW w:w="3794" w:type="dxa"/>
            <w:vAlign w:val="center"/>
          </w:tcPr>
          <w:p w14:paraId="756067CB">
            <w:pPr>
              <w:adjustRightInd w:val="0"/>
              <w:snapToGrid w:val="0"/>
              <w:spacing w:line="400" w:lineRule="exact"/>
              <w:jc w:val="center"/>
              <w:outlineLvl w:val="0"/>
              <w:rPr>
                <w:rFonts w:ascii="宋体" w:hAnsi="宋体"/>
                <w:color w:val="auto"/>
                <w:szCs w:val="21"/>
              </w:rPr>
            </w:pPr>
            <w:bookmarkStart w:id="4" w:name="_Toc11223"/>
            <w:bookmarkStart w:id="5" w:name="_Toc113"/>
            <w:r>
              <w:rPr>
                <w:rFonts w:hint="eastAsia" w:ascii="宋体" w:hAnsi="宋体"/>
                <w:color w:val="auto"/>
                <w:szCs w:val="21"/>
              </w:rPr>
              <w:t>采购文件的商务</w:t>
            </w:r>
            <w:bookmarkEnd w:id="4"/>
            <w:bookmarkEnd w:id="5"/>
            <w:r>
              <w:rPr>
                <w:rFonts w:hint="eastAsia" w:ascii="宋体" w:hAnsi="宋体"/>
                <w:color w:val="auto"/>
                <w:szCs w:val="21"/>
              </w:rPr>
              <w:t>条款</w:t>
            </w:r>
          </w:p>
        </w:tc>
        <w:tc>
          <w:tcPr>
            <w:tcW w:w="2925" w:type="dxa"/>
            <w:vAlign w:val="center"/>
          </w:tcPr>
          <w:p w14:paraId="398FE821">
            <w:pPr>
              <w:adjustRightInd w:val="0"/>
              <w:snapToGrid w:val="0"/>
              <w:spacing w:line="400" w:lineRule="exact"/>
              <w:jc w:val="center"/>
              <w:outlineLvl w:val="0"/>
              <w:rPr>
                <w:rFonts w:ascii="宋体" w:hAnsi="宋体"/>
                <w:color w:val="auto"/>
                <w:szCs w:val="21"/>
              </w:rPr>
            </w:pPr>
            <w:bookmarkStart w:id="6" w:name="_Toc22733"/>
            <w:bookmarkStart w:id="7" w:name="_Toc3147"/>
            <w:r>
              <w:rPr>
                <w:rFonts w:hint="eastAsia" w:ascii="宋体" w:hAnsi="宋体"/>
                <w:color w:val="auto"/>
                <w:szCs w:val="21"/>
              </w:rPr>
              <w:t>响应文件具体响应</w:t>
            </w:r>
            <w:bookmarkEnd w:id="6"/>
            <w:bookmarkEnd w:id="7"/>
          </w:p>
        </w:tc>
        <w:tc>
          <w:tcPr>
            <w:tcW w:w="1571" w:type="dxa"/>
            <w:vAlign w:val="center"/>
          </w:tcPr>
          <w:p w14:paraId="56DC3AD1">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58CC7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33" w:hRule="atLeast"/>
          <w:jc w:val="center"/>
        </w:trPr>
        <w:tc>
          <w:tcPr>
            <w:tcW w:w="640" w:type="dxa"/>
            <w:vAlign w:val="center"/>
          </w:tcPr>
          <w:p w14:paraId="5D819F6A">
            <w:pPr>
              <w:adjustRightInd w:val="0"/>
              <w:snapToGrid w:val="0"/>
              <w:spacing w:line="400" w:lineRule="exact"/>
              <w:jc w:val="center"/>
              <w:outlineLvl w:val="0"/>
              <w:rPr>
                <w:rFonts w:ascii="宋体" w:hAnsi="宋体"/>
                <w:color w:val="auto"/>
                <w:szCs w:val="21"/>
              </w:rPr>
            </w:pPr>
            <w:bookmarkStart w:id="8" w:name="_Toc16246"/>
            <w:bookmarkStart w:id="9" w:name="_Toc20348"/>
            <w:r>
              <w:rPr>
                <w:rFonts w:hint="eastAsia" w:ascii="宋体" w:hAnsi="宋体"/>
                <w:color w:val="auto"/>
                <w:szCs w:val="21"/>
              </w:rPr>
              <w:t>1</w:t>
            </w:r>
            <w:bookmarkEnd w:id="8"/>
            <w:bookmarkEnd w:id="9"/>
          </w:p>
        </w:tc>
        <w:tc>
          <w:tcPr>
            <w:tcW w:w="3794" w:type="dxa"/>
            <w:vAlign w:val="center"/>
          </w:tcPr>
          <w:p w14:paraId="1B032DA8">
            <w:pPr>
              <w:spacing w:line="420" w:lineRule="exact"/>
              <w:rPr>
                <w:rFonts w:ascii="仿宋" w:hAnsi="仿宋" w:eastAsia="仿宋"/>
                <w:color w:val="auto"/>
                <w:sz w:val="20"/>
                <w:szCs w:val="20"/>
              </w:rPr>
            </w:pPr>
            <w:r>
              <w:rPr>
                <w:rFonts w:hint="eastAsia" w:ascii="仿宋" w:hAnsi="仿宋" w:eastAsia="仿宋"/>
                <w:color w:val="auto"/>
                <w:sz w:val="20"/>
                <w:szCs w:val="20"/>
              </w:rPr>
              <w:t>一、合同签订期:自成交结果公布之日起</w:t>
            </w:r>
            <w:r>
              <w:rPr>
                <w:rFonts w:hint="eastAsia" w:ascii="仿宋" w:hAnsi="仿宋" w:eastAsia="仿宋"/>
                <w:color w:val="auto"/>
                <w:sz w:val="20"/>
                <w:szCs w:val="20"/>
                <w:lang w:val="en-US" w:eastAsia="zh-CN"/>
              </w:rPr>
              <w:t>10</w:t>
            </w:r>
            <w:r>
              <w:rPr>
                <w:rFonts w:hint="eastAsia" w:ascii="仿宋" w:hAnsi="仿宋" w:eastAsia="仿宋"/>
                <w:color w:val="auto"/>
                <w:sz w:val="20"/>
                <w:szCs w:val="20"/>
              </w:rPr>
              <w:t>个工作日内。</w:t>
            </w:r>
          </w:p>
        </w:tc>
        <w:tc>
          <w:tcPr>
            <w:tcW w:w="2925" w:type="dxa"/>
            <w:vAlign w:val="center"/>
          </w:tcPr>
          <w:p w14:paraId="663264D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5B8BB3CB">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1504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58" w:hRule="atLeast"/>
          <w:jc w:val="center"/>
        </w:trPr>
        <w:tc>
          <w:tcPr>
            <w:tcW w:w="640" w:type="dxa"/>
            <w:vAlign w:val="center"/>
          </w:tcPr>
          <w:p w14:paraId="2D3127A6">
            <w:pPr>
              <w:adjustRightInd w:val="0"/>
              <w:snapToGrid w:val="0"/>
              <w:spacing w:line="400" w:lineRule="exact"/>
              <w:jc w:val="center"/>
              <w:outlineLvl w:val="0"/>
              <w:rPr>
                <w:rFonts w:ascii="宋体" w:hAnsi="宋体"/>
                <w:color w:val="auto"/>
                <w:szCs w:val="21"/>
              </w:rPr>
            </w:pPr>
            <w:bookmarkStart w:id="10" w:name="_Toc29108"/>
            <w:bookmarkStart w:id="11" w:name="_Toc14139"/>
            <w:r>
              <w:rPr>
                <w:rFonts w:hint="eastAsia" w:ascii="宋体" w:hAnsi="宋体"/>
                <w:color w:val="auto"/>
                <w:szCs w:val="21"/>
              </w:rPr>
              <w:t>2</w:t>
            </w:r>
            <w:bookmarkEnd w:id="10"/>
            <w:bookmarkEnd w:id="11"/>
          </w:p>
        </w:tc>
        <w:tc>
          <w:tcPr>
            <w:tcW w:w="3794" w:type="dxa"/>
            <w:vAlign w:val="center"/>
          </w:tcPr>
          <w:p w14:paraId="3863DB2C">
            <w:pPr>
              <w:spacing w:line="420" w:lineRule="exact"/>
              <w:rPr>
                <w:rFonts w:hint="eastAsia" w:ascii="仿宋" w:hAnsi="仿宋" w:eastAsia="仿宋" w:cs="宋体"/>
                <w:color w:val="auto"/>
                <w:sz w:val="20"/>
                <w:szCs w:val="20"/>
              </w:rPr>
            </w:pPr>
            <w:r>
              <w:rPr>
                <w:rFonts w:hint="eastAsia" w:ascii="仿宋" w:hAnsi="仿宋" w:eastAsia="仿宋" w:cs="宋体"/>
                <w:color w:val="auto"/>
                <w:sz w:val="20"/>
                <w:szCs w:val="20"/>
              </w:rPr>
              <w:t>二、服务期限</w:t>
            </w:r>
          </w:p>
          <w:p w14:paraId="609B2FF5">
            <w:pPr>
              <w:spacing w:line="420" w:lineRule="exact"/>
              <w:rPr>
                <w:rFonts w:hint="eastAsia" w:ascii="仿宋" w:hAnsi="仿宋" w:eastAsia="仿宋" w:cs="宋体"/>
                <w:color w:val="auto"/>
                <w:sz w:val="20"/>
                <w:szCs w:val="20"/>
              </w:rPr>
            </w:pPr>
            <w:r>
              <w:rPr>
                <w:rFonts w:hint="eastAsia" w:ascii="仿宋" w:hAnsi="仿宋" w:eastAsia="仿宋" w:cs="宋体"/>
                <w:color w:val="auto"/>
                <w:sz w:val="20"/>
                <w:szCs w:val="20"/>
                <w:lang w:val="en-US" w:eastAsia="zh-CN"/>
              </w:rPr>
              <w:t xml:space="preserve">1. </w:t>
            </w:r>
            <w:r>
              <w:rPr>
                <w:rFonts w:hint="eastAsia" w:ascii="仿宋" w:hAnsi="仿宋" w:eastAsia="仿宋" w:cs="宋体"/>
                <w:color w:val="auto"/>
                <w:sz w:val="20"/>
                <w:szCs w:val="20"/>
                <w:lang w:eastAsia="zh-CN"/>
              </w:rPr>
              <w:t>合同签订之日起一年</w:t>
            </w:r>
            <w:r>
              <w:rPr>
                <w:rFonts w:hint="eastAsia" w:ascii="仿宋" w:hAnsi="仿宋" w:eastAsia="仿宋" w:cs="宋体"/>
                <w:color w:val="auto"/>
                <w:sz w:val="20"/>
                <w:szCs w:val="20"/>
              </w:rPr>
              <w:t>。</w:t>
            </w:r>
          </w:p>
          <w:p w14:paraId="2A266253">
            <w:pPr>
              <w:spacing w:line="420" w:lineRule="exact"/>
              <w:rPr>
                <w:rFonts w:ascii="仿宋" w:hAnsi="仿宋" w:eastAsia="仿宋" w:cs="宋体"/>
                <w:color w:val="auto"/>
                <w:sz w:val="20"/>
                <w:szCs w:val="20"/>
              </w:rPr>
            </w:pPr>
            <w:r>
              <w:rPr>
                <w:rFonts w:hint="eastAsia" w:ascii="仿宋" w:hAnsi="仿宋" w:eastAsia="仿宋" w:cs="宋体"/>
                <w:color w:val="auto"/>
                <w:sz w:val="20"/>
                <w:szCs w:val="20"/>
                <w:lang w:val="en-US" w:eastAsia="zh-CN"/>
              </w:rPr>
              <w:t>2.</w:t>
            </w:r>
            <w:r>
              <w:rPr>
                <w:rFonts w:hint="eastAsia" w:ascii="仿宋" w:hAnsi="仿宋" w:eastAsia="仿宋" w:cs="宋体"/>
                <w:color w:val="auto"/>
                <w:sz w:val="20"/>
                <w:szCs w:val="20"/>
              </w:rPr>
              <w:t>合同延续年限、条件和方式：本项目合同履约期到期后，采购人依据本项目的服务履约评价情况及实际需求，在年度预算保障的前提下，</w:t>
            </w:r>
            <w:r>
              <w:rPr>
                <w:rFonts w:hint="eastAsia" w:ascii="仿宋" w:hAnsi="仿宋" w:eastAsia="仿宋" w:cs="宋体"/>
                <w:color w:val="auto"/>
                <w:sz w:val="20"/>
                <w:szCs w:val="20"/>
                <w:lang w:val="en-US" w:eastAsia="zh-CN"/>
              </w:rPr>
              <w:t>且采购</w:t>
            </w:r>
            <w:r>
              <w:rPr>
                <w:rFonts w:hint="eastAsia" w:ascii="仿宋" w:hAnsi="仿宋" w:eastAsia="仿宋" w:cs="宋体"/>
                <w:color w:val="auto"/>
                <w:sz w:val="20"/>
                <w:szCs w:val="20"/>
              </w:rPr>
              <w:t>内容（采购需求）相对固定、连续（延续）性强、经费来源稳定、价格变化幅度小的</w:t>
            </w:r>
            <w:r>
              <w:rPr>
                <w:rFonts w:hint="eastAsia" w:ascii="仿宋" w:hAnsi="仿宋" w:eastAsia="仿宋" w:cs="宋体"/>
                <w:color w:val="auto"/>
                <w:sz w:val="20"/>
                <w:szCs w:val="20"/>
                <w:lang w:val="en-US" w:eastAsia="zh-CN"/>
              </w:rPr>
              <w:t>情况下</w:t>
            </w:r>
            <w:r>
              <w:rPr>
                <w:rFonts w:hint="eastAsia" w:ascii="仿宋" w:hAnsi="仿宋" w:eastAsia="仿宋" w:cs="宋体"/>
                <w:color w:val="auto"/>
                <w:sz w:val="20"/>
                <w:szCs w:val="20"/>
              </w:rPr>
              <w:t>，可以通过一年一签</w:t>
            </w:r>
            <w:r>
              <w:rPr>
                <w:rFonts w:hint="eastAsia" w:ascii="仿宋" w:hAnsi="仿宋" w:eastAsia="仿宋" w:cs="宋体"/>
                <w:color w:val="auto"/>
                <w:sz w:val="20"/>
                <w:szCs w:val="20"/>
                <w:lang w:eastAsia="zh-CN"/>
              </w:rPr>
              <w:t>的</w:t>
            </w:r>
            <w:r>
              <w:rPr>
                <w:rFonts w:hint="eastAsia" w:ascii="仿宋" w:hAnsi="仿宋" w:eastAsia="仿宋" w:cs="宋体"/>
                <w:color w:val="auto"/>
                <w:sz w:val="20"/>
                <w:szCs w:val="20"/>
              </w:rPr>
              <w:t>方式</w:t>
            </w:r>
            <w:r>
              <w:rPr>
                <w:rFonts w:hint="eastAsia" w:ascii="仿宋" w:hAnsi="仿宋" w:eastAsia="仿宋" w:cs="宋体"/>
                <w:color w:val="auto"/>
                <w:sz w:val="20"/>
                <w:szCs w:val="20"/>
                <w:lang w:val="en-US" w:eastAsia="zh-CN"/>
              </w:rPr>
              <w:t>延续</w:t>
            </w:r>
            <w:r>
              <w:rPr>
                <w:rFonts w:hint="eastAsia" w:ascii="仿宋" w:hAnsi="仿宋" w:eastAsia="仿宋" w:cs="宋体"/>
                <w:color w:val="auto"/>
                <w:sz w:val="20"/>
                <w:szCs w:val="20"/>
              </w:rPr>
              <w:t>合同，</w:t>
            </w:r>
            <w:r>
              <w:rPr>
                <w:rFonts w:hint="eastAsia" w:ascii="仿宋" w:hAnsi="仿宋" w:eastAsia="仿宋" w:cs="宋体"/>
                <w:color w:val="auto"/>
                <w:sz w:val="20"/>
                <w:szCs w:val="20"/>
                <w:lang w:val="en-US" w:eastAsia="zh-CN"/>
              </w:rPr>
              <w:t>最终总</w:t>
            </w:r>
            <w:r>
              <w:rPr>
                <w:rFonts w:hint="eastAsia" w:ascii="仿宋" w:hAnsi="仿宋" w:eastAsia="仿宋" w:cs="宋体"/>
                <w:color w:val="auto"/>
                <w:sz w:val="20"/>
                <w:szCs w:val="20"/>
              </w:rPr>
              <w:t>期限不得超过三年。</w:t>
            </w:r>
          </w:p>
        </w:tc>
        <w:tc>
          <w:tcPr>
            <w:tcW w:w="2925" w:type="dxa"/>
            <w:vAlign w:val="center"/>
          </w:tcPr>
          <w:p w14:paraId="7984F21B">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2097CEB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FC792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85" w:hRule="atLeast"/>
          <w:jc w:val="center"/>
        </w:trPr>
        <w:tc>
          <w:tcPr>
            <w:tcW w:w="640" w:type="dxa"/>
            <w:vAlign w:val="center"/>
          </w:tcPr>
          <w:p w14:paraId="600B76D3">
            <w:pPr>
              <w:adjustRightInd w:val="0"/>
              <w:snapToGrid w:val="0"/>
              <w:spacing w:line="400" w:lineRule="exact"/>
              <w:jc w:val="center"/>
              <w:outlineLvl w:val="0"/>
              <w:rPr>
                <w:rFonts w:ascii="宋体" w:hAnsi="宋体"/>
                <w:color w:val="auto"/>
                <w:szCs w:val="21"/>
              </w:rPr>
            </w:pPr>
            <w:bookmarkStart w:id="12" w:name="_Toc5989"/>
            <w:bookmarkStart w:id="13" w:name="_Toc25531"/>
            <w:r>
              <w:rPr>
                <w:rFonts w:hint="eastAsia" w:ascii="宋体" w:hAnsi="宋体"/>
                <w:color w:val="auto"/>
                <w:szCs w:val="21"/>
              </w:rPr>
              <w:t>3</w:t>
            </w:r>
            <w:bookmarkEnd w:id="12"/>
            <w:bookmarkEnd w:id="13"/>
          </w:p>
        </w:tc>
        <w:tc>
          <w:tcPr>
            <w:tcW w:w="3794" w:type="dxa"/>
            <w:vAlign w:val="center"/>
          </w:tcPr>
          <w:p w14:paraId="57458143">
            <w:pPr>
              <w:spacing w:line="420" w:lineRule="exact"/>
              <w:rPr>
                <w:rFonts w:ascii="仿宋" w:hAnsi="仿宋" w:eastAsia="仿宋"/>
                <w:color w:val="auto"/>
                <w:sz w:val="20"/>
                <w:szCs w:val="20"/>
              </w:rPr>
            </w:pPr>
            <w:r>
              <w:rPr>
                <w:rFonts w:hint="eastAsia" w:ascii="仿宋" w:hAnsi="仿宋" w:eastAsia="仿宋"/>
                <w:color w:val="auto"/>
                <w:sz w:val="20"/>
                <w:szCs w:val="20"/>
              </w:rPr>
              <w:t>三、</w:t>
            </w:r>
            <w:r>
              <w:rPr>
                <w:rFonts w:hint="eastAsia" w:ascii="仿宋" w:hAnsi="仿宋" w:eastAsia="仿宋"/>
                <w:color w:val="auto"/>
                <w:sz w:val="20"/>
                <w:szCs w:val="20"/>
                <w:lang w:val="en-US" w:eastAsia="zh-CN"/>
              </w:rPr>
              <w:t>付款方式：</w:t>
            </w:r>
            <w:r>
              <w:rPr>
                <w:rFonts w:hint="eastAsia" w:ascii="仿宋" w:hAnsi="仿宋" w:eastAsia="仿宋"/>
                <w:color w:val="auto"/>
                <w:sz w:val="20"/>
                <w:szCs w:val="20"/>
              </w:rPr>
              <w:t>成交供应商按照采购服务需求履行维保服务的，</w:t>
            </w:r>
            <w:r>
              <w:rPr>
                <w:rFonts w:hint="eastAsia" w:ascii="仿宋" w:hAnsi="仿宋" w:eastAsia="仿宋"/>
                <w:color w:val="auto"/>
                <w:sz w:val="20"/>
                <w:szCs w:val="20"/>
                <w:lang w:eastAsia="zh-CN"/>
              </w:rPr>
              <w:t>经采购人验收合格的</w:t>
            </w:r>
            <w:r>
              <w:rPr>
                <w:rFonts w:hint="eastAsia" w:ascii="仿宋" w:hAnsi="仿宋" w:eastAsia="仿宋"/>
                <w:color w:val="auto"/>
                <w:sz w:val="20"/>
                <w:szCs w:val="20"/>
              </w:rPr>
              <w:t>采购人每半年支付相应合同款</w:t>
            </w:r>
            <w:r>
              <w:rPr>
                <w:rFonts w:hint="eastAsia" w:ascii="仿宋" w:hAnsi="仿宋" w:eastAsia="仿宋"/>
                <w:color w:val="auto"/>
                <w:sz w:val="20"/>
                <w:szCs w:val="20"/>
                <w:lang w:eastAsia="zh-CN"/>
              </w:rPr>
              <w:t>（</w:t>
            </w:r>
            <w:r>
              <w:rPr>
                <w:rFonts w:hint="eastAsia" w:ascii="仿宋" w:hAnsi="仿宋" w:eastAsia="仿宋"/>
                <w:color w:val="auto"/>
                <w:sz w:val="20"/>
                <w:szCs w:val="20"/>
                <w:lang w:val="en-US" w:eastAsia="zh-CN"/>
              </w:rPr>
              <w:t>即</w:t>
            </w:r>
            <w:r>
              <w:rPr>
                <w:rFonts w:hint="eastAsia" w:ascii="仿宋" w:hAnsi="仿宋" w:eastAsia="仿宋"/>
                <w:color w:val="auto"/>
                <w:sz w:val="20"/>
                <w:szCs w:val="20"/>
              </w:rPr>
              <w:t>6月30日、12月30日前支付服务费用</w:t>
            </w:r>
            <w:r>
              <w:rPr>
                <w:rFonts w:hint="eastAsia" w:ascii="仿宋" w:hAnsi="仿宋" w:eastAsia="仿宋"/>
                <w:color w:val="auto"/>
                <w:sz w:val="20"/>
                <w:szCs w:val="20"/>
                <w:lang w:eastAsia="zh-CN"/>
              </w:rPr>
              <w:t>）</w:t>
            </w:r>
            <w:r>
              <w:rPr>
                <w:rFonts w:hint="eastAsia" w:ascii="仿宋" w:hAnsi="仿宋" w:eastAsia="仿宋"/>
                <w:color w:val="auto"/>
                <w:sz w:val="20"/>
                <w:szCs w:val="20"/>
              </w:rPr>
              <w:t>。每次付款前成交供应商应开具对应金额发票并送达采购人处。</w:t>
            </w:r>
            <w:bookmarkStart w:id="18" w:name="_GoBack"/>
            <w:bookmarkEnd w:id="18"/>
          </w:p>
        </w:tc>
        <w:tc>
          <w:tcPr>
            <w:tcW w:w="2925" w:type="dxa"/>
            <w:vAlign w:val="center"/>
          </w:tcPr>
          <w:p w14:paraId="6263957A">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4E9D0D0F">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19"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4" w:name="_Toc29620"/>
            <w:bookmarkStart w:id="15" w:name="_Toc24579"/>
            <w:r>
              <w:rPr>
                <w:rFonts w:hint="eastAsia" w:ascii="宋体" w:hAnsi="宋体"/>
                <w:color w:val="auto"/>
                <w:szCs w:val="21"/>
              </w:rPr>
              <w:t>4</w:t>
            </w:r>
            <w:bookmarkEnd w:id="14"/>
            <w:bookmarkEnd w:id="15"/>
          </w:p>
        </w:tc>
        <w:tc>
          <w:tcPr>
            <w:tcW w:w="3794" w:type="dxa"/>
            <w:vAlign w:val="center"/>
          </w:tcPr>
          <w:p w14:paraId="596FE3A5">
            <w:pPr>
              <w:spacing w:line="420" w:lineRule="exact"/>
              <w:rPr>
                <w:rFonts w:ascii="仿宋" w:hAnsi="仿宋" w:eastAsia="仿宋"/>
                <w:b/>
                <w:bCs w:val="0"/>
                <w:color w:val="auto"/>
                <w:sz w:val="20"/>
                <w:szCs w:val="20"/>
              </w:rPr>
            </w:pPr>
            <w:r>
              <w:rPr>
                <w:rFonts w:hint="eastAsia" w:ascii="仿宋" w:hAnsi="仿宋" w:eastAsia="仿宋"/>
                <w:color w:val="auto"/>
                <w:sz w:val="20"/>
                <w:szCs w:val="20"/>
                <w:lang w:val="en-US" w:eastAsia="zh-CN"/>
              </w:rPr>
              <w:t>四</w:t>
            </w:r>
            <w:r>
              <w:rPr>
                <w:rFonts w:hint="eastAsia" w:ascii="仿宋" w:hAnsi="仿宋" w:eastAsia="仿宋"/>
                <w:color w:val="auto"/>
                <w:sz w:val="20"/>
                <w:szCs w:val="20"/>
              </w:rPr>
              <w:t>、服务地点：南宁市科园大道18号</w:t>
            </w:r>
            <w:r>
              <w:rPr>
                <w:rFonts w:hint="eastAsia" w:ascii="仿宋" w:hAnsi="仿宋" w:eastAsia="仿宋"/>
                <w:color w:val="auto"/>
                <w:sz w:val="20"/>
                <w:szCs w:val="20"/>
                <w:lang w:val="en-US" w:eastAsia="zh-CN"/>
              </w:rPr>
              <w:t>南宁中心血站</w:t>
            </w:r>
            <w:r>
              <w:rPr>
                <w:rFonts w:hint="eastAsia" w:ascii="仿宋" w:hAnsi="仿宋" w:eastAsia="仿宋"/>
                <w:color w:val="auto"/>
                <w:sz w:val="20"/>
                <w:szCs w:val="20"/>
              </w:rPr>
              <w:t>。</w:t>
            </w:r>
          </w:p>
        </w:tc>
        <w:tc>
          <w:tcPr>
            <w:tcW w:w="2925"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6D6F79E3">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24"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6" w:name="_Toc24401"/>
            <w:bookmarkStart w:id="17" w:name="_Toc28228"/>
            <w:r>
              <w:rPr>
                <w:rFonts w:hint="eastAsia" w:ascii="宋体" w:hAnsi="宋体"/>
                <w:color w:val="auto"/>
                <w:szCs w:val="21"/>
              </w:rPr>
              <w:t>5</w:t>
            </w:r>
            <w:bookmarkEnd w:id="16"/>
            <w:bookmarkEnd w:id="17"/>
          </w:p>
        </w:tc>
        <w:tc>
          <w:tcPr>
            <w:tcW w:w="3794" w:type="dxa"/>
            <w:vAlign w:val="center"/>
          </w:tcPr>
          <w:p w14:paraId="7A3CE0DD">
            <w:pPr>
              <w:spacing w:line="276" w:lineRule="auto"/>
              <w:rPr>
                <w:rFonts w:hint="eastAsia" w:ascii="仿宋" w:hAnsi="仿宋" w:eastAsia="仿宋"/>
                <w:bCs/>
                <w:color w:val="auto"/>
                <w:sz w:val="20"/>
                <w:szCs w:val="20"/>
              </w:rPr>
            </w:pPr>
            <w:r>
              <w:rPr>
                <w:rFonts w:hint="eastAsia" w:ascii="仿宋" w:hAnsi="仿宋" w:eastAsia="仿宋"/>
                <w:bCs/>
                <w:color w:val="auto"/>
                <w:sz w:val="20"/>
                <w:szCs w:val="20"/>
                <w:lang w:val="en-US" w:eastAsia="zh-CN"/>
              </w:rPr>
              <w:t>五</w:t>
            </w:r>
            <w:r>
              <w:rPr>
                <w:rFonts w:hint="eastAsia" w:ascii="仿宋" w:hAnsi="仿宋" w:eastAsia="仿宋"/>
                <w:bCs/>
                <w:color w:val="auto"/>
                <w:sz w:val="20"/>
                <w:szCs w:val="20"/>
              </w:rPr>
              <w:t>、其他要求：</w:t>
            </w:r>
          </w:p>
          <w:p w14:paraId="5042484D">
            <w:pPr>
              <w:spacing w:line="276" w:lineRule="auto"/>
              <w:rPr>
                <w:rFonts w:hint="eastAsia" w:ascii="仿宋" w:hAnsi="仿宋" w:eastAsia="仿宋"/>
                <w:bCs/>
                <w:color w:val="auto"/>
                <w:sz w:val="20"/>
                <w:szCs w:val="20"/>
              </w:rPr>
            </w:pPr>
            <w:r>
              <w:rPr>
                <w:rFonts w:hint="eastAsia" w:ascii="仿宋" w:hAnsi="仿宋" w:eastAsia="仿宋"/>
                <w:bCs/>
                <w:color w:val="auto"/>
                <w:sz w:val="20"/>
                <w:szCs w:val="20"/>
              </w:rPr>
              <w:t>1、报价必须含以下部分，包括：</w:t>
            </w:r>
          </w:p>
          <w:p w14:paraId="25903C0E">
            <w:pPr>
              <w:spacing w:line="276" w:lineRule="auto"/>
              <w:rPr>
                <w:rFonts w:hint="eastAsia" w:ascii="仿宋" w:hAnsi="仿宋" w:eastAsia="仿宋"/>
                <w:bCs/>
                <w:color w:val="auto"/>
                <w:sz w:val="20"/>
                <w:szCs w:val="20"/>
              </w:rPr>
            </w:pPr>
            <w:r>
              <w:rPr>
                <w:rFonts w:hint="eastAsia" w:ascii="仿宋" w:hAnsi="仿宋" w:eastAsia="仿宋"/>
                <w:bCs/>
                <w:color w:val="auto"/>
                <w:sz w:val="20"/>
                <w:szCs w:val="20"/>
              </w:rPr>
              <w:t>（1）服务的价格；</w:t>
            </w:r>
          </w:p>
          <w:p w14:paraId="1C3E9982">
            <w:pPr>
              <w:spacing w:line="276" w:lineRule="auto"/>
              <w:rPr>
                <w:rFonts w:hint="eastAsia" w:ascii="仿宋" w:hAnsi="仿宋" w:eastAsia="仿宋"/>
                <w:bCs/>
                <w:color w:val="auto"/>
                <w:sz w:val="20"/>
                <w:szCs w:val="20"/>
              </w:rPr>
            </w:pPr>
            <w:r>
              <w:rPr>
                <w:rFonts w:hint="eastAsia" w:ascii="仿宋" w:hAnsi="仿宋" w:eastAsia="仿宋"/>
                <w:bCs/>
                <w:color w:val="auto"/>
                <w:sz w:val="20"/>
                <w:szCs w:val="20"/>
              </w:rPr>
              <w:t>（2）必要的保险费用和各项税金；</w:t>
            </w:r>
          </w:p>
          <w:p w14:paraId="0A7405F4">
            <w:pPr>
              <w:spacing w:line="276" w:lineRule="auto"/>
              <w:rPr>
                <w:rFonts w:hint="eastAsia" w:ascii="仿宋" w:hAnsi="仿宋" w:eastAsia="仿宋"/>
                <w:bCs/>
                <w:color w:val="auto"/>
                <w:sz w:val="20"/>
                <w:szCs w:val="20"/>
                <w:lang w:eastAsia="zh-CN"/>
              </w:rPr>
            </w:pPr>
            <w:r>
              <w:rPr>
                <w:rFonts w:hint="eastAsia" w:ascii="仿宋" w:hAnsi="仿宋" w:eastAsia="仿宋"/>
                <w:bCs/>
                <w:color w:val="auto"/>
                <w:sz w:val="20"/>
                <w:szCs w:val="20"/>
              </w:rPr>
              <w:t>（3）</w:t>
            </w:r>
            <w:r>
              <w:rPr>
                <w:rFonts w:hint="eastAsia" w:ascii="仿宋" w:hAnsi="仿宋" w:eastAsia="仿宋"/>
                <w:bCs/>
                <w:color w:val="auto"/>
                <w:sz w:val="20"/>
                <w:szCs w:val="20"/>
                <w:lang w:val="en-US" w:eastAsia="zh-CN"/>
              </w:rPr>
              <w:t>其他如</w:t>
            </w:r>
            <w:r>
              <w:rPr>
                <w:rFonts w:hint="eastAsia" w:ascii="仿宋" w:hAnsi="仿宋" w:eastAsia="仿宋"/>
                <w:bCs/>
                <w:color w:val="auto"/>
                <w:sz w:val="20"/>
                <w:szCs w:val="20"/>
              </w:rPr>
              <w:t>完成本项目服务所需的人工、设备配置、利润和税金等所有费用。</w:t>
            </w:r>
          </w:p>
          <w:p w14:paraId="6EC7E63C">
            <w:pPr>
              <w:spacing w:line="276" w:lineRule="auto"/>
              <w:rPr>
                <w:rFonts w:hint="eastAsia" w:ascii="仿宋" w:hAnsi="仿宋" w:eastAsia="仿宋"/>
                <w:bCs/>
                <w:color w:val="auto"/>
                <w:sz w:val="20"/>
                <w:szCs w:val="20"/>
              </w:rPr>
            </w:pPr>
            <w:r>
              <w:rPr>
                <w:rFonts w:hint="eastAsia" w:ascii="仿宋" w:hAnsi="仿宋" w:eastAsia="仿宋"/>
                <w:bCs/>
                <w:color w:val="auto"/>
                <w:sz w:val="20"/>
                <w:szCs w:val="20"/>
              </w:rPr>
              <w:t>2、供应商应具备履行合同所必须的设备和专业技术能力。</w:t>
            </w:r>
          </w:p>
          <w:p w14:paraId="690F6882">
            <w:pPr>
              <w:spacing w:line="276" w:lineRule="auto"/>
              <w:rPr>
                <w:rFonts w:ascii="仿宋" w:hAnsi="仿宋" w:eastAsia="仿宋"/>
                <w:bCs/>
                <w:color w:val="auto"/>
                <w:sz w:val="20"/>
                <w:szCs w:val="20"/>
              </w:rPr>
            </w:pPr>
            <w:r>
              <w:rPr>
                <w:rFonts w:hint="eastAsia" w:ascii="仿宋" w:hAnsi="仿宋" w:eastAsia="仿宋"/>
                <w:bCs/>
                <w:color w:val="auto"/>
                <w:sz w:val="20"/>
                <w:szCs w:val="20"/>
              </w:rPr>
              <w:t>3、服务过程中，如发现服务成果与需求不符的，经采购人三次提醒后成交供应商未能改正的，采购人有权解除采购合同，对采购人造成损失的成交供应商赔偿全部损失。</w:t>
            </w:r>
          </w:p>
        </w:tc>
        <w:tc>
          <w:tcPr>
            <w:tcW w:w="2925"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0D64C90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bl>
    <w:p w14:paraId="5D1D9BE4">
      <w:pPr>
        <w:pStyle w:val="6"/>
        <w:spacing w:line="400" w:lineRule="exact"/>
        <w:rPr>
          <w:rFonts w:hAnsi="宋体" w:cs="宋体"/>
          <w:color w:val="auto"/>
        </w:rPr>
      </w:pPr>
      <w:r>
        <w:rPr>
          <w:rFonts w:hAnsi="宋体" w:cs="宋体"/>
          <w:color w:val="auto"/>
        </w:rPr>
        <w:t>注：⑴表格内容均需按要求填写并盖章，不得留空，否则按无效</w:t>
      </w:r>
      <w:r>
        <w:rPr>
          <w:rFonts w:hint="eastAsia" w:hAnsi="宋体" w:cs="宋体"/>
          <w:color w:val="auto"/>
        </w:rPr>
        <w:t>响应</w:t>
      </w:r>
      <w:r>
        <w:rPr>
          <w:rFonts w:hAnsi="宋体" w:cs="宋体"/>
          <w:color w:val="auto"/>
        </w:rPr>
        <w:t>处理。</w:t>
      </w:r>
    </w:p>
    <w:p w14:paraId="6B0868D0">
      <w:pPr>
        <w:pStyle w:val="6"/>
        <w:spacing w:line="400" w:lineRule="exact"/>
        <w:ind w:left="689" w:leftChars="228" w:hanging="210" w:hangingChars="100"/>
        <w:rPr>
          <w:rFonts w:hAnsi="宋体" w:cs="宋体"/>
          <w:color w:val="auto"/>
        </w:rPr>
      </w:pPr>
      <w:r>
        <w:rPr>
          <w:rFonts w:hAnsi="宋体" w:cs="宋体"/>
          <w:color w:val="auto"/>
        </w:rPr>
        <w:t>⑵当</w:t>
      </w:r>
      <w:r>
        <w:rPr>
          <w:rFonts w:hint="eastAsia" w:hAnsi="宋体" w:cs="宋体"/>
          <w:color w:val="auto"/>
        </w:rPr>
        <w:t>响应</w:t>
      </w:r>
      <w:r>
        <w:rPr>
          <w:rFonts w:hAnsi="宋体" w:cs="宋体"/>
          <w:color w:val="auto"/>
        </w:rPr>
        <w:t>文件的内容低于</w:t>
      </w:r>
      <w:r>
        <w:rPr>
          <w:rFonts w:hint="eastAsia" w:hAnsi="宋体" w:cs="宋体"/>
          <w:color w:val="auto"/>
        </w:rPr>
        <w:t>附件1“采购需求一览表”中</w:t>
      </w:r>
      <w:r>
        <w:rPr>
          <w:rFonts w:hAnsi="宋体" w:cs="宋体"/>
          <w:color w:val="auto"/>
        </w:rPr>
        <w:t>商务条款的要求时，</w:t>
      </w:r>
      <w:r>
        <w:rPr>
          <w:rFonts w:hint="eastAsia" w:hAnsi="宋体" w:cs="宋体"/>
          <w:color w:val="auto"/>
        </w:rPr>
        <w:t>供应商</w:t>
      </w:r>
      <w:r>
        <w:rPr>
          <w:rFonts w:hAnsi="宋体" w:cs="宋体"/>
          <w:color w:val="auto"/>
        </w:rPr>
        <w:t>应当如实写明“负偏离”，否则视为虚假</w:t>
      </w:r>
      <w:r>
        <w:rPr>
          <w:rFonts w:hint="eastAsia" w:hAnsi="宋体" w:cs="宋体"/>
          <w:color w:val="auto"/>
        </w:rPr>
        <w:t>响应</w:t>
      </w:r>
      <w:r>
        <w:rPr>
          <w:rFonts w:hAnsi="宋体" w:cs="宋体"/>
          <w:color w:val="auto"/>
        </w:rPr>
        <w:t>。</w:t>
      </w:r>
    </w:p>
    <w:p w14:paraId="3EAA5A05">
      <w:pPr>
        <w:pStyle w:val="3"/>
        <w:numPr>
          <w:ilvl w:val="3"/>
          <w:numId w:val="0"/>
        </w:numPr>
      </w:pPr>
    </w:p>
    <w:p w14:paraId="7F80F59B">
      <w:pPr>
        <w:pStyle w:val="6"/>
        <w:spacing w:line="400" w:lineRule="exact"/>
        <w:rPr>
          <w:rFonts w:hAnsi="宋体" w:cs="宋体"/>
          <w:color w:val="auto"/>
        </w:rPr>
      </w:pPr>
      <w:r>
        <w:rPr>
          <w:rFonts w:hint="eastAsia" w:hAnsi="宋体" w:cs="宋体"/>
          <w:color w:val="auto"/>
        </w:rPr>
        <w:t>响应人（盖单位公章）：</w:t>
      </w:r>
    </w:p>
    <w:p w14:paraId="4379BA0A">
      <w:pPr>
        <w:pStyle w:val="6"/>
        <w:spacing w:line="400" w:lineRule="exact"/>
        <w:rPr>
          <w:rFonts w:hAnsi="宋体" w:cs="宋体"/>
          <w:color w:val="auto"/>
        </w:rPr>
      </w:pPr>
      <w:r>
        <w:rPr>
          <w:rFonts w:hint="eastAsia" w:hAnsi="宋体" w:cs="宋体"/>
          <w:color w:val="auto"/>
        </w:rPr>
        <w:t>法定代表人或其委托代理人（签字或盖章）：</w:t>
      </w:r>
    </w:p>
    <w:p w14:paraId="1C158152">
      <w:pPr>
        <w:pStyle w:val="6"/>
        <w:spacing w:line="560" w:lineRule="exact"/>
        <w:rPr>
          <w:rFonts w:hint="eastAsia" w:ascii="仿宋" w:hAnsi="仿宋" w:eastAsia="仿宋" w:cstheme="minorEastAsia"/>
          <w:color w:val="auto"/>
          <w:sz w:val="28"/>
          <w:szCs w:val="28"/>
        </w:rPr>
      </w:pPr>
    </w:p>
    <w:p w14:paraId="40817C1A">
      <w:pPr>
        <w:pStyle w:val="3"/>
        <w:numPr>
          <w:ilvl w:val="3"/>
          <w:numId w:val="0"/>
        </w:numPr>
        <w:ind w:left="1077" w:leftChars="0"/>
        <w:rPr>
          <w:rFonts w:hint="eastAsia"/>
        </w:rPr>
      </w:pPr>
    </w:p>
    <w:p w14:paraId="16C0C1B3">
      <w:pPr>
        <w:rPr>
          <w:rFonts w:hint="eastAsia" w:ascii="仿宋" w:hAnsi="仿宋" w:eastAsia="仿宋" w:cstheme="minorEastAsia"/>
          <w:color w:val="auto"/>
          <w:sz w:val="28"/>
          <w:szCs w:val="28"/>
        </w:rPr>
      </w:pPr>
    </w:p>
    <w:p w14:paraId="28F35F7C">
      <w:pPr>
        <w:pStyle w:val="12"/>
        <w:rPr>
          <w:rFonts w:hint="eastAsia" w:ascii="仿宋" w:hAnsi="仿宋" w:eastAsia="仿宋" w:cstheme="minorEastAsia"/>
          <w:color w:val="auto"/>
          <w:sz w:val="28"/>
          <w:szCs w:val="28"/>
        </w:rPr>
      </w:pPr>
    </w:p>
    <w:p w14:paraId="0340DCC1">
      <w:pPr>
        <w:pStyle w:val="12"/>
        <w:rPr>
          <w:rFonts w:hint="eastAsia" w:ascii="仿宋" w:hAnsi="仿宋" w:eastAsia="仿宋" w:cstheme="minorEastAsia"/>
          <w:color w:val="auto"/>
          <w:sz w:val="28"/>
          <w:szCs w:val="28"/>
        </w:rPr>
      </w:pPr>
    </w:p>
    <w:p w14:paraId="60CFFD40">
      <w:pPr>
        <w:pStyle w:val="12"/>
        <w:rPr>
          <w:rFonts w:hint="eastAsia" w:ascii="仿宋" w:hAnsi="仿宋" w:eastAsia="仿宋" w:cstheme="minorEastAsia"/>
          <w:color w:val="auto"/>
          <w:sz w:val="28"/>
          <w:szCs w:val="28"/>
        </w:rPr>
      </w:pPr>
    </w:p>
    <w:p w14:paraId="3116402A">
      <w:pPr>
        <w:pStyle w:val="12"/>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南宁中心血站2025年污水处理设施维保服务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2"/>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2"/>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2"/>
        <w:rPr>
          <w:rFonts w:hint="eastAsia" w:ascii="宋体" w:hAnsi="宋体" w:cs="宋体"/>
          <w:b/>
          <w:sz w:val="30"/>
          <w:szCs w:val="30"/>
        </w:rPr>
      </w:pPr>
    </w:p>
    <w:p w14:paraId="2B8C9D53">
      <w:pPr>
        <w:pStyle w:val="12"/>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EBD99D6-549F-490E-8E08-95BB3F2A2052}"/>
  </w:font>
  <w:font w:name="Courier New">
    <w:panose1 w:val="02070309020205020404"/>
    <w:charset w:val="01"/>
    <w:family w:val="modern"/>
    <w:pitch w:val="default"/>
    <w:sig w:usb0="E0002EFF" w:usb1="C0007843" w:usb2="00000009" w:usb3="00000000" w:csb0="400001FF" w:csb1="FFFF0000"/>
    <w:embedRegular r:id="rId2" w:fontKey="{D9559335-94A7-413B-AD63-313C5A05748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DCECAE83-3A94-4004-9B47-EA7199D43EEE}"/>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780FA46C-13EB-4B8C-B220-4AB59D6836CC}"/>
  </w:font>
  <w:font w:name="仿宋_GB2312">
    <w:panose1 w:val="02010609030101010101"/>
    <w:charset w:val="86"/>
    <w:family w:val="modern"/>
    <w:pitch w:val="default"/>
    <w:sig w:usb0="00000001" w:usb1="080E0000" w:usb2="00000000" w:usb3="00000000" w:csb0="00040000" w:csb1="00000000"/>
    <w:embedRegular r:id="rId5" w:fontKey="{AE4B86AD-559A-4645-9CD6-4D0C3BFCA534}"/>
  </w:font>
  <w:font w:name="Lucida Sans Unicode">
    <w:panose1 w:val="020B0602030504020204"/>
    <w:charset w:val="00"/>
    <w:family w:val="swiss"/>
    <w:pitch w:val="default"/>
    <w:sig w:usb0="80001AFF" w:usb1="0000396B" w:usb2="00000000" w:usb3="00000000" w:csb0="200000BF" w:csb1="D7F70000"/>
    <w:embedRegular r:id="rId6" w:fontKey="{B453C454-059C-41AF-ABC8-9BCB0A2600DF}"/>
  </w:font>
  <w:font w:name="方正楷体_GB2312">
    <w:panose1 w:val="02000000000000000000"/>
    <w:charset w:val="86"/>
    <w:family w:val="auto"/>
    <w:pitch w:val="default"/>
    <w:sig w:usb0="A00002BF" w:usb1="184F6CFA" w:usb2="00000012" w:usb3="00000000" w:csb0="00040001" w:csb1="00000000"/>
    <w:embedRegular r:id="rId7" w:fontKey="{7711B96C-9054-4136-97B2-D30E0B3DA532}"/>
  </w:font>
  <w:font w:name="仿宋">
    <w:panose1 w:val="02010609060101010101"/>
    <w:charset w:val="86"/>
    <w:family w:val="modern"/>
    <w:pitch w:val="default"/>
    <w:sig w:usb0="800002BF" w:usb1="38CF7CFA" w:usb2="00000016" w:usb3="00000000" w:csb0="00040001" w:csb1="00000000"/>
    <w:embedRegular r:id="rId8" w:fontKey="{90D87F4A-801E-493C-A344-47B2EC6DD48E}"/>
  </w:font>
  <w:font w:name="Wingdings 2">
    <w:panose1 w:val="05020102010507070707"/>
    <w:charset w:val="02"/>
    <w:family w:val="roman"/>
    <w:pitch w:val="default"/>
    <w:sig w:usb0="00000000" w:usb1="00000000" w:usb2="00000000" w:usb3="00000000" w:csb0="80000000" w:csb1="00000000"/>
    <w:embedRegular r:id="rId9" w:fontKey="{2221C71C-818A-43C9-A9D0-41DF9811C447}"/>
  </w:font>
  <w:font w:name="方正公文小标宋">
    <w:panose1 w:val="02000500000000000000"/>
    <w:charset w:val="86"/>
    <w:family w:val="auto"/>
    <w:pitch w:val="default"/>
    <w:sig w:usb0="A00002BF" w:usb1="38CF7CFA" w:usb2="00000016" w:usb3="00000000" w:csb0="00040001" w:csb1="00000000"/>
    <w:embedRegular r:id="rId10" w:fontKey="{FB1B91DB-0A2D-4404-B21F-D448B9E2F46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1F14"/>
    <w:rsid w:val="00F921FB"/>
    <w:rsid w:val="00F96A21"/>
    <w:rsid w:val="00FA2E18"/>
    <w:rsid w:val="00FB3B95"/>
    <w:rsid w:val="00FD0A1A"/>
    <w:rsid w:val="02D74B40"/>
    <w:rsid w:val="031B2C7F"/>
    <w:rsid w:val="0350496E"/>
    <w:rsid w:val="03670C57"/>
    <w:rsid w:val="046C750A"/>
    <w:rsid w:val="08517143"/>
    <w:rsid w:val="0B656E1E"/>
    <w:rsid w:val="0C0A5403"/>
    <w:rsid w:val="0C145497"/>
    <w:rsid w:val="10D74B39"/>
    <w:rsid w:val="12C67FE1"/>
    <w:rsid w:val="14DC1B42"/>
    <w:rsid w:val="15D77522"/>
    <w:rsid w:val="16022C53"/>
    <w:rsid w:val="177D28D5"/>
    <w:rsid w:val="18504D21"/>
    <w:rsid w:val="18ED07C2"/>
    <w:rsid w:val="19A5109C"/>
    <w:rsid w:val="1B1F4E7E"/>
    <w:rsid w:val="1B5C39DD"/>
    <w:rsid w:val="1C9D2311"/>
    <w:rsid w:val="1D1B7434"/>
    <w:rsid w:val="1E4569AA"/>
    <w:rsid w:val="1E4824ED"/>
    <w:rsid w:val="1E6848B0"/>
    <w:rsid w:val="20EC5803"/>
    <w:rsid w:val="23DF7159"/>
    <w:rsid w:val="24880C9A"/>
    <w:rsid w:val="24C95406"/>
    <w:rsid w:val="25030284"/>
    <w:rsid w:val="2A3A75DF"/>
    <w:rsid w:val="2BAB4636"/>
    <w:rsid w:val="2BF57C61"/>
    <w:rsid w:val="2CED0939"/>
    <w:rsid w:val="2E620CC5"/>
    <w:rsid w:val="2F4A332F"/>
    <w:rsid w:val="32A86C88"/>
    <w:rsid w:val="34806536"/>
    <w:rsid w:val="35234768"/>
    <w:rsid w:val="35AD02FE"/>
    <w:rsid w:val="36323860"/>
    <w:rsid w:val="380D6333"/>
    <w:rsid w:val="38575800"/>
    <w:rsid w:val="388C54AA"/>
    <w:rsid w:val="38DD5D05"/>
    <w:rsid w:val="38E946AA"/>
    <w:rsid w:val="39254A49"/>
    <w:rsid w:val="3A155D47"/>
    <w:rsid w:val="3EC14DCA"/>
    <w:rsid w:val="3EDF7B5A"/>
    <w:rsid w:val="3EF757D7"/>
    <w:rsid w:val="3F794BDA"/>
    <w:rsid w:val="41431D95"/>
    <w:rsid w:val="41717D14"/>
    <w:rsid w:val="444D69AF"/>
    <w:rsid w:val="44942BEF"/>
    <w:rsid w:val="45D636A5"/>
    <w:rsid w:val="495E2059"/>
    <w:rsid w:val="49CF5B75"/>
    <w:rsid w:val="4A2E27D8"/>
    <w:rsid w:val="4B7122DD"/>
    <w:rsid w:val="4BE930B0"/>
    <w:rsid w:val="4DF267BC"/>
    <w:rsid w:val="508825A3"/>
    <w:rsid w:val="50901C87"/>
    <w:rsid w:val="5099641F"/>
    <w:rsid w:val="539011C5"/>
    <w:rsid w:val="53DA23BC"/>
    <w:rsid w:val="53E47AF0"/>
    <w:rsid w:val="541C5F97"/>
    <w:rsid w:val="54714A29"/>
    <w:rsid w:val="55731FB9"/>
    <w:rsid w:val="5745560C"/>
    <w:rsid w:val="57671164"/>
    <w:rsid w:val="59401951"/>
    <w:rsid w:val="5B2D3245"/>
    <w:rsid w:val="5DFB7A90"/>
    <w:rsid w:val="5F443AD7"/>
    <w:rsid w:val="60884935"/>
    <w:rsid w:val="61F52ED8"/>
    <w:rsid w:val="6213192F"/>
    <w:rsid w:val="63267838"/>
    <w:rsid w:val="667523D3"/>
    <w:rsid w:val="66F31915"/>
    <w:rsid w:val="674A2C89"/>
    <w:rsid w:val="6A0A3D2C"/>
    <w:rsid w:val="6AC63F9C"/>
    <w:rsid w:val="6B311A3F"/>
    <w:rsid w:val="7030084F"/>
    <w:rsid w:val="703B4AE4"/>
    <w:rsid w:val="718A5132"/>
    <w:rsid w:val="71C86016"/>
    <w:rsid w:val="726C367A"/>
    <w:rsid w:val="732B5B1E"/>
    <w:rsid w:val="745C607B"/>
    <w:rsid w:val="75CC2D87"/>
    <w:rsid w:val="7877401B"/>
    <w:rsid w:val="78CC1807"/>
    <w:rsid w:val="792579EC"/>
    <w:rsid w:val="7AAD6DF1"/>
    <w:rsid w:val="7B5E6224"/>
    <w:rsid w:val="7C4223E5"/>
    <w:rsid w:val="7C812D3F"/>
    <w:rsid w:val="7D9D65DA"/>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annotation text"/>
    <w:basedOn w:val="1"/>
    <w:link w:val="24"/>
    <w:qFormat/>
    <w:uiPriority w:val="0"/>
    <w:pPr>
      <w:jc w:val="left"/>
    </w:pPr>
    <w:rPr>
      <w:rFonts w:ascii="Calibri" w:hAnsi="Calibri" w:eastAsia="宋体" w:cs="Times New Roman"/>
    </w:rPr>
  </w:style>
  <w:style w:type="paragraph" w:styleId="5">
    <w:name w:val="Body Text Indent"/>
    <w:basedOn w:val="1"/>
    <w:link w:val="29"/>
    <w:semiHidden/>
    <w:unhideWhenUsed/>
    <w:qFormat/>
    <w:uiPriority w:val="99"/>
    <w:pPr>
      <w:spacing w:after="120"/>
      <w:ind w:left="420" w:leftChars="200"/>
    </w:pPr>
  </w:style>
  <w:style w:type="paragraph" w:styleId="6">
    <w:name w:val="Plain Text"/>
    <w:basedOn w:val="1"/>
    <w:next w:val="3"/>
    <w:link w:val="22"/>
    <w:unhideWhenUsed/>
    <w:qFormat/>
    <w:uiPriority w:val="0"/>
    <w:rPr>
      <w:rFonts w:ascii="宋体" w:hAnsi="Courier New" w:eastAsia="宋体" w:cs="Times New Roman"/>
      <w:szCs w:val="20"/>
    </w:rPr>
  </w:style>
  <w:style w:type="paragraph" w:styleId="7">
    <w:name w:val="Date"/>
    <w:basedOn w:val="1"/>
    <w:next w:val="1"/>
    <w:link w:val="31"/>
    <w:semiHidden/>
    <w:unhideWhenUsed/>
    <w:qFormat/>
    <w:uiPriority w:val="99"/>
    <w:pPr>
      <w:ind w:left="100" w:leftChars="2500"/>
    </w:pPr>
  </w:style>
  <w:style w:type="paragraph" w:styleId="8">
    <w:name w:val="Balloon Text"/>
    <w:basedOn w:val="1"/>
    <w:link w:val="25"/>
    <w:semiHidden/>
    <w:unhideWhenUsed/>
    <w:qFormat/>
    <w:uiPriority w:val="99"/>
    <w:rPr>
      <w:sz w:val="18"/>
      <w:szCs w:val="18"/>
    </w:rPr>
  </w:style>
  <w:style w:type="paragraph" w:styleId="9">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hAnsi="宋体" w:cs="宋体"/>
      <w:szCs w:val="24"/>
    </w:rPr>
  </w:style>
  <w:style w:type="paragraph" w:styleId="12">
    <w:name w:val="Body Text First Indent"/>
    <w:basedOn w:val="2"/>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3">
    <w:name w:val="Body Text First Indent 2"/>
    <w:basedOn w:val="5"/>
    <w:link w:val="30"/>
    <w:semiHidden/>
    <w:unhideWhenUsed/>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2"/>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6"/>
    <w:qFormat/>
    <w:uiPriority w:val="99"/>
    <w:rPr>
      <w:rFonts w:ascii="宋体" w:hAnsi="Courier New" w:eastAsia="宋体" w:cs="Times New Roman"/>
      <w:szCs w:val="20"/>
    </w:rPr>
  </w:style>
  <w:style w:type="character" w:customStyle="1" w:styleId="23">
    <w:name w:val="页脚 Char"/>
    <w:basedOn w:val="16"/>
    <w:link w:val="9"/>
    <w:qFormat/>
    <w:uiPriority w:val="0"/>
    <w:rPr>
      <w:rFonts w:ascii="Calibri" w:hAnsi="Calibri" w:eastAsia="宋体" w:cs="Times New Roman"/>
      <w:sz w:val="18"/>
      <w:szCs w:val="18"/>
    </w:rPr>
  </w:style>
  <w:style w:type="character" w:customStyle="1" w:styleId="24">
    <w:name w:val="批注文字 Char"/>
    <w:basedOn w:val="16"/>
    <w:link w:val="4"/>
    <w:qFormat/>
    <w:uiPriority w:val="0"/>
    <w:rPr>
      <w:rFonts w:ascii="Calibri" w:hAnsi="Calibri" w:eastAsia="宋体" w:cs="Times New Roman"/>
    </w:rPr>
  </w:style>
  <w:style w:type="character" w:customStyle="1" w:styleId="25">
    <w:name w:val="批注框文本 Char"/>
    <w:basedOn w:val="16"/>
    <w:link w:val="8"/>
    <w:semiHidden/>
    <w:qFormat/>
    <w:uiPriority w:val="99"/>
    <w:rPr>
      <w:sz w:val="18"/>
      <w:szCs w:val="18"/>
    </w:rPr>
  </w:style>
  <w:style w:type="character" w:customStyle="1" w:styleId="26">
    <w:name w:val="标题 4 Char"/>
    <w:basedOn w:val="16"/>
    <w:link w:val="3"/>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5"/>
    <w:semiHidden/>
    <w:qFormat/>
    <w:uiPriority w:val="99"/>
  </w:style>
  <w:style w:type="character" w:customStyle="1" w:styleId="30">
    <w:name w:val="正文首行缩进 2 Char"/>
    <w:basedOn w:val="29"/>
    <w:link w:val="13"/>
    <w:semiHidden/>
    <w:qFormat/>
    <w:uiPriority w:val="99"/>
  </w:style>
  <w:style w:type="character" w:customStyle="1" w:styleId="31">
    <w:name w:val="日期 Char"/>
    <w:basedOn w:val="16"/>
    <w:link w:val="7"/>
    <w:semiHidden/>
    <w:qFormat/>
    <w:uiPriority w:val="99"/>
  </w:style>
  <w:style w:type="character" w:customStyle="1" w:styleId="32">
    <w:name w:val="正文首行缩进 Char"/>
    <w:basedOn w:val="20"/>
    <w:link w:val="12"/>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0"/>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6">
    <w:name w:val="表格文字"/>
    <w:basedOn w:val="1"/>
    <w:qFormat/>
    <w:uiPriority w:val="99"/>
    <w:pPr>
      <w:spacing w:before="25" w:after="25"/>
      <w:jc w:val="left"/>
    </w:pPr>
    <w:rPr>
      <w:bCs/>
      <w:spacing w:val="10"/>
      <w:kern w:val="0"/>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24</Pages>
  <Words>8911</Words>
  <Characters>9396</Characters>
  <Lines>39</Lines>
  <Paragraphs>11</Paragraphs>
  <TotalTime>3</TotalTime>
  <ScaleCrop>false</ScaleCrop>
  <LinksUpToDate>false</LinksUpToDate>
  <CharactersWithSpaces>10746</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2024-11-27T09:01:03Z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DBAAD00E7FFC4A1DA3C59792FBC1CCF8_13</vt:lpwstr>
  </property>
</Properties>
</file>