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w:t>
      </w:r>
      <w:bookmarkStart w:id="18" w:name="_GoBack"/>
      <w:bookmarkEnd w:id="18"/>
      <w:r>
        <w:rPr>
          <w:rFonts w:hint="eastAsia" w:ascii="方正小标宋简体" w:hAnsi="方正小标宋简体" w:eastAsia="方正小标宋简体" w:cs="方正小标宋简体"/>
          <w:sz w:val="44"/>
          <w:szCs w:val="44"/>
          <w:lang w:val="en-US" w:eastAsia="zh-CN"/>
        </w:rPr>
        <w:t>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51EE2A1F">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项目名称：南宁中心血站2025年生活垃圾清运服务</w:t>
      </w:r>
      <w:r>
        <w:rPr>
          <w:rFonts w:hint="eastAsia" w:ascii="仿宋_GB2312" w:hAnsi="Courier New" w:eastAsia="仿宋_GB2312" w:cs="Courier New"/>
          <w:b/>
          <w:bCs/>
          <w:color w:val="000000"/>
          <w:kern w:val="0"/>
          <w:sz w:val="32"/>
          <w:szCs w:val="32"/>
          <w:lang w:val="zh-TW" w:eastAsia="zh-CN"/>
        </w:rPr>
        <w:t>（</w:t>
      </w:r>
      <w:r>
        <w:rPr>
          <w:rFonts w:hint="eastAsia" w:ascii="仿宋_GB2312" w:hAnsi="Courier New" w:eastAsia="仿宋_GB2312" w:cs="Courier New"/>
          <w:b/>
          <w:bCs/>
          <w:color w:val="000000"/>
          <w:kern w:val="0"/>
          <w:sz w:val="32"/>
          <w:szCs w:val="32"/>
          <w:lang w:val="en-US" w:eastAsia="zh-CN"/>
        </w:rPr>
        <w:t>重</w:t>
      </w:r>
      <w:r>
        <w:rPr>
          <w:rFonts w:hint="eastAsia" w:ascii="仿宋_GB2312" w:hAnsi="Courier New" w:eastAsia="仿宋_GB2312" w:cs="Courier New"/>
          <w:b/>
          <w:bCs/>
          <w:color w:val="000000"/>
          <w:kern w:val="0"/>
          <w:sz w:val="32"/>
          <w:szCs w:val="32"/>
          <w:lang w:val="zh-TW" w:eastAsia="zh-CN"/>
        </w:rPr>
        <w:t>）</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项目编号：NNBCFW2024025</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2024年</w:t>
      </w:r>
      <w:r>
        <w:rPr>
          <w:rFonts w:hint="eastAsia" w:ascii="仿宋_GB2312" w:hAnsi="Courier New" w:eastAsia="仿宋_GB2312" w:cs="Courier New"/>
          <w:b/>
          <w:bCs/>
          <w:color w:val="000000"/>
          <w:kern w:val="0"/>
          <w:sz w:val="32"/>
          <w:szCs w:val="32"/>
          <w:lang w:val="en-US" w:eastAsia="zh-CN"/>
        </w:rPr>
        <w:t>12</w:t>
      </w:r>
      <w:r>
        <w:rPr>
          <w:rFonts w:hint="eastAsia" w:ascii="仿宋_GB2312" w:hAnsi="Courier New" w:eastAsia="仿宋_GB2312" w:cs="Courier New"/>
          <w:b/>
          <w:bCs/>
          <w:color w:val="000000"/>
          <w:kern w:val="0"/>
          <w:sz w:val="32"/>
          <w:szCs w:val="32"/>
          <w:lang w:val="zh-TW" w:eastAsia="zh-TW"/>
        </w:rPr>
        <w:t>月</w:t>
      </w:r>
      <w:r>
        <w:rPr>
          <w:rFonts w:hint="eastAsia" w:ascii="仿宋_GB2312" w:hAnsi="Courier New" w:eastAsia="仿宋_GB2312" w:cs="Courier New"/>
          <w:b/>
          <w:bCs/>
          <w:color w:val="000000"/>
          <w:kern w:val="0"/>
          <w:sz w:val="32"/>
          <w:szCs w:val="32"/>
          <w:lang w:val="en-US" w:eastAsia="zh-CN"/>
        </w:rPr>
        <w:t>4</w:t>
      </w:r>
      <w:r>
        <w:rPr>
          <w:rFonts w:hint="eastAsia" w:ascii="仿宋_GB2312" w:hAnsi="Courier New" w:eastAsia="仿宋_GB2312" w:cs="Courier New"/>
          <w:b/>
          <w:bCs/>
          <w:color w:val="000000"/>
          <w:kern w:val="0"/>
          <w:sz w:val="32"/>
          <w:szCs w:val="32"/>
          <w:lang w:val="zh-TW" w:eastAsia="zh-TW"/>
        </w:rPr>
        <w:t>日</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525F88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54B1EF8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南宁中心血站2025年生活垃圾清运服务</w:t>
      </w: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采购公告（重）</w:t>
      </w:r>
    </w:p>
    <w:p w14:paraId="2B8B4A59">
      <w:pPr>
        <w:keepNext w:val="0"/>
        <w:keepLines w:val="0"/>
        <w:pageBreakBefore w:val="0"/>
        <w:widowControl/>
        <w:kinsoku/>
        <w:wordWrap/>
        <w:overflowPunct/>
        <w:topLinePunct w:val="0"/>
        <w:autoSpaceDE/>
        <w:autoSpaceDN/>
        <w:bidi w:val="0"/>
        <w:adjustRightInd/>
        <w:snapToGrid/>
        <w:spacing w:line="640" w:lineRule="exact"/>
        <w:ind w:left="-420" w:leftChars="-200" w:firstLine="694" w:firstLineChars="178"/>
        <w:textAlignment w:val="auto"/>
        <w:rPr>
          <w:rFonts w:ascii="Lucida Sans Unicode" w:hAnsi="Lucida Sans Unicode" w:eastAsia="宋体" w:cs="Lucida Sans Unicode"/>
          <w:color w:val="auto"/>
          <w:spacing w:val="15"/>
          <w:kern w:val="0"/>
          <w:sz w:val="36"/>
          <w:szCs w:val="36"/>
        </w:rPr>
      </w:pPr>
    </w:p>
    <w:p w14:paraId="5CD78F1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南宁中心血站按照采购计划，对南宁中心血站2025年生活垃圾清运服务进行采购，现就该项目邀请具有资质的单位进行响应，采购信息如下：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682F74E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项目编号：NNBCFW202402</w:t>
      </w:r>
      <w:r>
        <w:rPr>
          <w:rFonts w:hint="eastAsia" w:ascii="仿宋_GB2312" w:hAnsi="Courier New" w:eastAsia="仿宋_GB2312" w:cs="Courier New"/>
          <w:color w:val="000000"/>
          <w:kern w:val="0"/>
          <w:sz w:val="32"/>
          <w:szCs w:val="32"/>
          <w:lang w:val="en-US" w:eastAsia="zh-CN"/>
        </w:rPr>
        <w:t>5</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项目名称：南宁中心血站2025年生活垃圾清运服务</w:t>
      </w:r>
      <w:r>
        <w:rPr>
          <w:rFonts w:hint="eastAsia" w:ascii="仿宋_GB2312" w:hAnsi="Courier New" w:eastAsia="仿宋_GB2312" w:cs="Courier New"/>
          <w:color w:val="000000"/>
          <w:kern w:val="0"/>
          <w:sz w:val="32"/>
          <w:szCs w:val="32"/>
          <w:lang w:val="zh-TW" w:eastAsia="zh-CN"/>
        </w:rPr>
        <w:t>；</w:t>
      </w:r>
    </w:p>
    <w:p w14:paraId="09FBF9F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贰万陆仟肆佰元</w:t>
      </w:r>
      <w:r>
        <w:rPr>
          <w:rFonts w:hint="eastAsia" w:ascii="仿宋_GB2312" w:hAnsi="Courier New" w:eastAsia="仿宋_GB2312" w:cs="Courier New"/>
          <w:color w:val="000000"/>
          <w:kern w:val="0"/>
          <w:sz w:val="32"/>
          <w:szCs w:val="32"/>
          <w:lang w:val="zh-TW" w:eastAsia="zh-TW"/>
        </w:rPr>
        <w:t>整（￥26400.00）</w:t>
      </w:r>
      <w:r>
        <w:rPr>
          <w:rFonts w:hint="eastAsia" w:ascii="仿宋_GB2312" w:hAnsi="Courier New" w:eastAsia="仿宋_GB2312" w:cs="Courier New"/>
          <w:color w:val="000000"/>
          <w:kern w:val="0"/>
          <w:sz w:val="32"/>
          <w:szCs w:val="32"/>
          <w:lang w:val="zh-TW" w:eastAsia="zh-CN"/>
        </w:rPr>
        <w:t>；</w:t>
      </w:r>
    </w:p>
    <w:p w14:paraId="3A48E9F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贰万陆仟肆佰元</w:t>
      </w:r>
      <w:r>
        <w:rPr>
          <w:rFonts w:hint="eastAsia" w:ascii="仿宋_GB2312" w:hAnsi="Courier New" w:eastAsia="仿宋_GB2312" w:cs="Courier New"/>
          <w:color w:val="000000"/>
          <w:kern w:val="0"/>
          <w:sz w:val="32"/>
          <w:szCs w:val="32"/>
          <w:lang w:val="zh-TW" w:eastAsia="zh-TW"/>
        </w:rPr>
        <w:t>整（￥26400.00）</w:t>
      </w:r>
      <w:r>
        <w:rPr>
          <w:rFonts w:hint="eastAsia" w:ascii="仿宋_GB2312" w:hAnsi="Courier New" w:eastAsia="仿宋_GB2312" w:cs="Courier New"/>
          <w:color w:val="000000"/>
          <w:kern w:val="0"/>
          <w:sz w:val="32"/>
          <w:szCs w:val="32"/>
          <w:lang w:val="zh-TW" w:eastAsia="zh-CN"/>
        </w:rPr>
        <w:t>；</w:t>
      </w:r>
    </w:p>
    <w:p w14:paraId="7C7888A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综合评选。</w:t>
      </w:r>
    </w:p>
    <w:p w14:paraId="4352251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小组根据服务质量、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能力、技术开发能力、价格水平等方面进行综合评价，并进行书面投票，按投票结果最高者入选原则确定成交供应商。</w:t>
      </w:r>
    </w:p>
    <w:p w14:paraId="427535E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（五）供应商直接控股、管理关系信息表（格式详见附件3）；</w:t>
      </w:r>
    </w:p>
    <w:p w14:paraId="1BA22BB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（六）</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6E1F830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6570DDE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（十）提供相关生活垃圾处理资质证明材料。</w:t>
      </w:r>
    </w:p>
    <w:p w14:paraId="56A6483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五、资格文件组成</w:t>
      </w:r>
    </w:p>
    <w:p w14:paraId="7005C47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资格文件（一份），根据响应人资格要求，提供证明材料（即响应文件组成中的（一）、（二）、（三）</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四</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五</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p>
    <w:p w14:paraId="7E3FC9B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文件确定的合同文本以及采购标的、货物技术、采购金额、采购数量、技术和货物要求等事项签订采购合同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3"/>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3"/>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3"/>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3"/>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3"/>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3"/>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3"/>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3"/>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3"/>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3"/>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3"/>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3"/>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3"/>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3"/>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3"/>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3"/>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3"/>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12</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9</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2D6C1C53">
      <w:pPr>
        <w:pStyle w:val="3"/>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秦海娜</w:t>
      </w:r>
    </w:p>
    <w:p w14:paraId="1DE7A5C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联系电话：0771-3210882。</w:t>
      </w:r>
    </w:p>
    <w:p w14:paraId="06BE25F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                              </w:t>
      </w:r>
    </w:p>
    <w:p w14:paraId="1A00AFF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07F21AC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0A37C65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22C0B809">
      <w:pPr>
        <w:keepNext w:val="0"/>
        <w:keepLines w:val="0"/>
        <w:pageBreakBefore w:val="0"/>
        <w:widowControl w:val="0"/>
        <w:kinsoku/>
        <w:wordWrap/>
        <w:overflowPunct/>
        <w:topLinePunct w:val="0"/>
        <w:autoSpaceDE/>
        <w:autoSpaceDN/>
        <w:bidi w:val="0"/>
        <w:adjustRightInd/>
        <w:snapToGrid/>
        <w:spacing w:line="560" w:lineRule="exact"/>
        <w:ind w:firstLine="6720" w:firstLineChars="21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58A27A2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12</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17D05D3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48FE1ADA">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6E3C6E17">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6E2A2662">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3E2F402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4132904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09A6DC29">
      <w:pPr>
        <w:rPr>
          <w:rFonts w:hint="eastAsia" w:ascii="仿宋" w:hAnsi="仿宋" w:eastAsia="仿宋"/>
          <w:color w:val="auto"/>
          <w:sz w:val="30"/>
          <w:szCs w:val="30"/>
        </w:rPr>
      </w:pPr>
    </w:p>
    <w:p w14:paraId="62D38AE1">
      <w:pPr>
        <w:pStyle w:val="2"/>
        <w:rPr>
          <w:rFonts w:hint="eastAsia" w:ascii="仿宋" w:hAnsi="仿宋" w:eastAsia="仿宋"/>
          <w:color w:val="auto"/>
          <w:sz w:val="30"/>
          <w:szCs w:val="30"/>
        </w:rPr>
      </w:pPr>
    </w:p>
    <w:p w14:paraId="73C49685">
      <w:pPr>
        <w:pStyle w:val="2"/>
        <w:rPr>
          <w:rFonts w:hint="eastAsia" w:ascii="仿宋" w:hAnsi="仿宋" w:eastAsia="仿宋"/>
          <w:color w:val="auto"/>
          <w:sz w:val="30"/>
          <w:szCs w:val="30"/>
        </w:rPr>
      </w:pPr>
    </w:p>
    <w:p w14:paraId="3365BC1A">
      <w:pPr>
        <w:pStyle w:val="2"/>
        <w:rPr>
          <w:rFonts w:hint="eastAsia" w:ascii="仿宋" w:hAnsi="仿宋" w:eastAsia="仿宋"/>
          <w:color w:val="auto"/>
          <w:sz w:val="30"/>
          <w:szCs w:val="30"/>
        </w:rPr>
      </w:pPr>
    </w:p>
    <w:p w14:paraId="35DE613F">
      <w:pPr>
        <w:rPr>
          <w:rFonts w:ascii="仿宋" w:hAnsi="仿宋" w:eastAsia="仿宋"/>
          <w:color w:val="auto"/>
          <w:sz w:val="30"/>
          <w:szCs w:val="30"/>
        </w:rPr>
      </w:pPr>
      <w:r>
        <w:rPr>
          <w:rFonts w:hint="eastAsia" w:ascii="仿宋" w:hAnsi="仿宋" w:eastAsia="仿宋"/>
          <w:color w:val="auto"/>
          <w:sz w:val="30"/>
          <w:szCs w:val="30"/>
        </w:rPr>
        <w:t>附件1</w:t>
      </w:r>
    </w:p>
    <w:p w14:paraId="3222BADA">
      <w:pPr>
        <w:pStyle w:val="3"/>
        <w:jc w:val="center"/>
        <w:rPr>
          <w:rFonts w:hint="eastAsia" w:hAnsi="宋体" w:cs="宋体"/>
          <w:b/>
          <w:sz w:val="36"/>
        </w:rPr>
      </w:pPr>
      <w:r>
        <w:rPr>
          <w:rFonts w:hint="eastAsia" w:hAnsi="宋体" w:cs="宋体"/>
          <w:b/>
          <w:sz w:val="36"/>
        </w:rPr>
        <w:t>采购需求一览表</w:t>
      </w:r>
    </w:p>
    <w:p w14:paraId="2BCE669B">
      <w:pPr>
        <w:pStyle w:val="36"/>
        <w:ind w:firstLine="462" w:firstLineChars="200"/>
        <w:rPr>
          <w:sz w:val="21"/>
          <w:szCs w:val="21"/>
        </w:rPr>
      </w:pPr>
      <w:r>
        <w:rPr>
          <w:rFonts w:hint="eastAsia" w:ascii="宋体" w:hAnsi="宋体" w:cs="宋体"/>
          <w:b/>
          <w:sz w:val="21"/>
          <w:szCs w:val="21"/>
        </w:rPr>
        <w:t>说明：本采购需求一览表中各参数要求需要全部满足，不允许负偏离，负偏离视为无效响应</w:t>
      </w:r>
      <w:r>
        <w:rPr>
          <w:rFonts w:hint="eastAsia" w:hAnsi="宋体"/>
          <w:b/>
          <w:sz w:val="21"/>
          <w:szCs w:val="21"/>
        </w:rPr>
        <w:t>。</w:t>
      </w:r>
    </w:p>
    <w:tbl>
      <w:tblPr>
        <w:tblStyle w:val="14"/>
        <w:tblW w:w="876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52"/>
        <w:gridCol w:w="863"/>
        <w:gridCol w:w="887"/>
        <w:gridCol w:w="5376"/>
        <w:gridCol w:w="1090"/>
      </w:tblGrid>
      <w:tr w14:paraId="5A08A9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616" w:hRule="atLeast"/>
          <w:jc w:val="center"/>
        </w:trPr>
        <w:tc>
          <w:tcPr>
            <w:tcW w:w="55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747B12FF">
            <w:pPr>
              <w:jc w:val="center"/>
              <w:rPr>
                <w:rFonts w:ascii="宋体" w:hAnsi="宋体"/>
                <w:b/>
                <w:szCs w:val="21"/>
                <w:highlight w:val="none"/>
              </w:rPr>
            </w:pPr>
            <w:r>
              <w:rPr>
                <w:rFonts w:hint="eastAsia" w:ascii="宋体" w:hAnsi="宋体"/>
                <w:b/>
                <w:szCs w:val="21"/>
                <w:highlight w:val="none"/>
              </w:rPr>
              <w:t>项号</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6CD356E2">
            <w:pPr>
              <w:jc w:val="center"/>
              <w:rPr>
                <w:rFonts w:ascii="宋体" w:hAnsi="宋体"/>
                <w:b/>
                <w:szCs w:val="21"/>
                <w:highlight w:val="none"/>
              </w:rPr>
            </w:pPr>
            <w:r>
              <w:rPr>
                <w:rFonts w:hint="eastAsia" w:ascii="宋体" w:hAnsi="宋体"/>
                <w:b/>
                <w:szCs w:val="21"/>
                <w:highlight w:val="none"/>
              </w:rPr>
              <w:t>采购项目名称</w:t>
            </w:r>
          </w:p>
        </w:tc>
        <w:tc>
          <w:tcPr>
            <w:tcW w:w="887" w:type="dxa"/>
            <w:tcBorders>
              <w:top w:val="single" w:color="auto" w:sz="4" w:space="0"/>
              <w:left w:val="single" w:color="auto" w:sz="4" w:space="0"/>
              <w:bottom w:val="single" w:color="auto" w:sz="4" w:space="0"/>
              <w:right w:val="single" w:color="auto" w:sz="4" w:space="0"/>
            </w:tcBorders>
            <w:noWrap w:val="0"/>
            <w:vAlign w:val="center"/>
          </w:tcPr>
          <w:p w14:paraId="4E660561">
            <w:pPr>
              <w:jc w:val="center"/>
              <w:rPr>
                <w:rFonts w:ascii="宋体" w:hAnsi="宋体"/>
                <w:b/>
                <w:szCs w:val="21"/>
                <w:highlight w:val="none"/>
              </w:rPr>
            </w:pPr>
            <w:r>
              <w:rPr>
                <w:rFonts w:hint="eastAsia" w:ascii="宋体" w:hAnsi="宋体"/>
                <w:b/>
                <w:szCs w:val="21"/>
                <w:highlight w:val="none"/>
              </w:rPr>
              <w:t>数量</w:t>
            </w:r>
          </w:p>
        </w:tc>
        <w:tc>
          <w:tcPr>
            <w:tcW w:w="5376" w:type="dxa"/>
            <w:tcBorders>
              <w:top w:val="single" w:color="auto" w:sz="4" w:space="0"/>
              <w:left w:val="single" w:color="auto" w:sz="4" w:space="0"/>
              <w:bottom w:val="single" w:color="auto" w:sz="4" w:space="0"/>
              <w:right w:val="single" w:color="auto" w:sz="4" w:space="0"/>
            </w:tcBorders>
            <w:noWrap w:val="0"/>
            <w:vAlign w:val="center"/>
          </w:tcPr>
          <w:p w14:paraId="6ECC2D6C">
            <w:pPr>
              <w:jc w:val="center"/>
              <w:rPr>
                <w:rFonts w:hint="default" w:ascii="宋体" w:hAnsi="宋体" w:eastAsia="宋体"/>
                <w:b/>
                <w:szCs w:val="21"/>
                <w:highlight w:val="none"/>
                <w:lang w:val="en-US" w:eastAsia="zh-CN"/>
              </w:rPr>
            </w:pPr>
            <w:r>
              <w:rPr>
                <w:rFonts w:hint="eastAsia" w:ascii="宋体" w:hAnsi="宋体"/>
                <w:b/>
                <w:szCs w:val="21"/>
                <w:highlight w:val="none"/>
              </w:rPr>
              <w:t>采购项目的具体内容和要求</w:t>
            </w:r>
          </w:p>
        </w:tc>
        <w:tc>
          <w:tcPr>
            <w:tcW w:w="1090" w:type="dxa"/>
            <w:tcBorders>
              <w:top w:val="single" w:color="auto" w:sz="4" w:space="0"/>
              <w:left w:val="single" w:color="auto" w:sz="4" w:space="0"/>
              <w:bottom w:val="single" w:color="auto" w:sz="4" w:space="0"/>
              <w:right w:val="single" w:color="auto" w:sz="4" w:space="0"/>
            </w:tcBorders>
            <w:noWrap w:val="0"/>
            <w:vAlign w:val="center"/>
          </w:tcPr>
          <w:p w14:paraId="15FD2627">
            <w:pPr>
              <w:jc w:val="center"/>
              <w:rPr>
                <w:rFonts w:ascii="宋体" w:hAnsi="宋体"/>
                <w:b/>
                <w:szCs w:val="21"/>
                <w:highlight w:val="none"/>
              </w:rPr>
            </w:pPr>
            <w:r>
              <w:rPr>
                <w:rFonts w:hint="eastAsia" w:ascii="宋体" w:hAnsi="宋体"/>
                <w:b/>
                <w:szCs w:val="21"/>
                <w:highlight w:val="none"/>
                <w:lang w:val="en-US" w:eastAsia="zh-CN"/>
              </w:rPr>
              <w:t>预算限额</w:t>
            </w:r>
          </w:p>
        </w:tc>
      </w:tr>
      <w:tr w14:paraId="10A4EB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55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15404C05">
            <w:pPr>
              <w:jc w:val="center"/>
              <w:rPr>
                <w:rFonts w:ascii="宋体" w:hAnsi="宋体"/>
                <w:sz w:val="21"/>
                <w:szCs w:val="21"/>
                <w:highlight w:val="none"/>
              </w:rPr>
            </w:pPr>
            <w:r>
              <w:rPr>
                <w:rFonts w:ascii="宋体" w:hAnsi="宋体"/>
                <w:sz w:val="21"/>
                <w:szCs w:val="21"/>
                <w:highlight w:val="none"/>
              </w:rPr>
              <w:t>1</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7D174EAA">
            <w:pPr>
              <w:jc w:val="center"/>
              <w:rPr>
                <w:rFonts w:ascii="宋体" w:hAnsi="宋体"/>
                <w:sz w:val="21"/>
                <w:szCs w:val="21"/>
                <w:highlight w:val="none"/>
              </w:rPr>
            </w:pPr>
            <w:r>
              <w:rPr>
                <w:rFonts w:hint="eastAsia" w:ascii="宋体" w:hAnsi="宋体"/>
                <w:sz w:val="21"/>
                <w:szCs w:val="21"/>
                <w:highlight w:val="none"/>
              </w:rPr>
              <w:t>南宁中心血站</w:t>
            </w:r>
            <w:r>
              <w:rPr>
                <w:rFonts w:hint="eastAsia" w:ascii="宋体" w:hAnsi="宋体"/>
                <w:sz w:val="21"/>
                <w:szCs w:val="21"/>
                <w:highlight w:val="none"/>
                <w:lang w:val="en-US" w:eastAsia="zh-CN"/>
              </w:rPr>
              <w:t>2025年</w:t>
            </w:r>
            <w:r>
              <w:rPr>
                <w:rFonts w:hint="eastAsia" w:ascii="宋体" w:hAnsi="宋体"/>
                <w:sz w:val="21"/>
                <w:szCs w:val="21"/>
                <w:highlight w:val="none"/>
              </w:rPr>
              <w:t>生活垃圾清运服务</w:t>
            </w:r>
          </w:p>
          <w:p w14:paraId="72768AF3">
            <w:pPr>
              <w:jc w:val="center"/>
              <w:rPr>
                <w:rFonts w:ascii="宋体" w:hAnsi="宋体"/>
                <w:sz w:val="21"/>
                <w:szCs w:val="21"/>
                <w:highlight w:val="none"/>
              </w:rPr>
            </w:pPr>
          </w:p>
        </w:tc>
        <w:tc>
          <w:tcPr>
            <w:tcW w:w="887" w:type="dxa"/>
            <w:tcBorders>
              <w:top w:val="single" w:color="auto" w:sz="4" w:space="0"/>
              <w:left w:val="single" w:color="auto" w:sz="4" w:space="0"/>
              <w:bottom w:val="single" w:color="auto" w:sz="4" w:space="0"/>
              <w:right w:val="single" w:color="auto" w:sz="4" w:space="0"/>
            </w:tcBorders>
            <w:noWrap w:val="0"/>
            <w:vAlign w:val="center"/>
          </w:tcPr>
          <w:p w14:paraId="156BCA82">
            <w:pPr>
              <w:jc w:val="center"/>
              <w:rPr>
                <w:rFonts w:ascii="宋体" w:hAnsi="宋体"/>
                <w:sz w:val="21"/>
                <w:szCs w:val="21"/>
                <w:highlight w:val="none"/>
              </w:rPr>
            </w:pPr>
            <w:r>
              <w:rPr>
                <w:rFonts w:hint="eastAsia" w:ascii="宋体" w:hAnsi="宋体"/>
                <w:sz w:val="21"/>
                <w:szCs w:val="21"/>
                <w:highlight w:val="none"/>
              </w:rPr>
              <w:t>1项</w:t>
            </w:r>
          </w:p>
        </w:tc>
        <w:tc>
          <w:tcPr>
            <w:tcW w:w="5376" w:type="dxa"/>
            <w:tcBorders>
              <w:top w:val="single" w:color="auto" w:sz="4" w:space="0"/>
              <w:left w:val="single" w:color="auto" w:sz="4" w:space="0"/>
              <w:bottom w:val="single" w:color="auto" w:sz="4" w:space="0"/>
              <w:right w:val="single" w:color="auto" w:sz="4" w:space="0"/>
            </w:tcBorders>
            <w:noWrap w:val="0"/>
            <w:vAlign w:val="center"/>
          </w:tcPr>
          <w:p w14:paraId="113BDF7A">
            <w:pPr>
              <w:pStyle w:val="3"/>
              <w:tabs>
                <w:tab w:val="left" w:pos="10213"/>
              </w:tabs>
              <w:jc w:val="left"/>
              <w:rPr>
                <w:rFonts w:hint="eastAsia" w:eastAsia="宋体"/>
                <w:sz w:val="21"/>
                <w:szCs w:val="21"/>
                <w:highlight w:val="none"/>
                <w:lang w:eastAsia="zh-CN"/>
              </w:rPr>
            </w:pPr>
            <w:r>
              <w:rPr>
                <w:rFonts w:hint="eastAsia"/>
                <w:sz w:val="21"/>
                <w:szCs w:val="21"/>
                <w:highlight w:val="none"/>
              </w:rPr>
              <w:t>1.服务内容：</w:t>
            </w:r>
            <w:r>
              <w:rPr>
                <w:sz w:val="21"/>
                <w:szCs w:val="21"/>
                <w:highlight w:val="none"/>
              </w:rPr>
              <w:t xml:space="preserve"> 清运南宁中心血站</w:t>
            </w:r>
            <w:r>
              <w:rPr>
                <w:rFonts w:hint="eastAsia"/>
                <w:sz w:val="21"/>
                <w:szCs w:val="21"/>
                <w:highlight w:val="none"/>
                <w:lang w:val="en-US" w:eastAsia="zh-CN"/>
              </w:rPr>
              <w:t>本部</w:t>
            </w:r>
            <w:r>
              <w:rPr>
                <w:sz w:val="21"/>
                <w:szCs w:val="21"/>
                <w:highlight w:val="none"/>
              </w:rPr>
              <w:t>产生</w:t>
            </w:r>
            <w:r>
              <w:rPr>
                <w:rFonts w:hint="eastAsia"/>
                <w:sz w:val="21"/>
                <w:szCs w:val="21"/>
                <w:highlight w:val="none"/>
              </w:rPr>
              <w:t>的所有生活垃圾</w:t>
            </w:r>
            <w:r>
              <w:rPr>
                <w:rFonts w:hint="eastAsia"/>
                <w:sz w:val="21"/>
                <w:szCs w:val="21"/>
                <w:highlight w:val="none"/>
                <w:lang w:eastAsia="zh-CN"/>
              </w:rPr>
              <w:t>。</w:t>
            </w:r>
          </w:p>
          <w:p w14:paraId="29171773">
            <w:pPr>
              <w:pStyle w:val="3"/>
              <w:jc w:val="left"/>
              <w:rPr>
                <w:rFonts w:hint="eastAsia" w:eastAsia="宋体"/>
                <w:sz w:val="21"/>
                <w:szCs w:val="21"/>
                <w:highlight w:val="none"/>
                <w:lang w:eastAsia="zh-CN"/>
              </w:rPr>
            </w:pPr>
            <w:r>
              <w:rPr>
                <w:rFonts w:hint="eastAsia"/>
                <w:sz w:val="21"/>
                <w:szCs w:val="21"/>
                <w:highlight w:val="none"/>
              </w:rPr>
              <w:t>2.服务期限：一年</w:t>
            </w:r>
            <w:r>
              <w:rPr>
                <w:rFonts w:hint="eastAsia"/>
                <w:sz w:val="21"/>
                <w:szCs w:val="21"/>
                <w:highlight w:val="none"/>
                <w:lang w:eastAsia="zh-CN"/>
              </w:rPr>
              <w:t>。</w:t>
            </w:r>
          </w:p>
          <w:p w14:paraId="6E085366">
            <w:pPr>
              <w:pStyle w:val="3"/>
              <w:jc w:val="left"/>
              <w:rPr>
                <w:rFonts w:hint="eastAsia"/>
                <w:sz w:val="21"/>
                <w:szCs w:val="21"/>
                <w:highlight w:val="none"/>
              </w:rPr>
            </w:pPr>
            <w:r>
              <w:rPr>
                <w:rFonts w:hint="eastAsia"/>
                <w:sz w:val="21"/>
                <w:szCs w:val="21"/>
                <w:highlight w:val="none"/>
              </w:rPr>
              <w:t xml:space="preserve">3.服务范围：南宁中心血站（科园大道18号）。 </w:t>
            </w:r>
          </w:p>
          <w:p w14:paraId="6F6E0797">
            <w:pPr>
              <w:pStyle w:val="3"/>
              <w:jc w:val="left"/>
              <w:rPr>
                <w:rFonts w:hint="eastAsia"/>
                <w:sz w:val="21"/>
                <w:szCs w:val="21"/>
                <w:highlight w:val="none"/>
              </w:rPr>
            </w:pPr>
            <w:r>
              <w:rPr>
                <w:rFonts w:hint="eastAsia"/>
                <w:sz w:val="21"/>
                <w:szCs w:val="21"/>
                <w:highlight w:val="none"/>
              </w:rPr>
              <w:t>4.服务价格：</w:t>
            </w:r>
            <w:r>
              <w:rPr>
                <w:sz w:val="21"/>
                <w:szCs w:val="21"/>
                <w:highlight w:val="none"/>
              </w:rPr>
              <w:t>包干价</w:t>
            </w:r>
            <w:r>
              <w:rPr>
                <w:rFonts w:hint="eastAsia"/>
                <w:sz w:val="21"/>
                <w:szCs w:val="21"/>
                <w:highlight w:val="none"/>
              </w:rPr>
              <w:t>。</w:t>
            </w:r>
          </w:p>
          <w:p w14:paraId="656BEE28">
            <w:pPr>
              <w:pStyle w:val="3"/>
              <w:jc w:val="left"/>
              <w:rPr>
                <w:rFonts w:hint="eastAsia"/>
                <w:sz w:val="21"/>
                <w:szCs w:val="21"/>
                <w:highlight w:val="none"/>
              </w:rPr>
            </w:pPr>
            <w:r>
              <w:rPr>
                <w:rFonts w:hint="eastAsia"/>
                <w:sz w:val="21"/>
                <w:szCs w:val="21"/>
                <w:highlight w:val="none"/>
              </w:rPr>
              <w:t>5.服务要求：</w:t>
            </w:r>
          </w:p>
          <w:p w14:paraId="6F52E662">
            <w:pPr>
              <w:pStyle w:val="3"/>
              <w:jc w:val="left"/>
              <w:rPr>
                <w:rFonts w:hint="eastAsia"/>
                <w:sz w:val="21"/>
                <w:szCs w:val="21"/>
                <w:highlight w:val="none"/>
              </w:rPr>
            </w:pPr>
            <w:r>
              <w:rPr>
                <w:rFonts w:hint="eastAsia"/>
                <w:sz w:val="21"/>
                <w:szCs w:val="21"/>
                <w:highlight w:val="none"/>
              </w:rPr>
              <w:t>5.1供应商必须有生活垃圾的处理资质</w:t>
            </w:r>
            <w:r>
              <w:rPr>
                <w:rFonts w:hint="eastAsia"/>
                <w:sz w:val="21"/>
                <w:szCs w:val="21"/>
                <w:highlight w:val="none"/>
                <w:lang w:eastAsia="zh-CN"/>
              </w:rPr>
              <w:t>，</w:t>
            </w:r>
            <w:r>
              <w:rPr>
                <w:rFonts w:hint="eastAsia"/>
                <w:sz w:val="21"/>
                <w:szCs w:val="21"/>
                <w:highlight w:val="none"/>
                <w:lang w:val="en-US" w:eastAsia="zh-CN"/>
              </w:rPr>
              <w:t>响应文件中需提供资质证明材料</w:t>
            </w:r>
            <w:r>
              <w:rPr>
                <w:rFonts w:hint="eastAsia"/>
                <w:sz w:val="21"/>
                <w:szCs w:val="21"/>
                <w:highlight w:val="none"/>
              </w:rPr>
              <w:t>。</w:t>
            </w:r>
          </w:p>
          <w:p w14:paraId="7EEB619D">
            <w:pPr>
              <w:pStyle w:val="3"/>
              <w:jc w:val="left"/>
              <w:rPr>
                <w:rFonts w:hint="default"/>
                <w:sz w:val="21"/>
                <w:szCs w:val="21"/>
                <w:highlight w:val="none"/>
                <w:lang w:val="en-US" w:eastAsia="zh-CN"/>
              </w:rPr>
            </w:pPr>
            <w:r>
              <w:rPr>
                <w:rFonts w:hint="eastAsia"/>
                <w:sz w:val="21"/>
                <w:szCs w:val="21"/>
                <w:highlight w:val="none"/>
              </w:rPr>
              <w:t>5.2供应商必须做到生活垃圾每天清运</w:t>
            </w:r>
            <w:r>
              <w:rPr>
                <w:rFonts w:hint="eastAsia"/>
                <w:sz w:val="21"/>
                <w:szCs w:val="21"/>
                <w:highlight w:val="none"/>
                <w:lang w:val="en-US" w:eastAsia="zh-CN"/>
              </w:rPr>
              <w:t>1</w:t>
            </w:r>
            <w:r>
              <w:rPr>
                <w:rFonts w:hint="eastAsia"/>
                <w:sz w:val="21"/>
                <w:szCs w:val="21"/>
                <w:highlight w:val="none"/>
              </w:rPr>
              <w:t>次。如遇检查、特殊活动，垃圾过多，经双方协商可增加收运次数</w:t>
            </w:r>
            <w:r>
              <w:rPr>
                <w:rFonts w:hint="eastAsia"/>
                <w:sz w:val="21"/>
                <w:szCs w:val="21"/>
                <w:highlight w:val="none"/>
                <w:lang w:eastAsia="zh-CN"/>
              </w:rPr>
              <w:t>（</w:t>
            </w:r>
            <w:r>
              <w:rPr>
                <w:rFonts w:hint="eastAsia"/>
                <w:sz w:val="21"/>
                <w:szCs w:val="21"/>
                <w:highlight w:val="none"/>
                <w:lang w:val="en-US" w:eastAsia="zh-CN"/>
              </w:rPr>
              <w:t>本站每年大约清运垃圾2136桶，（240L/桶）</w:t>
            </w:r>
            <w:r>
              <w:rPr>
                <w:rFonts w:hint="eastAsia"/>
                <w:sz w:val="21"/>
                <w:szCs w:val="21"/>
                <w:highlight w:val="none"/>
                <w:lang w:eastAsia="zh-CN"/>
              </w:rPr>
              <w:t>）</w:t>
            </w:r>
            <w:r>
              <w:rPr>
                <w:rFonts w:hint="eastAsia"/>
                <w:sz w:val="21"/>
                <w:szCs w:val="21"/>
                <w:highlight w:val="none"/>
              </w:rPr>
              <w:t>。</w:t>
            </w:r>
          </w:p>
          <w:p w14:paraId="403E0EB0">
            <w:pPr>
              <w:pStyle w:val="3"/>
              <w:jc w:val="left"/>
              <w:rPr>
                <w:rFonts w:hint="eastAsia"/>
                <w:sz w:val="21"/>
                <w:szCs w:val="21"/>
                <w:highlight w:val="none"/>
              </w:rPr>
            </w:pPr>
            <w:r>
              <w:rPr>
                <w:rFonts w:hint="eastAsia"/>
                <w:sz w:val="21"/>
                <w:szCs w:val="21"/>
                <w:highlight w:val="none"/>
              </w:rPr>
              <w:t>5.3供应商在垃圾清运工作时应做到安全、有序,自觉遵守企业管理制度。</w:t>
            </w:r>
          </w:p>
          <w:p w14:paraId="4C52654D">
            <w:pPr>
              <w:pStyle w:val="3"/>
              <w:jc w:val="left"/>
              <w:rPr>
                <w:rFonts w:hint="eastAsia" w:eastAsia="宋体"/>
                <w:sz w:val="21"/>
                <w:szCs w:val="21"/>
                <w:highlight w:val="none"/>
                <w:lang w:eastAsia="zh-CN"/>
              </w:rPr>
            </w:pPr>
            <w:r>
              <w:rPr>
                <w:rFonts w:hint="eastAsia"/>
                <w:sz w:val="21"/>
                <w:szCs w:val="21"/>
                <w:highlight w:val="none"/>
              </w:rPr>
              <w:t>5.4供应商每次清运后不得有“满桶和漏桶”现象,清运完毕后需将垃圾容器归位至指定位置</w:t>
            </w:r>
            <w:r>
              <w:rPr>
                <w:rFonts w:hint="eastAsia"/>
                <w:sz w:val="21"/>
                <w:szCs w:val="21"/>
                <w:highlight w:val="none"/>
                <w:lang w:eastAsia="zh-CN"/>
              </w:rPr>
              <w:t>。</w:t>
            </w:r>
          </w:p>
          <w:p w14:paraId="6D7BB50D">
            <w:pPr>
              <w:pStyle w:val="3"/>
              <w:jc w:val="left"/>
              <w:rPr>
                <w:rFonts w:hint="eastAsia"/>
                <w:sz w:val="21"/>
                <w:szCs w:val="21"/>
                <w:highlight w:val="none"/>
              </w:rPr>
            </w:pPr>
            <w:r>
              <w:rPr>
                <w:rFonts w:hint="eastAsia"/>
                <w:sz w:val="21"/>
                <w:szCs w:val="21"/>
                <w:highlight w:val="none"/>
              </w:rPr>
              <w:t>5.5供应商在清运垃圾过程中应爱护垃圾容器及其他公用设施。</w:t>
            </w:r>
          </w:p>
          <w:p w14:paraId="27567139">
            <w:pPr>
              <w:pStyle w:val="3"/>
              <w:jc w:val="left"/>
              <w:rPr>
                <w:rFonts w:hint="default" w:eastAsia="宋体"/>
                <w:sz w:val="21"/>
                <w:szCs w:val="21"/>
                <w:highlight w:val="none"/>
                <w:lang w:val="en-US" w:eastAsia="zh-CN"/>
              </w:rPr>
            </w:pPr>
            <w:r>
              <w:rPr>
                <w:rFonts w:hint="eastAsia"/>
                <w:sz w:val="21"/>
                <w:szCs w:val="21"/>
                <w:highlight w:val="none"/>
              </w:rPr>
              <w:t>5.6供应商清运过程中出现“落渣、漏渣” 现象时,须及时将现场处理干净。</w:t>
            </w:r>
          </w:p>
        </w:tc>
        <w:tc>
          <w:tcPr>
            <w:tcW w:w="1090" w:type="dxa"/>
            <w:tcBorders>
              <w:top w:val="single" w:color="auto" w:sz="4" w:space="0"/>
              <w:left w:val="single" w:color="auto" w:sz="4" w:space="0"/>
              <w:bottom w:val="single" w:color="auto" w:sz="4" w:space="0"/>
              <w:right w:val="single" w:color="auto" w:sz="4" w:space="0"/>
            </w:tcBorders>
            <w:noWrap w:val="0"/>
            <w:vAlign w:val="center"/>
          </w:tcPr>
          <w:p w14:paraId="17964515">
            <w:pPr>
              <w:pStyle w:val="3"/>
              <w:jc w:val="left"/>
              <w:rPr>
                <w:sz w:val="21"/>
                <w:szCs w:val="21"/>
                <w:highlight w:val="none"/>
              </w:rPr>
            </w:pPr>
            <w:r>
              <w:rPr>
                <w:rFonts w:hint="eastAsia"/>
                <w:sz w:val="21"/>
                <w:szCs w:val="21"/>
                <w:highlight w:val="none"/>
                <w:lang w:val="en-US" w:eastAsia="zh-CN"/>
              </w:rPr>
              <w:t>26400元</w:t>
            </w:r>
          </w:p>
        </w:tc>
      </w:tr>
      <w:tr w14:paraId="410C4F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5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61A72C6B">
            <w:pPr>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商务条款</w:t>
            </w:r>
          </w:p>
        </w:tc>
        <w:tc>
          <w:tcPr>
            <w:tcW w:w="8216" w:type="dxa"/>
            <w:gridSpan w:val="4"/>
            <w:tcBorders>
              <w:top w:val="single" w:color="auto" w:sz="4" w:space="0"/>
              <w:left w:val="single" w:color="auto" w:sz="4" w:space="0"/>
              <w:bottom w:val="single" w:color="auto" w:sz="4" w:space="0"/>
              <w:right w:val="single" w:color="auto" w:sz="4" w:space="0"/>
            </w:tcBorders>
            <w:noWrap w:val="0"/>
            <w:vAlign w:val="center"/>
          </w:tcPr>
          <w:p w14:paraId="7062ACB2">
            <w:pPr>
              <w:spacing w:line="420" w:lineRule="exac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一、合同签订期:自成交结果公布之日起</w:t>
            </w:r>
            <w:r>
              <w:rPr>
                <w:rFonts w:hint="eastAsia" w:asciiTheme="minorEastAsia" w:hAnsiTheme="minorEastAsia" w:eastAsiaTheme="minorEastAsia" w:cstheme="minorEastAsia"/>
                <w:sz w:val="21"/>
                <w:szCs w:val="21"/>
                <w:highlight w:val="none"/>
                <w:lang w:val="en-US" w:eastAsia="zh-CN"/>
              </w:rPr>
              <w:t>10</w:t>
            </w:r>
            <w:r>
              <w:rPr>
                <w:rFonts w:hint="eastAsia" w:asciiTheme="minorEastAsia" w:hAnsiTheme="minorEastAsia" w:eastAsiaTheme="minorEastAsia" w:cstheme="minorEastAsia"/>
                <w:sz w:val="21"/>
                <w:szCs w:val="21"/>
                <w:highlight w:val="none"/>
              </w:rPr>
              <w:t>个工作日内。</w:t>
            </w:r>
          </w:p>
          <w:p w14:paraId="60287B4D">
            <w:pPr>
              <w:spacing w:line="420" w:lineRule="exac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二、服务期限</w:t>
            </w:r>
          </w:p>
          <w:p w14:paraId="17F6126C">
            <w:pPr>
              <w:spacing w:line="420" w:lineRule="exac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lang w:val="en-US" w:eastAsia="zh-CN"/>
              </w:rPr>
              <w:t xml:space="preserve">1. </w:t>
            </w:r>
            <w:r>
              <w:rPr>
                <w:rFonts w:hint="eastAsia" w:asciiTheme="minorEastAsia" w:hAnsiTheme="minorEastAsia" w:eastAsiaTheme="minorEastAsia" w:cstheme="minorEastAsia"/>
                <w:sz w:val="21"/>
                <w:szCs w:val="21"/>
                <w:highlight w:val="none"/>
                <w:lang w:eastAsia="zh-CN"/>
              </w:rPr>
              <w:t>合同签订之日起一年</w:t>
            </w:r>
            <w:r>
              <w:rPr>
                <w:rFonts w:hint="eastAsia" w:asciiTheme="minorEastAsia" w:hAnsiTheme="minorEastAsia" w:eastAsiaTheme="minorEastAsia" w:cstheme="minorEastAsia"/>
                <w:sz w:val="21"/>
                <w:szCs w:val="21"/>
                <w:highlight w:val="none"/>
              </w:rPr>
              <w:t>。</w:t>
            </w:r>
          </w:p>
          <w:p w14:paraId="57B80E6D">
            <w:pPr>
              <w:spacing w:line="420" w:lineRule="exac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lang w:val="en-US" w:eastAsia="zh-CN"/>
              </w:rPr>
              <w:t>2.</w:t>
            </w:r>
            <w:r>
              <w:rPr>
                <w:rFonts w:hint="eastAsia" w:asciiTheme="minorEastAsia" w:hAnsiTheme="minorEastAsia" w:eastAsiaTheme="minorEastAsia" w:cstheme="minorEastAsia"/>
                <w:color w:val="000000"/>
                <w:sz w:val="21"/>
                <w:szCs w:val="21"/>
              </w:rPr>
              <w:t>合同延续年限、条件和方式：本项目合同履约期到期后，采购人依据本项目的服务履约评价情况及实际需求，在年度预算保障的前提下，</w:t>
            </w:r>
            <w:r>
              <w:rPr>
                <w:rFonts w:hint="eastAsia" w:asciiTheme="minorEastAsia" w:hAnsiTheme="minorEastAsia" w:eastAsiaTheme="minorEastAsia" w:cstheme="minorEastAsia"/>
                <w:color w:val="000000"/>
                <w:sz w:val="21"/>
                <w:szCs w:val="21"/>
                <w:lang w:val="en-US" w:eastAsia="zh-CN"/>
              </w:rPr>
              <w:t>且采购</w:t>
            </w:r>
            <w:r>
              <w:rPr>
                <w:rFonts w:hint="eastAsia" w:asciiTheme="minorEastAsia" w:hAnsiTheme="minorEastAsia" w:eastAsiaTheme="minorEastAsia" w:cstheme="minorEastAsia"/>
                <w:color w:val="000000"/>
                <w:sz w:val="21"/>
                <w:szCs w:val="21"/>
              </w:rPr>
              <w:t>内容（采购需求）相对固定、连续（延续）性强、经费来源稳定、价格变化幅度小的</w:t>
            </w:r>
            <w:r>
              <w:rPr>
                <w:rFonts w:hint="eastAsia" w:asciiTheme="minorEastAsia" w:hAnsiTheme="minorEastAsia" w:eastAsiaTheme="minorEastAsia" w:cstheme="minorEastAsia"/>
                <w:color w:val="000000"/>
                <w:sz w:val="21"/>
                <w:szCs w:val="21"/>
                <w:lang w:val="en-US" w:eastAsia="zh-CN"/>
              </w:rPr>
              <w:t>情况下</w:t>
            </w:r>
            <w:r>
              <w:rPr>
                <w:rFonts w:hint="eastAsia" w:asciiTheme="minorEastAsia" w:hAnsiTheme="minorEastAsia" w:eastAsiaTheme="minorEastAsia" w:cstheme="minorEastAsia"/>
                <w:color w:val="000000"/>
                <w:sz w:val="21"/>
                <w:szCs w:val="21"/>
              </w:rPr>
              <w:t>，可以通过一年一签</w:t>
            </w:r>
            <w:r>
              <w:rPr>
                <w:rFonts w:hint="eastAsia" w:asciiTheme="minorEastAsia" w:hAnsiTheme="minorEastAsia" w:eastAsiaTheme="minorEastAsia" w:cstheme="minorEastAsia"/>
                <w:color w:val="000000"/>
                <w:sz w:val="21"/>
                <w:szCs w:val="21"/>
                <w:lang w:eastAsia="zh-CN"/>
              </w:rPr>
              <w:t>的</w:t>
            </w:r>
            <w:r>
              <w:rPr>
                <w:rFonts w:hint="eastAsia" w:asciiTheme="minorEastAsia" w:hAnsiTheme="minorEastAsia" w:eastAsiaTheme="minorEastAsia" w:cstheme="minorEastAsia"/>
                <w:color w:val="000000"/>
                <w:sz w:val="21"/>
                <w:szCs w:val="21"/>
              </w:rPr>
              <w:t>方式</w:t>
            </w:r>
            <w:r>
              <w:rPr>
                <w:rFonts w:hint="eastAsia" w:asciiTheme="minorEastAsia" w:hAnsiTheme="minorEastAsia" w:eastAsiaTheme="minorEastAsia" w:cstheme="minorEastAsia"/>
                <w:color w:val="000000"/>
                <w:sz w:val="21"/>
                <w:szCs w:val="21"/>
                <w:lang w:val="en-US" w:eastAsia="zh-CN"/>
              </w:rPr>
              <w:t>延续</w:t>
            </w:r>
            <w:r>
              <w:rPr>
                <w:rFonts w:hint="eastAsia" w:asciiTheme="minorEastAsia" w:hAnsiTheme="minorEastAsia" w:eastAsiaTheme="minorEastAsia" w:cstheme="minorEastAsia"/>
                <w:color w:val="000000"/>
                <w:sz w:val="21"/>
                <w:szCs w:val="21"/>
              </w:rPr>
              <w:t>合同，</w:t>
            </w:r>
            <w:r>
              <w:rPr>
                <w:rFonts w:hint="eastAsia" w:asciiTheme="minorEastAsia" w:hAnsiTheme="minorEastAsia" w:eastAsiaTheme="minorEastAsia" w:cstheme="minorEastAsia"/>
                <w:color w:val="000000"/>
                <w:sz w:val="21"/>
                <w:szCs w:val="21"/>
                <w:lang w:val="en-US" w:eastAsia="zh-CN"/>
              </w:rPr>
              <w:t>最终总</w:t>
            </w:r>
            <w:r>
              <w:rPr>
                <w:rFonts w:hint="eastAsia" w:asciiTheme="minorEastAsia" w:hAnsiTheme="minorEastAsia" w:eastAsiaTheme="minorEastAsia" w:cstheme="minorEastAsia"/>
                <w:color w:val="000000"/>
                <w:sz w:val="21"/>
                <w:szCs w:val="21"/>
              </w:rPr>
              <w:t>期限不得超过三年。</w:t>
            </w:r>
          </w:p>
          <w:p w14:paraId="2A893DD1">
            <w:pPr>
              <w:spacing w:line="420" w:lineRule="exac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三、付款方式：成交供应商按照采购服务需求</w:t>
            </w:r>
            <w:r>
              <w:rPr>
                <w:rFonts w:hint="eastAsia" w:asciiTheme="minorEastAsia" w:hAnsiTheme="minorEastAsia" w:eastAsiaTheme="minorEastAsia" w:cstheme="minorEastAsia"/>
                <w:sz w:val="21"/>
                <w:szCs w:val="21"/>
                <w:highlight w:val="none"/>
                <w:lang w:val="en-US" w:eastAsia="zh-CN"/>
              </w:rPr>
              <w:t>完成清运</w:t>
            </w:r>
            <w:r>
              <w:rPr>
                <w:rFonts w:hint="eastAsia" w:asciiTheme="minorEastAsia" w:hAnsiTheme="minorEastAsia" w:eastAsiaTheme="minorEastAsia" w:cstheme="minorEastAsia"/>
                <w:sz w:val="21"/>
                <w:szCs w:val="21"/>
                <w:highlight w:val="none"/>
              </w:rPr>
              <w:t>服务的，</w:t>
            </w:r>
            <w:r>
              <w:rPr>
                <w:rFonts w:hint="eastAsia" w:asciiTheme="minorEastAsia" w:hAnsiTheme="minorEastAsia" w:eastAsiaTheme="minorEastAsia" w:cstheme="minorEastAsia"/>
                <w:sz w:val="21"/>
                <w:szCs w:val="21"/>
                <w:highlight w:val="none"/>
                <w:lang w:eastAsia="zh-CN"/>
              </w:rPr>
              <w:t>经采购人验收合格的</w:t>
            </w:r>
            <w:r>
              <w:rPr>
                <w:rFonts w:hint="eastAsia" w:asciiTheme="minorEastAsia" w:hAnsiTheme="minorEastAsia" w:eastAsiaTheme="minorEastAsia" w:cstheme="minorEastAsia"/>
                <w:sz w:val="21"/>
                <w:szCs w:val="21"/>
                <w:highlight w:val="none"/>
              </w:rPr>
              <w:t>采购人每半年支付相应合同款</w:t>
            </w:r>
            <w:r>
              <w:rPr>
                <w:rFonts w:hint="eastAsia" w:asciiTheme="minorEastAsia" w:hAnsiTheme="minorEastAsia" w:eastAsiaTheme="minorEastAsia" w:cstheme="minorEastAsia"/>
                <w:sz w:val="21"/>
                <w:szCs w:val="21"/>
                <w:highlight w:val="none"/>
                <w:lang w:eastAsia="zh-CN"/>
              </w:rPr>
              <w:t>（</w:t>
            </w:r>
            <w:r>
              <w:rPr>
                <w:rFonts w:hint="eastAsia" w:asciiTheme="minorEastAsia" w:hAnsiTheme="minorEastAsia" w:eastAsiaTheme="minorEastAsia" w:cstheme="minorEastAsia"/>
                <w:sz w:val="21"/>
                <w:szCs w:val="21"/>
                <w:highlight w:val="none"/>
                <w:lang w:val="en-US" w:eastAsia="zh-CN"/>
              </w:rPr>
              <w:t>即</w:t>
            </w:r>
            <w:r>
              <w:rPr>
                <w:rFonts w:hint="eastAsia" w:asciiTheme="minorEastAsia" w:hAnsiTheme="minorEastAsia" w:eastAsiaTheme="minorEastAsia" w:cstheme="minorEastAsia"/>
                <w:sz w:val="21"/>
                <w:szCs w:val="21"/>
                <w:highlight w:val="none"/>
              </w:rPr>
              <w:t>6月30日、12月30日前支付服务费用</w:t>
            </w:r>
            <w:r>
              <w:rPr>
                <w:rFonts w:hint="eastAsia" w:asciiTheme="minorEastAsia" w:hAnsiTheme="minorEastAsia" w:eastAsiaTheme="minorEastAsia" w:cstheme="minorEastAsia"/>
                <w:sz w:val="21"/>
                <w:szCs w:val="21"/>
                <w:highlight w:val="none"/>
                <w:lang w:eastAsia="zh-CN"/>
              </w:rPr>
              <w:t>）</w:t>
            </w:r>
            <w:r>
              <w:rPr>
                <w:rFonts w:hint="eastAsia" w:asciiTheme="minorEastAsia" w:hAnsiTheme="minorEastAsia" w:eastAsiaTheme="minorEastAsia" w:cstheme="minorEastAsia"/>
                <w:sz w:val="21"/>
                <w:szCs w:val="21"/>
                <w:highlight w:val="none"/>
              </w:rPr>
              <w:t>。每次付款前成交供应商应开具对应金额发票并送达采购人处。</w:t>
            </w:r>
          </w:p>
          <w:p w14:paraId="125D6103">
            <w:pPr>
              <w:spacing w:line="420" w:lineRule="exac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lang w:val="en-US" w:eastAsia="zh-CN"/>
              </w:rPr>
              <w:t>四</w:t>
            </w:r>
            <w:r>
              <w:rPr>
                <w:rFonts w:hint="eastAsia" w:asciiTheme="minorEastAsia" w:hAnsiTheme="minorEastAsia" w:eastAsiaTheme="minorEastAsia" w:cstheme="minorEastAsia"/>
                <w:sz w:val="21"/>
                <w:szCs w:val="21"/>
                <w:highlight w:val="none"/>
              </w:rPr>
              <w:t>、服务地点：南宁市科园大道18号</w:t>
            </w:r>
            <w:r>
              <w:rPr>
                <w:rFonts w:hint="eastAsia" w:asciiTheme="minorEastAsia" w:hAnsiTheme="minorEastAsia" w:eastAsiaTheme="minorEastAsia" w:cstheme="minorEastAsia"/>
                <w:sz w:val="21"/>
                <w:szCs w:val="21"/>
                <w:highlight w:val="none"/>
                <w:lang w:val="en-US" w:eastAsia="zh-CN"/>
              </w:rPr>
              <w:t>南宁中心血站</w:t>
            </w:r>
            <w:r>
              <w:rPr>
                <w:rFonts w:hint="eastAsia" w:asciiTheme="minorEastAsia" w:hAnsiTheme="minorEastAsia" w:eastAsiaTheme="minorEastAsia" w:cstheme="minorEastAsia"/>
                <w:sz w:val="21"/>
                <w:szCs w:val="21"/>
                <w:highlight w:val="none"/>
              </w:rPr>
              <w:t>。</w:t>
            </w:r>
          </w:p>
          <w:p w14:paraId="0A58F5D4">
            <w:pPr>
              <w:spacing w:line="420" w:lineRule="exac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lang w:val="en-US" w:eastAsia="zh-CN"/>
              </w:rPr>
              <w:t>五</w:t>
            </w:r>
            <w:r>
              <w:rPr>
                <w:rFonts w:hint="eastAsia" w:asciiTheme="minorEastAsia" w:hAnsiTheme="minorEastAsia" w:eastAsiaTheme="minorEastAsia" w:cstheme="minorEastAsia"/>
                <w:sz w:val="21"/>
                <w:szCs w:val="21"/>
                <w:highlight w:val="none"/>
              </w:rPr>
              <w:t>、其他要求：</w:t>
            </w:r>
          </w:p>
          <w:p w14:paraId="33F33C4A">
            <w:pPr>
              <w:spacing w:line="420" w:lineRule="exac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1、报价必须含以下部分，包括：</w:t>
            </w:r>
          </w:p>
          <w:p w14:paraId="4D494838">
            <w:pPr>
              <w:spacing w:line="420" w:lineRule="exac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（1）服务的价格；</w:t>
            </w:r>
          </w:p>
          <w:p w14:paraId="0EE78710">
            <w:pPr>
              <w:spacing w:line="420" w:lineRule="exac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（2）必要的保险费用和各项税金；</w:t>
            </w:r>
          </w:p>
          <w:p w14:paraId="091B913B">
            <w:pPr>
              <w:spacing w:line="420" w:lineRule="exact"/>
              <w:rPr>
                <w:rFonts w:hint="eastAsia" w:asciiTheme="minorEastAsia" w:hAnsiTheme="minorEastAsia" w:eastAsiaTheme="minorEastAsia" w:cstheme="minorEastAsia"/>
                <w:sz w:val="21"/>
                <w:szCs w:val="21"/>
                <w:highlight w:val="none"/>
                <w:lang w:eastAsia="zh-CN"/>
              </w:rPr>
            </w:pPr>
            <w:r>
              <w:rPr>
                <w:rFonts w:hint="eastAsia" w:asciiTheme="minorEastAsia" w:hAnsiTheme="minorEastAsia" w:eastAsiaTheme="minorEastAsia" w:cstheme="minorEastAsia"/>
                <w:sz w:val="21"/>
                <w:szCs w:val="21"/>
                <w:highlight w:val="none"/>
              </w:rPr>
              <w:t>（3）</w:t>
            </w:r>
            <w:r>
              <w:rPr>
                <w:rFonts w:hint="eastAsia" w:asciiTheme="minorEastAsia" w:hAnsiTheme="minorEastAsia" w:eastAsiaTheme="minorEastAsia" w:cstheme="minorEastAsia"/>
                <w:sz w:val="21"/>
                <w:szCs w:val="21"/>
                <w:highlight w:val="none"/>
                <w:lang w:val="en-US" w:eastAsia="zh-CN"/>
              </w:rPr>
              <w:t>其他如</w:t>
            </w:r>
            <w:r>
              <w:rPr>
                <w:rFonts w:hint="eastAsia" w:asciiTheme="minorEastAsia" w:hAnsiTheme="minorEastAsia" w:eastAsiaTheme="minorEastAsia" w:cstheme="minorEastAsia"/>
                <w:sz w:val="21"/>
                <w:szCs w:val="21"/>
                <w:highlight w:val="none"/>
              </w:rPr>
              <w:t>完成本项目服务所需的人工、设备配置、利润和税金等所有费用。</w:t>
            </w:r>
          </w:p>
          <w:p w14:paraId="68DC8512">
            <w:pPr>
              <w:spacing w:line="420" w:lineRule="exac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2、供应商应具备履行合同所必须的设备和专业技术能力。</w:t>
            </w:r>
          </w:p>
          <w:p w14:paraId="1EFBCF50">
            <w:pPr>
              <w:spacing w:line="420" w:lineRule="exac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3、服务过程中，如发现服务成果与需求不符的，经采购人三次提醒后成交供应商未能改正的，采购人有权解除采购合同，对采购人造成损失的成交供应商赔偿全部损失。</w:t>
            </w:r>
          </w:p>
        </w:tc>
      </w:tr>
    </w:tbl>
    <w:p w14:paraId="0A2152D0">
      <w:pPr>
        <w:pStyle w:val="7"/>
        <w:spacing w:line="500" w:lineRule="exact"/>
        <w:jc w:val="left"/>
        <w:rPr>
          <w:rFonts w:hint="eastAsia" w:asciiTheme="minorEastAsia" w:hAnsiTheme="minorEastAsia" w:eastAsiaTheme="minorEastAsia" w:cstheme="minorEastAsia"/>
          <w:color w:val="auto"/>
          <w:sz w:val="21"/>
          <w:szCs w:val="21"/>
        </w:rPr>
      </w:pPr>
    </w:p>
    <w:p w14:paraId="31857004">
      <w:pPr>
        <w:pStyle w:val="4"/>
        <w:numPr>
          <w:ilvl w:val="3"/>
          <w:numId w:val="0"/>
        </w:numPr>
        <w:ind w:left="1077" w:leftChars="0"/>
        <w:rPr>
          <w:rFonts w:hint="eastAsia"/>
        </w:rPr>
      </w:pPr>
    </w:p>
    <w:p w14:paraId="209C3DE3">
      <w:pPr>
        <w:rPr>
          <w:rFonts w:hint="eastAsia" w:ascii="仿宋" w:hAnsi="仿宋" w:eastAsia="仿宋"/>
          <w:color w:val="auto"/>
          <w:sz w:val="30"/>
          <w:szCs w:val="30"/>
        </w:rPr>
      </w:pPr>
    </w:p>
    <w:p w14:paraId="5FC3EC2C">
      <w:pPr>
        <w:pStyle w:val="2"/>
        <w:rPr>
          <w:rFonts w:hint="eastAsia" w:ascii="仿宋" w:hAnsi="仿宋" w:eastAsia="仿宋"/>
          <w:color w:val="auto"/>
          <w:sz w:val="30"/>
          <w:szCs w:val="30"/>
        </w:rPr>
      </w:pPr>
    </w:p>
    <w:p w14:paraId="3A36C108">
      <w:pPr>
        <w:pStyle w:val="2"/>
        <w:rPr>
          <w:rFonts w:hint="eastAsia" w:ascii="仿宋" w:hAnsi="仿宋" w:eastAsia="仿宋"/>
          <w:color w:val="auto"/>
          <w:sz w:val="30"/>
          <w:szCs w:val="30"/>
        </w:rPr>
      </w:pPr>
    </w:p>
    <w:p w14:paraId="731100E7">
      <w:pPr>
        <w:pStyle w:val="2"/>
        <w:rPr>
          <w:rFonts w:hint="eastAsia" w:ascii="仿宋" w:hAnsi="仿宋" w:eastAsia="仿宋"/>
          <w:color w:val="auto"/>
          <w:sz w:val="30"/>
          <w:szCs w:val="30"/>
        </w:rPr>
      </w:pPr>
    </w:p>
    <w:p w14:paraId="1983EA58">
      <w:pPr>
        <w:pStyle w:val="4"/>
        <w:numPr>
          <w:ilvl w:val="3"/>
          <w:numId w:val="0"/>
        </w:numPr>
        <w:rPr>
          <w:rFonts w:hint="eastAsia"/>
        </w:rPr>
      </w:pPr>
    </w:p>
    <w:p w14:paraId="4B4AB187">
      <w:pPr>
        <w:rPr>
          <w:rFonts w:hint="eastAsia"/>
        </w:rPr>
      </w:pPr>
    </w:p>
    <w:p w14:paraId="32FCF847">
      <w:pPr>
        <w:pStyle w:val="2"/>
        <w:rPr>
          <w:rFonts w:hint="eastAsia"/>
        </w:rPr>
      </w:pPr>
    </w:p>
    <w:p w14:paraId="34C7292E">
      <w:pPr>
        <w:pStyle w:val="7"/>
        <w:spacing w:line="500" w:lineRule="exact"/>
        <w:jc w:val="left"/>
        <w:rPr>
          <w:rFonts w:hint="eastAsia" w:ascii="仿宋" w:hAnsi="仿宋" w:eastAsia="仿宋"/>
          <w:color w:val="auto"/>
          <w:sz w:val="30"/>
          <w:szCs w:val="30"/>
        </w:rPr>
      </w:pPr>
      <w:r>
        <w:rPr>
          <w:rFonts w:hint="eastAsia" w:ascii="仿宋" w:hAnsi="仿宋" w:eastAsia="仿宋"/>
          <w:color w:val="auto"/>
          <w:sz w:val="30"/>
          <w:szCs w:val="30"/>
        </w:rPr>
        <w:t>附件2</w:t>
      </w:r>
    </w:p>
    <w:p w14:paraId="6CF2A9E5">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7"/>
        <w:spacing w:line="360" w:lineRule="auto"/>
        <w:jc w:val="left"/>
        <w:rPr>
          <w:rFonts w:hAnsi="宋体"/>
          <w:bCs/>
          <w:color w:val="auto"/>
          <w:szCs w:val="21"/>
        </w:rPr>
      </w:pPr>
    </w:p>
    <w:p w14:paraId="714DE6D6">
      <w:pPr>
        <w:pStyle w:val="7"/>
        <w:spacing w:line="360" w:lineRule="auto"/>
        <w:jc w:val="left"/>
        <w:rPr>
          <w:rFonts w:hAnsi="宋体"/>
          <w:bCs/>
          <w:color w:val="auto"/>
          <w:szCs w:val="21"/>
        </w:rPr>
      </w:pPr>
      <w:r>
        <w:rPr>
          <w:rFonts w:hint="eastAsia" w:hAnsi="宋体"/>
          <w:bCs/>
          <w:color w:val="auto"/>
          <w:szCs w:val="21"/>
        </w:rPr>
        <w:t>南宁中心血站：</w:t>
      </w:r>
    </w:p>
    <w:p w14:paraId="57622425">
      <w:pPr>
        <w:pStyle w:val="4"/>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南宁中心血站</w:t>
      </w:r>
      <w:r>
        <w:rPr>
          <w:rFonts w:hint="eastAsia" w:asciiTheme="minorEastAsia" w:hAnsiTheme="minorEastAsia" w:eastAsiaTheme="minorEastAsia"/>
          <w:color w:val="auto"/>
          <w:sz w:val="21"/>
          <w:szCs w:val="21"/>
          <w:u w:val="single"/>
          <w:lang w:val="en-US" w:eastAsia="zh-CN"/>
        </w:rPr>
        <w:t>2025年</w:t>
      </w:r>
      <w:r>
        <w:rPr>
          <w:rFonts w:hint="eastAsia" w:asciiTheme="minorEastAsia" w:hAnsiTheme="minorEastAsia" w:eastAsiaTheme="minorEastAsia"/>
          <w:color w:val="auto"/>
          <w:sz w:val="21"/>
          <w:szCs w:val="21"/>
          <w:u w:val="single"/>
        </w:rPr>
        <w:t xml:space="preserve">生活垃圾清运服务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2"/>
        <w:spacing w:line="360" w:lineRule="auto"/>
        <w:ind w:firstLineChars="200"/>
        <w:rPr>
          <w:color w:val="auto"/>
        </w:rPr>
      </w:pPr>
      <w:r>
        <w:rPr>
          <w:rFonts w:hint="eastAsia"/>
          <w:color w:val="auto"/>
        </w:rPr>
        <w:t>我方对委托代理人的签字事项负全部责任。</w:t>
      </w:r>
    </w:p>
    <w:p w14:paraId="4156E484">
      <w:pPr>
        <w:pStyle w:val="2"/>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2"/>
        <w:spacing w:line="360" w:lineRule="auto"/>
        <w:ind w:firstLineChars="200"/>
        <w:rPr>
          <w:color w:val="auto"/>
        </w:rPr>
      </w:pPr>
      <w:r>
        <w:rPr>
          <w:rFonts w:hint="eastAsia"/>
          <w:color w:val="auto"/>
        </w:rPr>
        <w:t>委托代理人无转委托权，特此委托。</w:t>
      </w:r>
    </w:p>
    <w:p w14:paraId="4AAACB6B">
      <w:pPr>
        <w:pStyle w:val="2"/>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2"/>
        <w:spacing w:line="360" w:lineRule="auto"/>
        <w:ind w:firstLineChars="200"/>
        <w:rPr>
          <w:color w:val="auto"/>
        </w:rPr>
      </w:pPr>
    </w:p>
    <w:p w14:paraId="06C42395">
      <w:pPr>
        <w:pStyle w:val="2"/>
        <w:ind w:firstLineChars="200"/>
        <w:rPr>
          <w:color w:val="auto"/>
        </w:rPr>
      </w:pPr>
    </w:p>
    <w:p w14:paraId="310B8657">
      <w:pPr>
        <w:pStyle w:val="2"/>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2"/>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2"/>
        <w:ind w:firstLineChars="200"/>
        <w:rPr>
          <w:rFonts w:hint="default" w:eastAsiaTheme="minorEastAsia"/>
          <w:color w:val="auto"/>
          <w:lang w:val="en-US" w:eastAsia="zh-CN"/>
        </w:rPr>
      </w:pPr>
    </w:p>
    <w:p w14:paraId="26ABD9C4">
      <w:pPr>
        <w:pStyle w:val="2"/>
        <w:ind w:firstLineChars="200"/>
        <w:rPr>
          <w:color w:val="auto"/>
        </w:rPr>
      </w:pPr>
    </w:p>
    <w:p w14:paraId="1A155D87">
      <w:pPr>
        <w:pStyle w:val="2"/>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2"/>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6FE76B44">
      <w:pPr>
        <w:rPr>
          <w:rFonts w:hint="eastAsia"/>
          <w:color w:val="auto"/>
        </w:rPr>
      </w:pPr>
      <w:r>
        <w:rPr>
          <w:rFonts w:hint="eastAsia"/>
          <w:color w:val="auto"/>
        </w:rPr>
        <w:t>3. 法人、其他组织竞标时“我方”是指“我单位”，自然人竞标时“我方”是指“本人”。</w:t>
      </w:r>
    </w:p>
    <w:p w14:paraId="7EAB60E8">
      <w:pPr>
        <w:snapToGrid w:val="0"/>
        <w:spacing w:before="156" w:beforeLines="50" w:after="50" w:line="400" w:lineRule="exact"/>
        <w:jc w:val="left"/>
        <w:rPr>
          <w:rFonts w:hint="eastAsia" w:ascii="仿宋" w:hAnsi="仿宋" w:eastAsia="仿宋"/>
          <w:color w:val="auto"/>
          <w:sz w:val="30"/>
          <w:szCs w:val="30"/>
        </w:rPr>
      </w:pP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4"/>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7"/>
        <w:spacing w:line="500" w:lineRule="exact"/>
        <w:jc w:val="left"/>
        <w:rPr>
          <w:rFonts w:hint="eastAsia" w:hAnsi="宋体" w:eastAsiaTheme="minorEastAsia"/>
          <w:b/>
          <w:bCs/>
          <w:sz w:val="30"/>
          <w:szCs w:val="30"/>
          <w:lang w:val="en-US" w:eastAsia="zh-CN"/>
        </w:rPr>
      </w:pPr>
    </w:p>
    <w:p w14:paraId="59118329">
      <w:pPr>
        <w:pStyle w:val="4"/>
        <w:numPr>
          <w:ilvl w:val="3"/>
          <w:numId w:val="0"/>
        </w:numPr>
        <w:ind w:left="1077" w:leftChars="0"/>
        <w:rPr>
          <w:rFonts w:hint="eastAsia"/>
          <w:lang w:val="en-US" w:eastAsia="zh-CN"/>
        </w:rPr>
      </w:pPr>
    </w:p>
    <w:p w14:paraId="6C99CB0C">
      <w:pPr>
        <w:pStyle w:val="7"/>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4"/>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5A3A51EB">
      <w:pPr>
        <w:pStyle w:val="3"/>
      </w:pPr>
    </w:p>
    <w:p w14:paraId="54CA0204">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5F36B736">
      <w:pPr>
        <w:pStyle w:val="4"/>
        <w:numPr>
          <w:ilvl w:val="3"/>
          <w:numId w:val="0"/>
        </w:numPr>
        <w:jc w:val="center"/>
        <w:rPr>
          <w:rFonts w:hint="eastAsia"/>
          <w:color w:val="auto"/>
          <w:sz w:val="32"/>
          <w:szCs w:val="32"/>
        </w:rPr>
      </w:pPr>
      <w:r>
        <w:rPr>
          <w:rFonts w:hint="eastAsia"/>
          <w:color w:val="auto"/>
          <w:sz w:val="32"/>
          <w:szCs w:val="32"/>
        </w:rPr>
        <w:t>报价表</w:t>
      </w:r>
    </w:p>
    <w:tbl>
      <w:tblPr>
        <w:tblStyle w:val="15"/>
        <w:tblpPr w:leftFromText="180" w:rightFromText="180" w:vertAnchor="text" w:horzAnchor="page" w:tblpXSpec="center" w:tblpY="297"/>
        <w:tblOverlap w:val="never"/>
        <w:tblW w:w="87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801"/>
        <w:gridCol w:w="2150"/>
        <w:gridCol w:w="1826"/>
        <w:gridCol w:w="1500"/>
        <w:gridCol w:w="836"/>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7"/>
              <w:jc w:val="center"/>
              <w:rPr>
                <w:rFonts w:ascii="宋体" w:hAnsi="宋体" w:eastAsia="宋体" w:cs="宋体"/>
                <w:kern w:val="0"/>
                <w:sz w:val="20"/>
                <w:szCs w:val="21"/>
              </w:rPr>
            </w:pPr>
            <w:r>
              <w:rPr>
                <w:rFonts w:hint="eastAsia" w:ascii="宋体" w:hAnsi="宋体" w:eastAsia="宋体" w:cs="宋体"/>
                <w:kern w:val="0"/>
                <w:sz w:val="20"/>
                <w:szCs w:val="21"/>
              </w:rPr>
              <w:t>项号</w:t>
            </w:r>
          </w:p>
        </w:tc>
        <w:tc>
          <w:tcPr>
            <w:tcW w:w="1801" w:type="dxa"/>
            <w:noWrap w:val="0"/>
            <w:vAlign w:val="center"/>
          </w:tcPr>
          <w:p w14:paraId="7873B19F">
            <w:pPr>
              <w:pStyle w:val="7"/>
              <w:jc w:val="center"/>
              <w:rPr>
                <w:rFonts w:hint="eastAsia" w:ascii="宋体" w:hAnsi="宋体" w:eastAsia="宋体" w:cs="宋体"/>
                <w:kern w:val="0"/>
                <w:sz w:val="20"/>
                <w:szCs w:val="21"/>
                <w:lang w:val="en-US" w:eastAsia="zh-CN"/>
              </w:rPr>
            </w:pPr>
            <w:r>
              <w:rPr>
                <w:rFonts w:hint="eastAsia" w:hAnsi="宋体" w:cs="宋体"/>
                <w:kern w:val="0"/>
                <w:sz w:val="20"/>
                <w:szCs w:val="21"/>
                <w:lang w:val="en-US" w:eastAsia="zh-CN"/>
              </w:rPr>
              <w:t>名称</w:t>
            </w:r>
          </w:p>
        </w:tc>
        <w:tc>
          <w:tcPr>
            <w:tcW w:w="2150" w:type="dxa"/>
            <w:noWrap w:val="0"/>
            <w:vAlign w:val="center"/>
          </w:tcPr>
          <w:p w14:paraId="5E2F59C3">
            <w:pPr>
              <w:pStyle w:val="7"/>
              <w:jc w:val="center"/>
              <w:rPr>
                <w:rFonts w:ascii="宋体" w:hAnsi="宋体" w:eastAsia="宋体" w:cs="宋体"/>
                <w:kern w:val="0"/>
                <w:sz w:val="20"/>
                <w:szCs w:val="21"/>
              </w:rPr>
            </w:pPr>
            <w:r>
              <w:rPr>
                <w:rFonts w:hint="eastAsia" w:ascii="宋体" w:hAnsi="宋体" w:eastAsia="宋体" w:cs="宋体"/>
                <w:kern w:val="0"/>
                <w:sz w:val="20"/>
                <w:szCs w:val="21"/>
              </w:rPr>
              <w:t>数量（</w:t>
            </w:r>
            <w:r>
              <w:rPr>
                <w:rFonts w:hint="eastAsia" w:hAnsi="宋体" w:cs="宋体"/>
                <w:kern w:val="0"/>
                <w:sz w:val="20"/>
                <w:szCs w:val="21"/>
                <w:lang w:val="en-US" w:eastAsia="zh-CN"/>
              </w:rPr>
              <w:t>项</w:t>
            </w:r>
            <w:r>
              <w:rPr>
                <w:rFonts w:hint="eastAsia" w:ascii="宋体" w:hAnsi="宋体" w:eastAsia="宋体" w:cs="宋体"/>
                <w:kern w:val="0"/>
                <w:sz w:val="20"/>
                <w:szCs w:val="21"/>
              </w:rPr>
              <w:t>）①</w:t>
            </w:r>
          </w:p>
        </w:tc>
        <w:tc>
          <w:tcPr>
            <w:tcW w:w="1826" w:type="dxa"/>
            <w:noWrap w:val="0"/>
            <w:vAlign w:val="center"/>
          </w:tcPr>
          <w:p w14:paraId="7CAF3CE1">
            <w:pPr>
              <w:pStyle w:val="7"/>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单价（元）</w:t>
            </w:r>
          </w:p>
          <w:p w14:paraId="2EF4B3DB">
            <w:pPr>
              <w:pStyle w:val="7"/>
              <w:jc w:val="center"/>
              <w:rPr>
                <w:rFonts w:hint="default" w:ascii="宋体" w:hAnsi="宋体" w:eastAsia="宋体" w:cs="宋体"/>
                <w:kern w:val="0"/>
                <w:sz w:val="20"/>
                <w:szCs w:val="21"/>
                <w:lang w:val="en-US" w:eastAsia="zh-CN"/>
              </w:rPr>
            </w:pPr>
            <w:r>
              <w:rPr>
                <w:rFonts w:hint="eastAsia" w:asciiTheme="minorEastAsia" w:hAnsiTheme="minorEastAsia" w:cstheme="minorEastAsia"/>
                <w:kern w:val="0"/>
                <w:sz w:val="20"/>
                <w:szCs w:val="21"/>
              </w:rPr>
              <w:t>②</w:t>
            </w:r>
          </w:p>
        </w:tc>
        <w:tc>
          <w:tcPr>
            <w:tcW w:w="1500" w:type="dxa"/>
            <w:noWrap w:val="0"/>
            <w:vAlign w:val="center"/>
          </w:tcPr>
          <w:p w14:paraId="72993DF1">
            <w:pPr>
              <w:pStyle w:val="7"/>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 xml:space="preserve">单项合价  </w:t>
            </w:r>
          </w:p>
          <w:p w14:paraId="5EF0A315">
            <w:pPr>
              <w:pStyle w:val="7"/>
              <w:jc w:val="center"/>
              <w:rPr>
                <w:rFonts w:hint="default" w:ascii="宋体" w:hAnsi="宋体" w:eastAsia="宋体" w:cs="宋体"/>
                <w:kern w:val="0"/>
                <w:sz w:val="20"/>
                <w:szCs w:val="21"/>
                <w:lang w:val="en-US" w:eastAsia="zh-CN"/>
              </w:rPr>
            </w:pPr>
            <w:r>
              <w:rPr>
                <w:rFonts w:hint="eastAsia" w:asciiTheme="minorEastAsia" w:hAnsiTheme="minorEastAsia" w:cstheme="minorEastAsia"/>
                <w:kern w:val="0"/>
                <w:sz w:val="20"/>
                <w:szCs w:val="21"/>
              </w:rPr>
              <w:t>③=①×②</w:t>
            </w:r>
          </w:p>
        </w:tc>
        <w:tc>
          <w:tcPr>
            <w:tcW w:w="836" w:type="dxa"/>
            <w:noWrap w:val="0"/>
            <w:vAlign w:val="center"/>
          </w:tcPr>
          <w:p w14:paraId="0030BA9E">
            <w:pPr>
              <w:pStyle w:val="7"/>
              <w:jc w:val="center"/>
              <w:rPr>
                <w:rFonts w:ascii="宋体" w:hAnsi="宋体" w:eastAsia="宋体" w:cs="宋体"/>
                <w:kern w:val="0"/>
                <w:sz w:val="20"/>
                <w:szCs w:val="21"/>
              </w:rPr>
            </w:pPr>
            <w:r>
              <w:rPr>
                <w:rFonts w:hint="eastAsia" w:ascii="宋体" w:hAnsi="宋体" w:eastAsia="宋体" w:cs="宋体"/>
                <w:kern w:val="0"/>
                <w:sz w:val="20"/>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75" w:type="dxa"/>
            <w:noWrap w:val="0"/>
            <w:vAlign w:val="center"/>
          </w:tcPr>
          <w:p w14:paraId="605BCA8A">
            <w:pPr>
              <w:pStyle w:val="7"/>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w:t>
            </w:r>
          </w:p>
        </w:tc>
        <w:tc>
          <w:tcPr>
            <w:tcW w:w="1801" w:type="dxa"/>
            <w:noWrap w:val="0"/>
            <w:vAlign w:val="center"/>
          </w:tcPr>
          <w:p w14:paraId="3B53E540">
            <w:pPr>
              <w:jc w:val="center"/>
              <w:rPr>
                <w:rFonts w:ascii="宋体" w:hAnsi="宋体" w:eastAsia="宋体" w:cs="宋体"/>
                <w:kern w:val="0"/>
                <w:sz w:val="20"/>
                <w:szCs w:val="21"/>
              </w:rPr>
            </w:pPr>
            <w:r>
              <w:rPr>
                <w:rFonts w:hint="eastAsia" w:ascii="宋体" w:hAnsi="宋体"/>
                <w:szCs w:val="21"/>
                <w:highlight w:val="none"/>
              </w:rPr>
              <w:t>南宁中心血站</w:t>
            </w:r>
            <w:r>
              <w:rPr>
                <w:rFonts w:hint="eastAsia" w:ascii="宋体" w:hAnsi="宋体"/>
                <w:szCs w:val="21"/>
                <w:highlight w:val="none"/>
                <w:lang w:val="en-US" w:eastAsia="zh-CN"/>
              </w:rPr>
              <w:t>2025年</w:t>
            </w:r>
            <w:r>
              <w:rPr>
                <w:rFonts w:hint="eastAsia" w:ascii="宋体" w:hAnsi="宋体"/>
                <w:szCs w:val="21"/>
                <w:highlight w:val="none"/>
              </w:rPr>
              <w:t>生活垃圾清运服务</w:t>
            </w:r>
          </w:p>
        </w:tc>
        <w:tc>
          <w:tcPr>
            <w:tcW w:w="2150" w:type="dxa"/>
            <w:noWrap w:val="0"/>
            <w:vAlign w:val="center"/>
          </w:tcPr>
          <w:p w14:paraId="545DEFD9">
            <w:pPr>
              <w:pStyle w:val="7"/>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1项</w:t>
            </w:r>
          </w:p>
        </w:tc>
        <w:tc>
          <w:tcPr>
            <w:tcW w:w="1826" w:type="dxa"/>
            <w:noWrap w:val="0"/>
            <w:vAlign w:val="center"/>
          </w:tcPr>
          <w:p w14:paraId="4854383B">
            <w:pPr>
              <w:pStyle w:val="7"/>
              <w:jc w:val="center"/>
              <w:rPr>
                <w:rFonts w:hint="eastAsia" w:ascii="Times New Roman" w:hAnsi="Times New Roman" w:cs="Times New Roman"/>
                <w:color w:val="0000FF"/>
                <w:kern w:val="2"/>
                <w:sz w:val="21"/>
                <w:szCs w:val="24"/>
                <w:highlight w:val="none"/>
                <w:lang w:val="en-US" w:eastAsia="zh-CN" w:bidi="ar-SA"/>
              </w:rPr>
            </w:pPr>
          </w:p>
        </w:tc>
        <w:tc>
          <w:tcPr>
            <w:tcW w:w="1500" w:type="dxa"/>
            <w:noWrap w:val="0"/>
            <w:vAlign w:val="center"/>
          </w:tcPr>
          <w:p w14:paraId="2B91DFC1">
            <w:pPr>
              <w:pStyle w:val="7"/>
              <w:jc w:val="center"/>
              <w:rPr>
                <w:rFonts w:hint="eastAsia" w:ascii="Times New Roman" w:hAnsi="Times New Roman" w:cs="Times New Roman"/>
                <w:color w:val="0000FF"/>
                <w:kern w:val="2"/>
                <w:sz w:val="21"/>
                <w:szCs w:val="24"/>
                <w:highlight w:val="none"/>
                <w:lang w:val="en-US" w:eastAsia="zh-CN" w:bidi="ar-SA"/>
              </w:rPr>
            </w:pPr>
          </w:p>
        </w:tc>
        <w:tc>
          <w:tcPr>
            <w:tcW w:w="836" w:type="dxa"/>
            <w:noWrap w:val="0"/>
            <w:vAlign w:val="center"/>
          </w:tcPr>
          <w:p w14:paraId="0CB513CA">
            <w:pPr>
              <w:pStyle w:val="7"/>
              <w:jc w:val="center"/>
              <w:rPr>
                <w:rFonts w:ascii="宋体" w:hAnsi="宋体" w:eastAsia="宋体" w:cs="宋体"/>
                <w:kern w:val="0"/>
                <w:sz w:val="20"/>
                <w:szCs w:val="21"/>
              </w:rPr>
            </w:pPr>
          </w:p>
        </w:tc>
      </w:tr>
      <w:tr w14:paraId="6BFB3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6"/>
            <w:noWrap w:val="0"/>
            <w:vAlign w:val="center"/>
          </w:tcPr>
          <w:p w14:paraId="08897B27">
            <w:pPr>
              <w:pStyle w:val="7"/>
              <w:jc w:val="left"/>
              <w:rPr>
                <w:rFonts w:ascii="宋体" w:hAnsi="宋体" w:eastAsia="宋体" w:cs="宋体"/>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5EA36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6"/>
            <w:noWrap w:val="0"/>
            <w:vAlign w:val="center"/>
          </w:tcPr>
          <w:p w14:paraId="60C112FC">
            <w:pPr>
              <w:pStyle w:val="7"/>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cstheme="minorEastAsia"/>
                <w:b/>
                <w:color w:val="0000FF"/>
                <w:kern w:val="0"/>
                <w:sz w:val="20"/>
                <w:szCs w:val="21"/>
              </w:rPr>
              <w:t>说明：</w:t>
            </w:r>
            <w:r>
              <w:rPr>
                <w:rFonts w:hint="eastAsia" w:asciiTheme="minorEastAsia" w:hAnsiTheme="minorEastAsia" w:eastAsiaTheme="minorEastAsia"/>
                <w:b/>
                <w:color w:val="0000FF"/>
                <w:sz w:val="21"/>
                <w:szCs w:val="21"/>
                <w:lang w:val="en-US" w:eastAsia="zh-CN"/>
              </w:rPr>
              <w:t>本项目仅做一次报价，请响应供应商一次报出不得更改的价格且</w:t>
            </w:r>
            <w:r>
              <w:rPr>
                <w:rFonts w:hint="eastAsia" w:asciiTheme="minorEastAsia" w:hAnsiTheme="minorEastAsia" w:cstheme="minorEastAsia"/>
                <w:b/>
                <w:color w:val="0000FF"/>
                <w:kern w:val="0"/>
                <w:sz w:val="20"/>
                <w:szCs w:val="21"/>
              </w:rPr>
              <w:t>报价合计金额不能超过最高限价。</w:t>
            </w:r>
          </w:p>
        </w:tc>
      </w:tr>
    </w:tbl>
    <w:p w14:paraId="031CEA9A">
      <w:pPr>
        <w:pStyle w:val="7"/>
        <w:spacing w:line="560" w:lineRule="exact"/>
        <w:rPr>
          <w:rFonts w:hint="eastAsia" w:asciiTheme="minorEastAsia" w:hAnsiTheme="minorEastAsia" w:cstheme="minorEastAsia"/>
          <w:color w:val="auto"/>
          <w:szCs w:val="21"/>
        </w:rPr>
      </w:pPr>
    </w:p>
    <w:p w14:paraId="757F4053">
      <w:pPr>
        <w:pStyle w:val="7"/>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4C070FAE">
      <w:pPr>
        <w:pStyle w:val="7"/>
        <w:spacing w:line="560" w:lineRule="exact"/>
        <w:rPr>
          <w:rFonts w:asciiTheme="minorEastAsia" w:hAnsiTheme="minorEastAsia" w:cstheme="minorEastAsia"/>
          <w:color w:val="auto"/>
          <w:szCs w:val="21"/>
          <w:u w:val="single"/>
        </w:rPr>
      </w:pPr>
    </w:p>
    <w:p w14:paraId="76F34C1E">
      <w:pPr>
        <w:pStyle w:val="7"/>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191C8D15">
      <w:pPr>
        <w:pStyle w:val="7"/>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26E84496">
      <w:pPr>
        <w:ind w:firstLine="600" w:firstLineChars="200"/>
        <w:rPr>
          <w:rFonts w:hint="eastAsia" w:ascii="仿宋" w:hAnsi="仿宋" w:eastAsia="仿宋"/>
          <w:color w:val="auto"/>
          <w:sz w:val="30"/>
          <w:szCs w:val="30"/>
          <w:lang w:val="en-US" w:eastAsia="zh-CN"/>
        </w:rPr>
      </w:pPr>
    </w:p>
    <w:p w14:paraId="739716C6">
      <w:pPr>
        <w:ind w:firstLine="600" w:firstLineChars="200"/>
        <w:rPr>
          <w:rFonts w:hint="eastAsia" w:ascii="仿宋" w:hAnsi="仿宋" w:eastAsia="仿宋"/>
          <w:color w:val="auto"/>
          <w:sz w:val="30"/>
          <w:szCs w:val="30"/>
          <w:lang w:val="en-US" w:eastAsia="zh-CN"/>
        </w:rPr>
      </w:pPr>
    </w:p>
    <w:p w14:paraId="31BA5B95">
      <w:pPr>
        <w:ind w:firstLine="600" w:firstLineChars="200"/>
        <w:rPr>
          <w:rFonts w:hint="eastAsia" w:ascii="仿宋" w:hAnsi="仿宋" w:eastAsia="仿宋"/>
          <w:color w:val="auto"/>
          <w:sz w:val="30"/>
          <w:szCs w:val="30"/>
          <w:lang w:val="en-US" w:eastAsia="zh-CN"/>
        </w:rPr>
      </w:pPr>
    </w:p>
    <w:p w14:paraId="72074B66">
      <w:pPr>
        <w:rPr>
          <w:rFonts w:hint="eastAsia" w:ascii="仿宋" w:hAnsi="仿宋" w:eastAsia="仿宋"/>
          <w:color w:val="auto"/>
          <w:sz w:val="30"/>
          <w:szCs w:val="30"/>
          <w:lang w:val="en-US" w:eastAsia="zh-CN"/>
        </w:rPr>
      </w:pPr>
    </w:p>
    <w:p w14:paraId="504E1A2F">
      <w:pPr>
        <w:rPr>
          <w:rFonts w:hint="eastAsia" w:ascii="仿宋" w:hAnsi="仿宋" w:eastAsia="仿宋"/>
          <w:color w:val="auto"/>
          <w:sz w:val="30"/>
          <w:szCs w:val="30"/>
        </w:rPr>
      </w:pPr>
    </w:p>
    <w:p w14:paraId="57D18DE7">
      <w:pPr>
        <w:rPr>
          <w:rFonts w:hint="eastAsia" w:ascii="仿宋" w:hAnsi="仿宋" w:eastAsia="仿宋"/>
          <w:color w:val="auto"/>
          <w:sz w:val="30"/>
          <w:szCs w:val="30"/>
        </w:rPr>
      </w:pPr>
    </w:p>
    <w:p w14:paraId="0C2D445E">
      <w:pPr>
        <w:rPr>
          <w:rFonts w:hint="eastAsia" w:ascii="仿宋" w:hAnsi="仿宋" w:eastAsia="仿宋"/>
          <w:color w:val="auto"/>
          <w:sz w:val="30"/>
          <w:szCs w:val="30"/>
        </w:rPr>
      </w:pPr>
    </w:p>
    <w:p w14:paraId="1F5506BB">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4B9610A9">
      <w:pPr>
        <w:pStyle w:val="7"/>
        <w:spacing w:line="500" w:lineRule="exact"/>
        <w:jc w:val="center"/>
        <w:rPr>
          <w:rFonts w:hAnsi="宋体"/>
          <w:b/>
          <w:bCs/>
          <w:color w:val="auto"/>
          <w:sz w:val="30"/>
          <w:szCs w:val="30"/>
        </w:rPr>
      </w:pPr>
      <w:r>
        <w:rPr>
          <w:rFonts w:hint="eastAsia" w:hAnsi="宋体"/>
          <w:b/>
          <w:bCs/>
          <w:color w:val="auto"/>
          <w:sz w:val="30"/>
          <w:szCs w:val="30"/>
        </w:rPr>
        <w:t>响应技术资料表</w:t>
      </w:r>
    </w:p>
    <w:p w14:paraId="5A1CC8D2">
      <w:pPr>
        <w:pStyle w:val="7"/>
        <w:ind w:firstLine="210" w:firstLineChars="100"/>
        <w:rPr>
          <w:rFonts w:hAnsi="宋体"/>
          <w:color w:val="auto"/>
        </w:rPr>
      </w:pPr>
    </w:p>
    <w:p w14:paraId="0D1ADF2E">
      <w:pPr>
        <w:pStyle w:val="7"/>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500EE994">
      <w:pPr>
        <w:pStyle w:val="7"/>
        <w:spacing w:line="440" w:lineRule="exact"/>
        <w:ind w:firstLine="422" w:firstLineChars="200"/>
      </w:pPr>
      <w:r>
        <w:rPr>
          <w:rFonts w:hint="eastAsia" w:asciiTheme="minorEastAsia" w:hAnsiTheme="minorEastAsia"/>
          <w:b/>
          <w:bCs/>
          <w:color w:val="auto"/>
          <w:szCs w:val="21"/>
        </w:rPr>
        <w:t>本采购需求一览表中标注★号的内容为实质性要求和条件，供应商必须满足，不满足或负偏离视为无效响应。</w:t>
      </w:r>
    </w:p>
    <w:tbl>
      <w:tblPr>
        <w:tblStyle w:val="14"/>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1082"/>
        <w:gridCol w:w="2895"/>
        <w:gridCol w:w="1141"/>
        <w:gridCol w:w="2576"/>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7"/>
              <w:jc w:val="center"/>
              <w:rPr>
                <w:rFonts w:hAnsi="宋体"/>
                <w:color w:val="auto"/>
                <w:spacing w:val="-20"/>
                <w:szCs w:val="21"/>
              </w:rPr>
            </w:pPr>
            <w:r>
              <w:rPr>
                <w:rFonts w:hint="eastAsia" w:hAnsi="宋体"/>
                <w:color w:val="auto"/>
                <w:spacing w:val="-20"/>
                <w:szCs w:val="21"/>
              </w:rPr>
              <w:t>序号</w:t>
            </w:r>
          </w:p>
        </w:tc>
        <w:tc>
          <w:tcPr>
            <w:tcW w:w="3977" w:type="dxa"/>
            <w:gridSpan w:val="2"/>
            <w:vAlign w:val="center"/>
          </w:tcPr>
          <w:p w14:paraId="0DE12347">
            <w:pPr>
              <w:jc w:val="center"/>
              <w:rPr>
                <w:rFonts w:ascii="宋体"/>
                <w:color w:val="auto"/>
                <w:szCs w:val="21"/>
              </w:rPr>
            </w:pPr>
            <w:r>
              <w:rPr>
                <w:rFonts w:hint="eastAsia" w:ascii="宋体" w:hAnsi="宋体"/>
                <w:color w:val="auto"/>
                <w:szCs w:val="21"/>
              </w:rPr>
              <w:t>采购文件需求</w:t>
            </w:r>
          </w:p>
        </w:tc>
        <w:tc>
          <w:tcPr>
            <w:tcW w:w="3717" w:type="dxa"/>
            <w:gridSpan w:val="2"/>
            <w:vAlign w:val="center"/>
          </w:tcPr>
          <w:p w14:paraId="643763B8">
            <w:pPr>
              <w:jc w:val="center"/>
              <w:rPr>
                <w:rFonts w:ascii="宋体"/>
                <w:color w:val="auto"/>
                <w:szCs w:val="21"/>
              </w:rPr>
            </w:pPr>
            <w:r>
              <w:rPr>
                <w:rFonts w:hint="eastAsia" w:ascii="宋体" w:hAnsi="宋体"/>
                <w:color w:val="auto"/>
                <w:szCs w:val="21"/>
              </w:rPr>
              <w:t>响应文件承诺</w:t>
            </w:r>
          </w:p>
        </w:tc>
        <w:tc>
          <w:tcPr>
            <w:tcW w:w="876" w:type="dxa"/>
            <w:vMerge w:val="restart"/>
            <w:vAlign w:val="center"/>
          </w:tcPr>
          <w:p w14:paraId="706E51DD">
            <w:pPr>
              <w:jc w:val="center"/>
              <w:rPr>
                <w:rFonts w:ascii="宋体"/>
                <w:color w:val="auto"/>
                <w:szCs w:val="21"/>
              </w:rPr>
            </w:pPr>
            <w:r>
              <w:rPr>
                <w:rFonts w:hint="eastAsia" w:ascii="宋体" w:hAnsi="宋体"/>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7"/>
              <w:jc w:val="center"/>
              <w:rPr>
                <w:rFonts w:hAnsi="宋体"/>
                <w:color w:val="auto"/>
                <w:spacing w:val="-20"/>
                <w:szCs w:val="21"/>
              </w:rPr>
            </w:pPr>
          </w:p>
        </w:tc>
        <w:tc>
          <w:tcPr>
            <w:tcW w:w="1082" w:type="dxa"/>
            <w:vAlign w:val="center"/>
          </w:tcPr>
          <w:p w14:paraId="3B7AC663">
            <w:pPr>
              <w:jc w:val="center"/>
              <w:rPr>
                <w:rFonts w:ascii="宋体"/>
                <w:color w:val="auto"/>
                <w:szCs w:val="21"/>
              </w:rPr>
            </w:pPr>
            <w:r>
              <w:rPr>
                <w:rFonts w:hint="eastAsia" w:ascii="宋体" w:hAnsi="宋体"/>
                <w:color w:val="auto"/>
                <w:szCs w:val="21"/>
                <w:lang w:val="en-US" w:eastAsia="zh-CN"/>
              </w:rPr>
              <w:t>项目</w:t>
            </w:r>
            <w:r>
              <w:rPr>
                <w:rFonts w:hint="eastAsia" w:ascii="宋体" w:hAnsi="宋体"/>
                <w:color w:val="auto"/>
                <w:szCs w:val="21"/>
              </w:rPr>
              <w:t>名称</w:t>
            </w:r>
          </w:p>
        </w:tc>
        <w:tc>
          <w:tcPr>
            <w:tcW w:w="2895" w:type="dxa"/>
            <w:vAlign w:val="center"/>
          </w:tcPr>
          <w:p w14:paraId="34BC4A96">
            <w:pPr>
              <w:jc w:val="center"/>
              <w:rPr>
                <w:rFonts w:ascii="宋体"/>
                <w:color w:val="auto"/>
                <w:szCs w:val="21"/>
              </w:rPr>
            </w:pPr>
            <w:r>
              <w:rPr>
                <w:rFonts w:hint="eastAsia" w:ascii="宋体"/>
                <w:color w:val="auto"/>
                <w:szCs w:val="21"/>
              </w:rPr>
              <w:t>技术参数</w:t>
            </w:r>
          </w:p>
        </w:tc>
        <w:tc>
          <w:tcPr>
            <w:tcW w:w="1141" w:type="dxa"/>
            <w:vAlign w:val="center"/>
          </w:tcPr>
          <w:p w14:paraId="50260F94">
            <w:pPr>
              <w:jc w:val="center"/>
              <w:rPr>
                <w:rFonts w:ascii="宋体"/>
                <w:color w:val="auto"/>
                <w:szCs w:val="21"/>
              </w:rPr>
            </w:pPr>
            <w:r>
              <w:rPr>
                <w:rFonts w:hint="eastAsia" w:ascii="宋体" w:hAnsi="宋体"/>
                <w:color w:val="auto"/>
                <w:szCs w:val="21"/>
                <w:lang w:val="en-US" w:eastAsia="zh-CN"/>
              </w:rPr>
              <w:t>项目</w:t>
            </w:r>
            <w:r>
              <w:rPr>
                <w:rFonts w:hint="eastAsia" w:ascii="宋体" w:hAnsi="宋体"/>
                <w:color w:val="auto"/>
                <w:szCs w:val="21"/>
              </w:rPr>
              <w:t>名称</w:t>
            </w:r>
          </w:p>
        </w:tc>
        <w:tc>
          <w:tcPr>
            <w:tcW w:w="2576" w:type="dxa"/>
            <w:vAlign w:val="center"/>
          </w:tcPr>
          <w:p w14:paraId="31A59E2D">
            <w:pPr>
              <w:jc w:val="center"/>
              <w:rPr>
                <w:rFonts w:ascii="宋体"/>
                <w:color w:val="auto"/>
                <w:szCs w:val="21"/>
              </w:rPr>
            </w:pPr>
            <w:r>
              <w:rPr>
                <w:rFonts w:hint="eastAsia" w:ascii="宋体" w:hAnsi="宋体"/>
                <w:color w:val="auto"/>
                <w:szCs w:val="21"/>
              </w:rPr>
              <w:t>响应技术参数</w:t>
            </w:r>
          </w:p>
        </w:tc>
        <w:tc>
          <w:tcPr>
            <w:tcW w:w="876" w:type="dxa"/>
            <w:vMerge w:val="continue"/>
            <w:vAlign w:val="center"/>
          </w:tcPr>
          <w:p w14:paraId="1A0BC623">
            <w:pPr>
              <w:jc w:val="center"/>
              <w:rPr>
                <w:rFonts w:ascii="宋体"/>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8" w:type="dxa"/>
            <w:vAlign w:val="center"/>
          </w:tcPr>
          <w:p w14:paraId="009041CD">
            <w:pPr>
              <w:pStyle w:val="7"/>
              <w:jc w:val="center"/>
              <w:rPr>
                <w:rFonts w:ascii="仿宋" w:hAnsi="仿宋" w:eastAsia="仿宋"/>
                <w:color w:val="auto"/>
                <w:spacing w:val="-20"/>
                <w:sz w:val="20"/>
              </w:rPr>
            </w:pPr>
            <w:r>
              <w:rPr>
                <w:rFonts w:ascii="仿宋" w:hAnsi="仿宋" w:eastAsia="仿宋"/>
                <w:color w:val="auto"/>
                <w:spacing w:val="-20"/>
                <w:sz w:val="20"/>
              </w:rPr>
              <w:t>1</w:t>
            </w:r>
          </w:p>
        </w:tc>
        <w:tc>
          <w:tcPr>
            <w:tcW w:w="1082" w:type="dxa"/>
            <w:vAlign w:val="center"/>
          </w:tcPr>
          <w:p w14:paraId="79836DF0">
            <w:pPr>
              <w:rPr>
                <w:rFonts w:ascii="仿宋" w:hAnsi="仿宋" w:eastAsia="仿宋" w:cs="宋体"/>
                <w:color w:val="auto"/>
                <w:szCs w:val="21"/>
              </w:rPr>
            </w:pPr>
            <w:r>
              <w:rPr>
                <w:rFonts w:hint="eastAsia" w:ascii="仿宋" w:hAnsi="仿宋" w:eastAsia="仿宋" w:cs="宋体"/>
                <w:color w:val="auto"/>
                <w:szCs w:val="21"/>
              </w:rPr>
              <w:t>南宁中心血站</w:t>
            </w:r>
            <w:r>
              <w:rPr>
                <w:rFonts w:hint="eastAsia" w:ascii="仿宋" w:hAnsi="仿宋" w:eastAsia="仿宋" w:cs="宋体"/>
                <w:color w:val="auto"/>
                <w:szCs w:val="21"/>
                <w:lang w:val="en-US" w:eastAsia="zh-CN"/>
              </w:rPr>
              <w:t>2025年</w:t>
            </w:r>
            <w:r>
              <w:rPr>
                <w:rFonts w:hint="eastAsia" w:ascii="仿宋" w:hAnsi="仿宋" w:eastAsia="仿宋" w:cs="宋体"/>
                <w:color w:val="auto"/>
                <w:szCs w:val="21"/>
              </w:rPr>
              <w:t>生活垃圾清运服务</w:t>
            </w:r>
          </w:p>
          <w:p w14:paraId="5EF1D8C3">
            <w:pPr>
              <w:rPr>
                <w:rFonts w:ascii="仿宋" w:hAnsi="仿宋" w:eastAsia="仿宋" w:cs="宋体"/>
                <w:color w:val="auto"/>
                <w:szCs w:val="21"/>
              </w:rPr>
            </w:pPr>
          </w:p>
        </w:tc>
        <w:tc>
          <w:tcPr>
            <w:tcW w:w="2895" w:type="dxa"/>
            <w:vAlign w:val="center"/>
          </w:tcPr>
          <w:p w14:paraId="36BC4A60">
            <w:pPr>
              <w:pStyle w:val="2"/>
              <w:ind w:left="0" w:leftChars="0" w:firstLine="0" w:firstLineChars="0"/>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1.服务内容： 清运南宁中心血站本部产生的所有生活垃圾。</w:t>
            </w:r>
          </w:p>
          <w:p w14:paraId="1AD2881A">
            <w:pPr>
              <w:pStyle w:val="2"/>
              <w:ind w:left="0" w:leftChars="0" w:firstLine="0" w:firstLineChars="0"/>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2.服务期限：一年。</w:t>
            </w:r>
          </w:p>
          <w:p w14:paraId="03140D44">
            <w:pPr>
              <w:pStyle w:val="2"/>
              <w:ind w:left="0" w:leftChars="0" w:firstLine="0" w:firstLineChars="0"/>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 xml:space="preserve">3.服务范围：南宁中心血站（科园大道18号）。 </w:t>
            </w:r>
          </w:p>
          <w:p w14:paraId="6A40B1AC">
            <w:pPr>
              <w:pStyle w:val="2"/>
              <w:ind w:left="0" w:leftChars="0" w:firstLine="0" w:firstLineChars="0"/>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4.服务价格：包干价。</w:t>
            </w:r>
          </w:p>
          <w:p w14:paraId="4889856B">
            <w:pPr>
              <w:pStyle w:val="2"/>
              <w:ind w:left="0" w:leftChars="0" w:firstLine="0" w:firstLineChars="0"/>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5.服务要求：</w:t>
            </w:r>
          </w:p>
          <w:p w14:paraId="0CB0BE94">
            <w:pPr>
              <w:pStyle w:val="2"/>
              <w:ind w:left="0" w:leftChars="0" w:firstLine="0" w:firstLineChars="0"/>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5.1供应商必须有生活垃圾的处理资质，响应文件中需提供资质证明材料。</w:t>
            </w:r>
          </w:p>
          <w:p w14:paraId="0F61300F">
            <w:pPr>
              <w:pStyle w:val="2"/>
              <w:ind w:left="0" w:leftChars="0" w:firstLine="0" w:firstLineChars="0"/>
              <w:rPr>
                <w:rFonts w:hint="default"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5.2供应商必须做到生活垃圾每天清运1次。如遇检查、特殊活动，垃圾过多，经双方协商可增加收运次数（本站每年大约清运垃圾2136桶，（240L/桶））。</w:t>
            </w:r>
          </w:p>
          <w:p w14:paraId="1E98B92E">
            <w:pPr>
              <w:pStyle w:val="2"/>
              <w:ind w:left="0" w:leftChars="0" w:firstLine="0" w:firstLineChars="0"/>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5.3供应商在垃圾清运工作时应做到安全、有序,自觉遵守企业管理制度。</w:t>
            </w:r>
          </w:p>
          <w:p w14:paraId="6308A60B">
            <w:pPr>
              <w:pStyle w:val="2"/>
              <w:ind w:left="0" w:leftChars="0" w:firstLine="0" w:firstLineChars="0"/>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5.4供应商每次清运后不得有“满桶和漏桶”现象,清运完毕后需将垃圾容器归位至指定位置。</w:t>
            </w:r>
          </w:p>
          <w:p w14:paraId="48F03AC0">
            <w:pPr>
              <w:pStyle w:val="2"/>
              <w:ind w:left="0" w:leftChars="0" w:firstLine="0" w:firstLineChars="0"/>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5.5供应商在清运垃圾过程中应爱护垃圾容器及其他公用设施。</w:t>
            </w:r>
          </w:p>
          <w:p w14:paraId="41792A9C">
            <w:pPr>
              <w:pStyle w:val="2"/>
              <w:ind w:left="0" w:leftChars="0" w:firstLine="0" w:firstLineChars="0"/>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5.6供应商清运过程中出现“落渣、漏渣” 现象时,须及时将现场处理干净。</w:t>
            </w:r>
          </w:p>
        </w:tc>
        <w:tc>
          <w:tcPr>
            <w:tcW w:w="1141" w:type="dxa"/>
            <w:vAlign w:val="center"/>
          </w:tcPr>
          <w:p w14:paraId="046B0A22">
            <w:pPr>
              <w:rPr>
                <w:rFonts w:ascii="仿宋" w:hAnsi="仿宋" w:eastAsia="仿宋" w:cs="宋体"/>
                <w:color w:val="auto"/>
                <w:szCs w:val="21"/>
              </w:rPr>
            </w:pPr>
            <w:r>
              <w:rPr>
                <w:rFonts w:hint="eastAsia" w:ascii="仿宋" w:hAnsi="仿宋" w:eastAsia="仿宋" w:cs="宋体"/>
                <w:color w:val="auto"/>
                <w:szCs w:val="21"/>
              </w:rPr>
              <w:t>南宁中心血站</w:t>
            </w:r>
            <w:r>
              <w:rPr>
                <w:rFonts w:hint="eastAsia" w:ascii="仿宋" w:hAnsi="仿宋" w:eastAsia="仿宋" w:cs="宋体"/>
                <w:color w:val="auto"/>
                <w:szCs w:val="21"/>
                <w:lang w:val="en-US" w:eastAsia="zh-CN"/>
              </w:rPr>
              <w:t>2025年</w:t>
            </w:r>
            <w:r>
              <w:rPr>
                <w:rFonts w:hint="eastAsia" w:ascii="仿宋" w:hAnsi="仿宋" w:eastAsia="仿宋" w:cs="宋体"/>
                <w:color w:val="auto"/>
                <w:szCs w:val="21"/>
              </w:rPr>
              <w:t>生活垃圾清运服务</w:t>
            </w:r>
          </w:p>
          <w:p w14:paraId="2EDEDA46">
            <w:pPr>
              <w:rPr>
                <w:rFonts w:ascii="仿宋" w:hAnsi="仿宋" w:eastAsia="仿宋" w:cs="宋体"/>
                <w:color w:val="auto"/>
                <w:szCs w:val="21"/>
              </w:rPr>
            </w:pPr>
          </w:p>
        </w:tc>
        <w:tc>
          <w:tcPr>
            <w:tcW w:w="2576" w:type="dxa"/>
            <w:vAlign w:val="center"/>
          </w:tcPr>
          <w:p w14:paraId="3BF8F671">
            <w:pPr>
              <w:rPr>
                <w:rFonts w:hAnsi="宋体"/>
                <w:color w:val="auto"/>
                <w:sz w:val="16"/>
                <w:szCs w:val="16"/>
              </w:rPr>
            </w:pPr>
            <w:r>
              <w:rPr>
                <w:rFonts w:hint="eastAsia" w:asciiTheme="minorEastAsia" w:hAnsiTheme="minorEastAsia" w:cstheme="minorEastAsia"/>
                <w:color w:val="FF0000"/>
                <w:szCs w:val="21"/>
              </w:rPr>
              <w:t>请填入贵单位响应的内容。</w:t>
            </w:r>
          </w:p>
        </w:tc>
        <w:tc>
          <w:tcPr>
            <w:tcW w:w="876" w:type="dxa"/>
            <w:vAlign w:val="center"/>
          </w:tcPr>
          <w:p w14:paraId="6E15C104">
            <w:pPr>
              <w:rPr>
                <w:rFonts w:ascii="宋体" w:hAnsi="宋体"/>
                <w:color w:val="auto"/>
                <w:sz w:val="16"/>
                <w:szCs w:val="16"/>
              </w:rPr>
            </w:pPr>
            <w:r>
              <w:rPr>
                <w:rFonts w:hint="eastAsia" w:ascii="Times New Roman" w:hAnsi="Times New Roman" w:eastAsia="宋体" w:cs="Times New Roman"/>
                <w:color w:val="auto"/>
                <w:kern w:val="2"/>
                <w:sz w:val="21"/>
                <w:szCs w:val="24"/>
                <w:highlight w:val="none"/>
                <w:lang w:val="zh-TW" w:eastAsia="zh-TW" w:bidi="ar-SA"/>
              </w:rPr>
              <w:t>正偏离（负偏离或无偏离）</w:t>
            </w:r>
          </w:p>
        </w:tc>
      </w:tr>
    </w:tbl>
    <w:p w14:paraId="57E62672">
      <w:pPr>
        <w:pStyle w:val="7"/>
        <w:rPr>
          <w:rFonts w:hAnsi="宋体"/>
          <w:color w:val="auto"/>
          <w:sz w:val="16"/>
          <w:szCs w:val="16"/>
        </w:rPr>
      </w:pPr>
    </w:p>
    <w:p w14:paraId="7604BA80">
      <w:pPr>
        <w:pStyle w:val="7"/>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7"/>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7"/>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AC83338">
      <w:pPr>
        <w:pStyle w:val="4"/>
        <w:numPr>
          <w:ilvl w:val="3"/>
          <w:numId w:val="0"/>
        </w:numPr>
        <w:ind w:left="1077"/>
        <w:rPr>
          <w:color w:val="auto"/>
          <w:sz w:val="18"/>
          <w:szCs w:val="18"/>
        </w:rPr>
      </w:pPr>
    </w:p>
    <w:p w14:paraId="63CC2721">
      <w:pPr>
        <w:pStyle w:val="7"/>
        <w:spacing w:line="400" w:lineRule="exact"/>
        <w:rPr>
          <w:rFonts w:hint="default" w:eastAsia="宋体"/>
          <w:color w:val="auto"/>
          <w:u w:val="single"/>
          <w:lang w:val="en-US" w:eastAsia="zh-CN"/>
        </w:rPr>
      </w:pPr>
      <w:bookmarkStart w:id="0" w:name="_Toc521096352"/>
      <w:bookmarkStart w:id="1" w:name="_Toc460253713"/>
      <w:r>
        <w:rPr>
          <w:rFonts w:hint="eastAsia" w:hAnsi="宋体"/>
          <w:color w:val="auto"/>
          <w:sz w:val="18"/>
          <w:szCs w:val="18"/>
        </w:rPr>
        <w:t>法定代表人或其委托代理人（签字或盖章）：</w:t>
      </w:r>
      <w:bookmarkEnd w:id="0"/>
      <w:bookmarkEnd w:id="1"/>
      <w:r>
        <w:rPr>
          <w:rFonts w:hint="eastAsia" w:hAnsi="宋体"/>
          <w:color w:val="auto"/>
          <w:sz w:val="18"/>
          <w:szCs w:val="18"/>
          <w:u w:val="single"/>
          <w:lang w:val="en-US" w:eastAsia="zh-CN"/>
        </w:rPr>
        <w:t xml:space="preserve">                         </w:t>
      </w:r>
    </w:p>
    <w:p w14:paraId="1E930D5A">
      <w:pPr>
        <w:rPr>
          <w:rFonts w:hint="eastAsia" w:ascii="仿宋" w:hAnsi="仿宋" w:eastAsia="仿宋"/>
          <w:color w:val="auto"/>
          <w:sz w:val="30"/>
          <w:szCs w:val="30"/>
        </w:rPr>
      </w:pPr>
    </w:p>
    <w:p w14:paraId="3C86953E">
      <w:pPr>
        <w:rPr>
          <w:rFonts w:hint="eastAsia" w:ascii="仿宋" w:hAnsi="仿宋" w:eastAsia="仿宋"/>
          <w:color w:val="auto"/>
          <w:sz w:val="30"/>
          <w:szCs w:val="30"/>
        </w:rPr>
      </w:pPr>
    </w:p>
    <w:p w14:paraId="0E93062A">
      <w:pPr>
        <w:rPr>
          <w:rFonts w:hint="eastAsia" w:ascii="仿宋" w:hAnsi="仿宋" w:eastAsia="仿宋"/>
          <w:color w:val="auto"/>
          <w:sz w:val="30"/>
          <w:szCs w:val="30"/>
        </w:rPr>
      </w:pPr>
    </w:p>
    <w:p w14:paraId="2E790097">
      <w:pPr>
        <w:pStyle w:val="2"/>
        <w:rPr>
          <w:rFonts w:hint="eastAsia" w:ascii="仿宋" w:hAnsi="仿宋" w:eastAsia="仿宋"/>
          <w:color w:val="auto"/>
          <w:sz w:val="30"/>
          <w:szCs w:val="30"/>
        </w:rPr>
      </w:pPr>
    </w:p>
    <w:p w14:paraId="398A9B96">
      <w:pPr>
        <w:pStyle w:val="2"/>
        <w:rPr>
          <w:rFonts w:hint="eastAsia" w:ascii="仿宋" w:hAnsi="仿宋" w:eastAsia="仿宋"/>
          <w:color w:val="auto"/>
          <w:sz w:val="30"/>
          <w:szCs w:val="30"/>
        </w:rPr>
      </w:pPr>
    </w:p>
    <w:p w14:paraId="7744DFD0">
      <w:pPr>
        <w:pStyle w:val="2"/>
        <w:rPr>
          <w:rFonts w:hint="eastAsia" w:ascii="仿宋" w:hAnsi="仿宋" w:eastAsia="仿宋"/>
          <w:color w:val="auto"/>
          <w:sz w:val="30"/>
          <w:szCs w:val="30"/>
        </w:rPr>
      </w:pPr>
    </w:p>
    <w:p w14:paraId="52B9644E">
      <w:pPr>
        <w:pStyle w:val="2"/>
        <w:rPr>
          <w:rFonts w:hint="eastAsia" w:ascii="仿宋" w:hAnsi="仿宋" w:eastAsia="仿宋"/>
          <w:color w:val="auto"/>
          <w:sz w:val="30"/>
          <w:szCs w:val="30"/>
        </w:rPr>
      </w:pPr>
    </w:p>
    <w:p w14:paraId="58524F01">
      <w:pPr>
        <w:pStyle w:val="2"/>
        <w:rPr>
          <w:rFonts w:hint="eastAsia" w:ascii="仿宋" w:hAnsi="仿宋" w:eastAsia="仿宋"/>
          <w:color w:val="auto"/>
          <w:sz w:val="30"/>
          <w:szCs w:val="30"/>
        </w:rPr>
      </w:pPr>
    </w:p>
    <w:p w14:paraId="71942E33">
      <w:pPr>
        <w:pStyle w:val="2"/>
        <w:rPr>
          <w:rFonts w:hint="eastAsia" w:ascii="仿宋" w:hAnsi="仿宋" w:eastAsia="仿宋"/>
          <w:color w:val="auto"/>
          <w:sz w:val="30"/>
          <w:szCs w:val="30"/>
        </w:rPr>
      </w:pPr>
    </w:p>
    <w:p w14:paraId="075B9681">
      <w:pPr>
        <w:pStyle w:val="2"/>
        <w:rPr>
          <w:rFonts w:hint="eastAsia" w:ascii="仿宋" w:hAnsi="仿宋" w:eastAsia="仿宋"/>
          <w:color w:val="auto"/>
          <w:sz w:val="30"/>
          <w:szCs w:val="30"/>
        </w:rPr>
      </w:pPr>
    </w:p>
    <w:p w14:paraId="299059AB">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4605C699">
      <w:pPr>
        <w:spacing w:line="400" w:lineRule="exact"/>
        <w:jc w:val="center"/>
        <w:rPr>
          <w:rFonts w:hint="eastAsia" w:ascii="宋体" w:hAnsi="宋体"/>
          <w:b/>
          <w:color w:val="auto"/>
          <w:sz w:val="36"/>
          <w:szCs w:val="36"/>
        </w:rPr>
      </w:pPr>
    </w:p>
    <w:p w14:paraId="003F1E03">
      <w:pPr>
        <w:pStyle w:val="7"/>
        <w:ind w:firstLine="420" w:firstLineChars="200"/>
        <w:rPr>
          <w:rFonts w:hAnsi="宋体" w:cs="宋体"/>
          <w:color w:val="auto"/>
        </w:rPr>
      </w:pPr>
    </w:p>
    <w:p w14:paraId="60DA9548">
      <w:pPr>
        <w:pStyle w:val="7"/>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tbl>
      <w:tblPr>
        <w:tblStyle w:val="14"/>
        <w:tblW w:w="8930"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794"/>
        <w:gridCol w:w="2925"/>
        <w:gridCol w:w="1571"/>
      </w:tblGrid>
      <w:tr w14:paraId="298A81D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675" w:hRule="atLeast"/>
          <w:jc w:val="center"/>
        </w:trPr>
        <w:tc>
          <w:tcPr>
            <w:tcW w:w="640" w:type="dxa"/>
            <w:vAlign w:val="center"/>
          </w:tcPr>
          <w:p w14:paraId="1C2FB91F">
            <w:pPr>
              <w:adjustRightInd w:val="0"/>
              <w:snapToGrid w:val="0"/>
              <w:spacing w:line="400" w:lineRule="exact"/>
              <w:jc w:val="center"/>
              <w:outlineLvl w:val="0"/>
              <w:rPr>
                <w:rFonts w:ascii="宋体" w:hAnsi="宋体"/>
                <w:color w:val="auto"/>
                <w:szCs w:val="21"/>
              </w:rPr>
            </w:pPr>
            <w:bookmarkStart w:id="2" w:name="_Toc18211"/>
            <w:bookmarkStart w:id="3" w:name="_Toc529"/>
            <w:r>
              <w:rPr>
                <w:rFonts w:hint="eastAsia" w:ascii="宋体" w:hAnsi="宋体"/>
                <w:color w:val="auto"/>
                <w:szCs w:val="21"/>
              </w:rPr>
              <w:t>序号</w:t>
            </w:r>
            <w:bookmarkEnd w:id="2"/>
            <w:bookmarkEnd w:id="3"/>
          </w:p>
        </w:tc>
        <w:tc>
          <w:tcPr>
            <w:tcW w:w="3794" w:type="dxa"/>
            <w:vAlign w:val="center"/>
          </w:tcPr>
          <w:p w14:paraId="756067CB">
            <w:pPr>
              <w:adjustRightInd w:val="0"/>
              <w:snapToGrid w:val="0"/>
              <w:spacing w:line="400" w:lineRule="exact"/>
              <w:jc w:val="center"/>
              <w:outlineLvl w:val="0"/>
              <w:rPr>
                <w:rFonts w:ascii="宋体" w:hAnsi="宋体"/>
                <w:color w:val="auto"/>
                <w:szCs w:val="21"/>
              </w:rPr>
            </w:pPr>
            <w:bookmarkStart w:id="4" w:name="_Toc113"/>
            <w:bookmarkStart w:id="5" w:name="_Toc11223"/>
            <w:r>
              <w:rPr>
                <w:rFonts w:hint="eastAsia" w:ascii="宋体" w:hAnsi="宋体"/>
                <w:color w:val="auto"/>
                <w:szCs w:val="21"/>
              </w:rPr>
              <w:t>采购文件的商务</w:t>
            </w:r>
            <w:bookmarkEnd w:id="4"/>
            <w:bookmarkEnd w:id="5"/>
            <w:r>
              <w:rPr>
                <w:rFonts w:hint="eastAsia" w:ascii="宋体" w:hAnsi="宋体"/>
                <w:color w:val="auto"/>
                <w:szCs w:val="21"/>
              </w:rPr>
              <w:t>条款</w:t>
            </w:r>
          </w:p>
        </w:tc>
        <w:tc>
          <w:tcPr>
            <w:tcW w:w="2925" w:type="dxa"/>
            <w:vAlign w:val="center"/>
          </w:tcPr>
          <w:p w14:paraId="398FE821">
            <w:pPr>
              <w:adjustRightInd w:val="0"/>
              <w:snapToGrid w:val="0"/>
              <w:spacing w:line="400" w:lineRule="exact"/>
              <w:jc w:val="center"/>
              <w:outlineLvl w:val="0"/>
              <w:rPr>
                <w:rFonts w:ascii="宋体" w:hAnsi="宋体"/>
                <w:color w:val="auto"/>
                <w:szCs w:val="21"/>
              </w:rPr>
            </w:pPr>
            <w:bookmarkStart w:id="6" w:name="_Toc3147"/>
            <w:bookmarkStart w:id="7" w:name="_Toc22733"/>
            <w:r>
              <w:rPr>
                <w:rFonts w:hint="eastAsia" w:ascii="宋体" w:hAnsi="宋体"/>
                <w:color w:val="auto"/>
                <w:szCs w:val="21"/>
              </w:rPr>
              <w:t>响应文件具体响应</w:t>
            </w:r>
            <w:bookmarkEnd w:id="6"/>
            <w:bookmarkEnd w:id="7"/>
          </w:p>
        </w:tc>
        <w:tc>
          <w:tcPr>
            <w:tcW w:w="1571" w:type="dxa"/>
            <w:vAlign w:val="center"/>
          </w:tcPr>
          <w:p w14:paraId="56DC3AD1">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偏离说明</w:t>
            </w:r>
          </w:p>
        </w:tc>
      </w:tr>
      <w:tr w14:paraId="58CC707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233" w:hRule="atLeast"/>
          <w:jc w:val="center"/>
        </w:trPr>
        <w:tc>
          <w:tcPr>
            <w:tcW w:w="640" w:type="dxa"/>
            <w:vAlign w:val="center"/>
          </w:tcPr>
          <w:p w14:paraId="5D819F6A">
            <w:pPr>
              <w:adjustRightInd w:val="0"/>
              <w:snapToGrid w:val="0"/>
              <w:spacing w:line="400" w:lineRule="exact"/>
              <w:jc w:val="center"/>
              <w:outlineLvl w:val="0"/>
              <w:rPr>
                <w:rFonts w:ascii="宋体" w:hAnsi="宋体"/>
                <w:color w:val="auto"/>
                <w:szCs w:val="21"/>
              </w:rPr>
            </w:pPr>
            <w:bookmarkStart w:id="8" w:name="_Toc20348"/>
            <w:bookmarkStart w:id="9" w:name="_Toc16246"/>
            <w:r>
              <w:rPr>
                <w:rFonts w:hint="eastAsia" w:ascii="宋体" w:hAnsi="宋体"/>
                <w:color w:val="auto"/>
                <w:szCs w:val="21"/>
              </w:rPr>
              <w:t>1</w:t>
            </w:r>
            <w:bookmarkEnd w:id="8"/>
            <w:bookmarkEnd w:id="9"/>
          </w:p>
        </w:tc>
        <w:tc>
          <w:tcPr>
            <w:tcW w:w="3794" w:type="dxa"/>
            <w:vAlign w:val="center"/>
          </w:tcPr>
          <w:p w14:paraId="54E1BE72">
            <w:pPr>
              <w:spacing w:line="420" w:lineRule="exact"/>
              <w:rPr>
                <w:rFonts w:ascii="仿宋" w:hAnsi="仿宋" w:eastAsia="仿宋"/>
                <w:color w:val="auto"/>
                <w:sz w:val="20"/>
                <w:szCs w:val="20"/>
              </w:rPr>
            </w:pPr>
            <w:r>
              <w:rPr>
                <w:rFonts w:hint="eastAsia" w:ascii="仿宋" w:hAnsi="仿宋" w:eastAsia="仿宋" w:cs="宋体"/>
                <w:color w:val="auto"/>
                <w:kern w:val="2"/>
                <w:sz w:val="21"/>
                <w:szCs w:val="21"/>
                <w:lang w:val="en-US" w:eastAsia="zh-CN" w:bidi="ar-SA"/>
              </w:rPr>
              <w:t>一、合同签订期:自成交结果公布之日起10个工作日内。</w:t>
            </w:r>
          </w:p>
        </w:tc>
        <w:tc>
          <w:tcPr>
            <w:tcW w:w="2925" w:type="dxa"/>
            <w:vAlign w:val="center"/>
          </w:tcPr>
          <w:p w14:paraId="663264D0">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5B8BB3CB">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71504AD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058" w:hRule="atLeast"/>
          <w:jc w:val="center"/>
        </w:trPr>
        <w:tc>
          <w:tcPr>
            <w:tcW w:w="640" w:type="dxa"/>
            <w:vAlign w:val="center"/>
          </w:tcPr>
          <w:p w14:paraId="2D3127A6">
            <w:pPr>
              <w:adjustRightInd w:val="0"/>
              <w:snapToGrid w:val="0"/>
              <w:spacing w:line="400" w:lineRule="exact"/>
              <w:jc w:val="center"/>
              <w:outlineLvl w:val="0"/>
              <w:rPr>
                <w:rFonts w:ascii="宋体" w:hAnsi="宋体"/>
                <w:color w:val="auto"/>
                <w:szCs w:val="21"/>
              </w:rPr>
            </w:pPr>
            <w:bookmarkStart w:id="10" w:name="_Toc14139"/>
            <w:bookmarkStart w:id="11" w:name="_Toc29108"/>
            <w:r>
              <w:rPr>
                <w:rFonts w:hint="eastAsia" w:ascii="宋体" w:hAnsi="宋体"/>
                <w:color w:val="auto"/>
                <w:szCs w:val="21"/>
              </w:rPr>
              <w:t>2</w:t>
            </w:r>
            <w:bookmarkEnd w:id="10"/>
            <w:bookmarkEnd w:id="11"/>
          </w:p>
        </w:tc>
        <w:tc>
          <w:tcPr>
            <w:tcW w:w="3794" w:type="dxa"/>
            <w:vAlign w:val="center"/>
          </w:tcPr>
          <w:p w14:paraId="31F4CEAB">
            <w:pPr>
              <w:spacing w:line="420" w:lineRule="exact"/>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二、服务期限</w:t>
            </w:r>
          </w:p>
          <w:p w14:paraId="19A58F4F">
            <w:pPr>
              <w:spacing w:line="420" w:lineRule="exact"/>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1. 合同签订之日起一年。</w:t>
            </w:r>
          </w:p>
          <w:p w14:paraId="16ECE5ED">
            <w:pPr>
              <w:spacing w:line="420" w:lineRule="exact"/>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2.合同延续年限、条件和方式：本项目合同履约期到期后，采购人依据本项目的服务履约评价情况及实际需求，在年度预算保障的前提下，且采购内容（采购需求）相对固定、连续（延续）性强、经费来源稳定、价格变化幅度小的情况下，可以通过一年一签的方式延续合同，最终总期限不得超过三年。</w:t>
            </w:r>
          </w:p>
        </w:tc>
        <w:tc>
          <w:tcPr>
            <w:tcW w:w="2925" w:type="dxa"/>
            <w:vAlign w:val="center"/>
          </w:tcPr>
          <w:p w14:paraId="7984F21B">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2097CEB8">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4FC7927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985" w:hRule="atLeast"/>
          <w:jc w:val="center"/>
        </w:trPr>
        <w:tc>
          <w:tcPr>
            <w:tcW w:w="640" w:type="dxa"/>
            <w:vAlign w:val="center"/>
          </w:tcPr>
          <w:p w14:paraId="600B76D3">
            <w:pPr>
              <w:adjustRightInd w:val="0"/>
              <w:snapToGrid w:val="0"/>
              <w:spacing w:line="400" w:lineRule="exact"/>
              <w:jc w:val="center"/>
              <w:outlineLvl w:val="0"/>
              <w:rPr>
                <w:rFonts w:ascii="宋体" w:hAnsi="宋体"/>
                <w:color w:val="auto"/>
                <w:szCs w:val="21"/>
              </w:rPr>
            </w:pPr>
            <w:bookmarkStart w:id="12" w:name="_Toc25531"/>
            <w:bookmarkStart w:id="13" w:name="_Toc5989"/>
            <w:r>
              <w:rPr>
                <w:rFonts w:hint="eastAsia" w:ascii="宋体" w:hAnsi="宋体"/>
                <w:color w:val="auto"/>
                <w:szCs w:val="21"/>
              </w:rPr>
              <w:t>3</w:t>
            </w:r>
            <w:bookmarkEnd w:id="12"/>
            <w:bookmarkEnd w:id="13"/>
          </w:p>
        </w:tc>
        <w:tc>
          <w:tcPr>
            <w:tcW w:w="3794" w:type="dxa"/>
            <w:vAlign w:val="center"/>
          </w:tcPr>
          <w:p w14:paraId="7CCF6183">
            <w:pPr>
              <w:spacing w:line="420" w:lineRule="exact"/>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三、付款方式：成交供应商按照采购服务需求完成清运服务的，经采购人验收合格的采购人每半年支付相应合同款（即6月30日、12月30日前支付服务费用）。每次付款前成交供应商应开具对应金额发票并送达采购人处。</w:t>
            </w:r>
          </w:p>
        </w:tc>
        <w:tc>
          <w:tcPr>
            <w:tcW w:w="2925" w:type="dxa"/>
            <w:vAlign w:val="center"/>
          </w:tcPr>
          <w:p w14:paraId="6263957A">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4E9D0D0F">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4AAE9B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284" w:hRule="atLeast"/>
          <w:jc w:val="center"/>
        </w:trPr>
        <w:tc>
          <w:tcPr>
            <w:tcW w:w="640" w:type="dxa"/>
            <w:vAlign w:val="center"/>
          </w:tcPr>
          <w:p w14:paraId="67DD286B">
            <w:pPr>
              <w:adjustRightInd w:val="0"/>
              <w:snapToGrid w:val="0"/>
              <w:spacing w:line="400" w:lineRule="exact"/>
              <w:jc w:val="center"/>
              <w:outlineLvl w:val="0"/>
              <w:rPr>
                <w:rFonts w:ascii="宋体" w:hAnsi="宋体"/>
                <w:color w:val="auto"/>
                <w:szCs w:val="21"/>
              </w:rPr>
            </w:pPr>
            <w:bookmarkStart w:id="14" w:name="_Toc24579"/>
            <w:bookmarkStart w:id="15" w:name="_Toc29620"/>
            <w:r>
              <w:rPr>
                <w:rFonts w:hint="eastAsia" w:ascii="宋体" w:hAnsi="宋体"/>
                <w:color w:val="auto"/>
                <w:szCs w:val="21"/>
              </w:rPr>
              <w:t>4</w:t>
            </w:r>
            <w:bookmarkEnd w:id="14"/>
            <w:bookmarkEnd w:id="15"/>
          </w:p>
        </w:tc>
        <w:tc>
          <w:tcPr>
            <w:tcW w:w="3794" w:type="dxa"/>
            <w:vAlign w:val="center"/>
          </w:tcPr>
          <w:p w14:paraId="7E0C74FB">
            <w:pPr>
              <w:spacing w:line="420" w:lineRule="exact"/>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四、服务地点：南宁市科园大道18号南宁中心血站。</w:t>
            </w:r>
          </w:p>
        </w:tc>
        <w:tc>
          <w:tcPr>
            <w:tcW w:w="2925" w:type="dxa"/>
            <w:vAlign w:val="center"/>
          </w:tcPr>
          <w:p w14:paraId="16E49A0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6D6F79E3">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7AD053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2324" w:hRule="atLeast"/>
          <w:jc w:val="center"/>
        </w:trPr>
        <w:tc>
          <w:tcPr>
            <w:tcW w:w="640" w:type="dxa"/>
            <w:vAlign w:val="center"/>
          </w:tcPr>
          <w:p w14:paraId="4D549480">
            <w:pPr>
              <w:adjustRightInd w:val="0"/>
              <w:snapToGrid w:val="0"/>
              <w:spacing w:line="400" w:lineRule="exact"/>
              <w:jc w:val="center"/>
              <w:outlineLvl w:val="0"/>
              <w:rPr>
                <w:rFonts w:ascii="宋体" w:hAnsi="宋体"/>
                <w:color w:val="auto"/>
                <w:szCs w:val="21"/>
              </w:rPr>
            </w:pPr>
            <w:bookmarkStart w:id="16" w:name="_Toc28228"/>
            <w:bookmarkStart w:id="17" w:name="_Toc24401"/>
            <w:r>
              <w:rPr>
                <w:rFonts w:hint="eastAsia" w:ascii="宋体" w:hAnsi="宋体"/>
                <w:color w:val="auto"/>
                <w:szCs w:val="21"/>
              </w:rPr>
              <w:t>5</w:t>
            </w:r>
            <w:bookmarkEnd w:id="16"/>
            <w:bookmarkEnd w:id="17"/>
          </w:p>
        </w:tc>
        <w:tc>
          <w:tcPr>
            <w:tcW w:w="3794" w:type="dxa"/>
            <w:vAlign w:val="center"/>
          </w:tcPr>
          <w:p w14:paraId="05E213C3">
            <w:pPr>
              <w:spacing w:line="420" w:lineRule="exact"/>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五、其他要求：</w:t>
            </w:r>
          </w:p>
          <w:p w14:paraId="602D84AE">
            <w:pPr>
              <w:spacing w:line="420" w:lineRule="exact"/>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1、报价必须含以下部分，包括：</w:t>
            </w:r>
          </w:p>
          <w:p w14:paraId="128EC0EE">
            <w:pPr>
              <w:spacing w:line="420" w:lineRule="exact"/>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（1）服务的价格；</w:t>
            </w:r>
          </w:p>
          <w:p w14:paraId="187A80A8">
            <w:pPr>
              <w:spacing w:line="420" w:lineRule="exact"/>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（2）必要的保险费用和各项税金；</w:t>
            </w:r>
          </w:p>
          <w:p w14:paraId="1DEF9090">
            <w:pPr>
              <w:spacing w:line="420" w:lineRule="exact"/>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（3）其他如完成本项目服务所需的人工、设备配置、利润和税金等所有费用。</w:t>
            </w:r>
          </w:p>
          <w:p w14:paraId="08F5302F">
            <w:pPr>
              <w:spacing w:line="420" w:lineRule="exact"/>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2、供应商应具备履行合同所必须的设备和专业技术能力。</w:t>
            </w:r>
          </w:p>
          <w:p w14:paraId="4E67DE12">
            <w:pPr>
              <w:spacing w:line="420" w:lineRule="exact"/>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3、服务过程中，如发现服务成果与需求不符的，经采购人三次提醒后成交供应商未能改正的，采购人有权解除采购合同，对采购人造成损失的成交供应商赔偿全部损失。</w:t>
            </w:r>
          </w:p>
        </w:tc>
        <w:tc>
          <w:tcPr>
            <w:tcW w:w="2925" w:type="dxa"/>
            <w:vAlign w:val="center"/>
          </w:tcPr>
          <w:p w14:paraId="6F8F5393">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0D64C908">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bl>
    <w:p w14:paraId="5D1D9BE4">
      <w:pPr>
        <w:pStyle w:val="7"/>
        <w:spacing w:line="400" w:lineRule="exact"/>
        <w:rPr>
          <w:rFonts w:hAnsi="宋体" w:cs="宋体"/>
          <w:color w:val="auto"/>
        </w:rPr>
      </w:pPr>
      <w:r>
        <w:rPr>
          <w:rFonts w:hAnsi="宋体" w:cs="宋体"/>
          <w:color w:val="auto"/>
        </w:rPr>
        <w:t>注：⑴表格内容均需按要求填写并盖章，不得留空，否则按无效</w:t>
      </w:r>
      <w:r>
        <w:rPr>
          <w:rFonts w:hint="eastAsia" w:hAnsi="宋体" w:cs="宋体"/>
          <w:color w:val="auto"/>
        </w:rPr>
        <w:t>响应</w:t>
      </w:r>
      <w:r>
        <w:rPr>
          <w:rFonts w:hAnsi="宋体" w:cs="宋体"/>
          <w:color w:val="auto"/>
        </w:rPr>
        <w:t>处理。</w:t>
      </w:r>
    </w:p>
    <w:p w14:paraId="6B0868D0">
      <w:pPr>
        <w:pStyle w:val="7"/>
        <w:spacing w:line="400" w:lineRule="exact"/>
        <w:ind w:left="689" w:leftChars="228" w:hanging="210" w:hangingChars="100"/>
        <w:rPr>
          <w:rFonts w:hAnsi="宋体" w:cs="宋体"/>
          <w:color w:val="auto"/>
        </w:rPr>
      </w:pPr>
      <w:r>
        <w:rPr>
          <w:rFonts w:hAnsi="宋体" w:cs="宋体"/>
          <w:color w:val="auto"/>
        </w:rPr>
        <w:t>⑵当</w:t>
      </w:r>
      <w:r>
        <w:rPr>
          <w:rFonts w:hint="eastAsia" w:hAnsi="宋体" w:cs="宋体"/>
          <w:color w:val="auto"/>
        </w:rPr>
        <w:t>响应</w:t>
      </w:r>
      <w:r>
        <w:rPr>
          <w:rFonts w:hAnsi="宋体" w:cs="宋体"/>
          <w:color w:val="auto"/>
        </w:rPr>
        <w:t>文件的内容低于</w:t>
      </w:r>
      <w:r>
        <w:rPr>
          <w:rFonts w:hint="eastAsia" w:hAnsi="宋体" w:cs="宋体"/>
          <w:color w:val="auto"/>
        </w:rPr>
        <w:t>附件1“采购需求一览表”中</w:t>
      </w:r>
      <w:r>
        <w:rPr>
          <w:rFonts w:hAnsi="宋体" w:cs="宋体"/>
          <w:color w:val="auto"/>
        </w:rPr>
        <w:t>商务条款的要求时，</w:t>
      </w:r>
      <w:r>
        <w:rPr>
          <w:rFonts w:hint="eastAsia" w:hAnsi="宋体" w:cs="宋体"/>
          <w:color w:val="auto"/>
        </w:rPr>
        <w:t>供应商</w:t>
      </w:r>
      <w:r>
        <w:rPr>
          <w:rFonts w:hAnsi="宋体" w:cs="宋体"/>
          <w:color w:val="auto"/>
        </w:rPr>
        <w:t>应当如实写明“负偏离”，否则视为虚假</w:t>
      </w:r>
      <w:r>
        <w:rPr>
          <w:rFonts w:hint="eastAsia" w:hAnsi="宋体" w:cs="宋体"/>
          <w:color w:val="auto"/>
        </w:rPr>
        <w:t>响应</w:t>
      </w:r>
      <w:r>
        <w:rPr>
          <w:rFonts w:hAnsi="宋体" w:cs="宋体"/>
          <w:color w:val="auto"/>
        </w:rPr>
        <w:t>。</w:t>
      </w:r>
    </w:p>
    <w:p w14:paraId="3EAA5A05">
      <w:pPr>
        <w:pStyle w:val="4"/>
        <w:numPr>
          <w:ilvl w:val="3"/>
          <w:numId w:val="0"/>
        </w:numPr>
      </w:pPr>
    </w:p>
    <w:p w14:paraId="7F80F59B">
      <w:pPr>
        <w:pStyle w:val="7"/>
        <w:spacing w:line="400" w:lineRule="exact"/>
        <w:rPr>
          <w:rFonts w:hAnsi="宋体" w:cs="宋体"/>
          <w:color w:val="auto"/>
        </w:rPr>
      </w:pPr>
      <w:r>
        <w:rPr>
          <w:rFonts w:hint="eastAsia" w:hAnsi="宋体" w:cs="宋体"/>
          <w:color w:val="auto"/>
        </w:rPr>
        <w:t>响应人（盖单位公章）：</w:t>
      </w:r>
    </w:p>
    <w:p w14:paraId="4379BA0A">
      <w:pPr>
        <w:pStyle w:val="7"/>
        <w:spacing w:line="400" w:lineRule="exact"/>
        <w:rPr>
          <w:rFonts w:hAnsi="宋体" w:cs="宋体"/>
          <w:color w:val="auto"/>
        </w:rPr>
      </w:pPr>
      <w:r>
        <w:rPr>
          <w:rFonts w:hint="eastAsia" w:hAnsi="宋体" w:cs="宋体"/>
          <w:color w:val="auto"/>
        </w:rPr>
        <w:t>法定代表人或其委托代理人（签字或盖章）：</w:t>
      </w:r>
    </w:p>
    <w:p w14:paraId="1C158152">
      <w:pPr>
        <w:pStyle w:val="7"/>
        <w:spacing w:line="560" w:lineRule="exact"/>
        <w:rPr>
          <w:rFonts w:hint="eastAsia" w:ascii="仿宋" w:hAnsi="仿宋" w:eastAsia="仿宋" w:cstheme="minorEastAsia"/>
          <w:color w:val="auto"/>
          <w:sz w:val="28"/>
          <w:szCs w:val="28"/>
        </w:rPr>
      </w:pPr>
    </w:p>
    <w:p w14:paraId="40817C1A">
      <w:pPr>
        <w:pStyle w:val="4"/>
        <w:numPr>
          <w:ilvl w:val="3"/>
          <w:numId w:val="0"/>
        </w:numPr>
        <w:ind w:left="1077" w:leftChars="0"/>
        <w:rPr>
          <w:rFonts w:hint="eastAsia"/>
        </w:rPr>
      </w:pPr>
    </w:p>
    <w:p w14:paraId="16C0C1B3">
      <w:pPr>
        <w:rPr>
          <w:rFonts w:hint="eastAsia" w:ascii="仿宋" w:hAnsi="仿宋" w:eastAsia="仿宋" w:cstheme="minorEastAsia"/>
          <w:color w:val="auto"/>
          <w:sz w:val="28"/>
          <w:szCs w:val="28"/>
        </w:rPr>
      </w:pPr>
    </w:p>
    <w:p w14:paraId="28F35F7C">
      <w:pPr>
        <w:pStyle w:val="2"/>
        <w:rPr>
          <w:rFonts w:hint="eastAsia" w:ascii="仿宋" w:hAnsi="仿宋" w:eastAsia="仿宋" w:cstheme="minorEastAsia"/>
          <w:color w:val="auto"/>
          <w:sz w:val="28"/>
          <w:szCs w:val="28"/>
        </w:rPr>
      </w:pPr>
    </w:p>
    <w:p w14:paraId="0340DCC1">
      <w:pPr>
        <w:pStyle w:val="2"/>
        <w:rPr>
          <w:rFonts w:hint="eastAsia" w:ascii="仿宋" w:hAnsi="仿宋" w:eastAsia="仿宋" w:cstheme="minorEastAsia"/>
          <w:color w:val="auto"/>
          <w:sz w:val="28"/>
          <w:szCs w:val="28"/>
        </w:rPr>
      </w:pPr>
    </w:p>
    <w:p w14:paraId="60CFFD40">
      <w:pPr>
        <w:pStyle w:val="2"/>
        <w:rPr>
          <w:rFonts w:hint="eastAsia" w:ascii="仿宋" w:hAnsi="仿宋" w:eastAsia="仿宋" w:cstheme="minorEastAsia"/>
          <w:color w:val="auto"/>
          <w:sz w:val="28"/>
          <w:szCs w:val="28"/>
        </w:rPr>
      </w:pPr>
    </w:p>
    <w:p w14:paraId="3116402A">
      <w:pPr>
        <w:pStyle w:val="2"/>
        <w:rPr>
          <w:rFonts w:hint="eastAsia" w:ascii="仿宋" w:hAnsi="仿宋" w:eastAsia="仿宋" w:cstheme="minorEastAsia"/>
          <w:color w:val="auto"/>
          <w:sz w:val="28"/>
          <w:szCs w:val="28"/>
        </w:rPr>
      </w:pPr>
    </w:p>
    <w:p w14:paraId="1D151D6B">
      <w:pPr>
        <w:pStyle w:val="7"/>
        <w:spacing w:line="560" w:lineRule="exact"/>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7              </w:t>
      </w:r>
    </w:p>
    <w:p w14:paraId="71B9303F">
      <w:pPr>
        <w:pStyle w:val="7"/>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w:t>
      </w:r>
      <w:r>
        <w:rPr>
          <w:rFonts w:hint="eastAsia" w:ascii="仿宋_GB2312" w:eastAsia="仿宋_GB2312"/>
          <w:color w:val="000000"/>
          <w:sz w:val="28"/>
          <w:szCs w:val="28"/>
          <w:u w:val="single"/>
          <w:lang w:val="en-US" w:eastAsia="zh-CN"/>
        </w:rPr>
        <w:t>2025年</w:t>
      </w:r>
      <w:r>
        <w:rPr>
          <w:rFonts w:hint="eastAsia" w:ascii="仿宋_GB2312" w:eastAsia="仿宋_GB2312"/>
          <w:color w:val="000000"/>
          <w:sz w:val="28"/>
          <w:szCs w:val="28"/>
          <w:u w:val="single"/>
        </w:rPr>
        <w:t xml:space="preserve">生活垃圾清运服务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3"/>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7"/>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1DCE1284">
      <w:pPr>
        <w:pStyle w:val="2"/>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8</w:t>
      </w:r>
    </w:p>
    <w:p w14:paraId="66FD8270">
      <w:pPr>
        <w:pStyle w:val="2"/>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7"/>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3"/>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2"/>
        <w:rPr>
          <w:rFonts w:hint="eastAsia" w:ascii="宋体" w:hAnsi="宋体" w:cs="宋体"/>
          <w:b/>
          <w:sz w:val="30"/>
          <w:szCs w:val="30"/>
        </w:rPr>
      </w:pPr>
    </w:p>
    <w:p w14:paraId="2B8C9D53">
      <w:pPr>
        <w:pStyle w:val="2"/>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7"/>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2024</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4"/>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4"/>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合同生效及其它</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7"/>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 xml:space="preserve">份，自甲乙双方法定代表或被授权代表人签字并加盖单位公章后正式生效。 </w:t>
      </w:r>
    </w:p>
    <w:p w14:paraId="2FE8FF88">
      <w:pPr>
        <w:pStyle w:val="10"/>
        <w:rPr>
          <w:rFonts w:hint="eastAsia" w:hAnsi="宋体"/>
        </w:rPr>
      </w:pPr>
    </w:p>
    <w:p w14:paraId="1B89841F">
      <w:pPr>
        <w:pStyle w:val="7"/>
        <w:spacing w:line="360" w:lineRule="auto"/>
        <w:ind w:firstLine="360"/>
        <w:rPr>
          <w:rFonts w:hAnsi="宋体" w:cs="宋体"/>
        </w:rPr>
      </w:pPr>
    </w:p>
    <w:p w14:paraId="79797D61">
      <w:pPr>
        <w:pStyle w:val="4"/>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10"/>
        <w:rPr>
          <w:rFonts w:hint="eastAsia" w:ascii="宋体" w:hAnsi="宋体" w:cs="宋体"/>
          <w:color w:val="auto"/>
          <w:szCs w:val="20"/>
          <w:u w:val="single"/>
          <w:lang w:val="en-US" w:eastAsia="zh-CN"/>
        </w:rPr>
      </w:pPr>
    </w:p>
    <w:p w14:paraId="2C6CE44A">
      <w:pPr>
        <w:pStyle w:val="10"/>
        <w:rPr>
          <w:rFonts w:hint="eastAsia" w:ascii="宋体" w:hAnsi="宋体" w:cs="宋体"/>
          <w:color w:val="auto"/>
          <w:szCs w:val="20"/>
          <w:u w:val="single"/>
          <w:lang w:val="en-US" w:eastAsia="zh-CN"/>
        </w:rPr>
      </w:pPr>
    </w:p>
    <w:p w14:paraId="237EF53B">
      <w:pPr>
        <w:pStyle w:val="10"/>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470AA34D">
      <w:pPr>
        <w:spacing w:line="360" w:lineRule="auto"/>
        <w:rPr>
          <w:rFonts w:hint="eastAsia" w:ascii="宋体" w:hAnsi="宋体"/>
          <w:color w:val="auto"/>
          <w:kern w:val="44"/>
          <w:sz w:val="44"/>
          <w:szCs w:val="44"/>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80EBDA0-4AB8-49D4-BCDE-5A4402C31265}"/>
  </w:font>
  <w:font w:name="Courier New">
    <w:panose1 w:val="02070309020205020404"/>
    <w:charset w:val="01"/>
    <w:family w:val="modern"/>
    <w:pitch w:val="default"/>
    <w:sig w:usb0="E0002EFF" w:usb1="C0007843" w:usb2="00000009" w:usb3="00000000" w:csb0="400001FF" w:csb1="FFFF0000"/>
    <w:embedRegular r:id="rId2" w:fontKey="{6E946F90-FCEF-4A89-AFE3-80A64F0BC9C8}"/>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6C577104-C0EC-4178-BAB6-87F6652E19B1}"/>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C003749E-8B23-4593-9732-F2A312E03AC3}"/>
  </w:font>
  <w:font w:name="仿宋_GB2312">
    <w:panose1 w:val="02010609030101010101"/>
    <w:charset w:val="86"/>
    <w:family w:val="modern"/>
    <w:pitch w:val="default"/>
    <w:sig w:usb0="00000001" w:usb1="080E0000" w:usb2="00000000" w:usb3="00000000" w:csb0="00040000" w:csb1="00000000"/>
    <w:embedRegular r:id="rId5" w:fontKey="{BFDDF8FC-9AB5-4B13-A62F-70DEB1924836}"/>
  </w:font>
  <w:font w:name="Lucida Sans Unicode">
    <w:panose1 w:val="020B0602030504020204"/>
    <w:charset w:val="00"/>
    <w:family w:val="swiss"/>
    <w:pitch w:val="default"/>
    <w:sig w:usb0="80001AFF" w:usb1="0000396B" w:usb2="00000000" w:usb3="00000000" w:csb0="200000BF" w:csb1="D7F70000"/>
    <w:embedRegular r:id="rId6" w:fontKey="{88D968E6-79C1-4A4E-B687-1CE5CFC8B0F1}"/>
  </w:font>
  <w:font w:name="方正楷体_GB2312">
    <w:panose1 w:val="02000000000000000000"/>
    <w:charset w:val="86"/>
    <w:family w:val="auto"/>
    <w:pitch w:val="default"/>
    <w:sig w:usb0="A00002BF" w:usb1="184F6CFA" w:usb2="00000012" w:usb3="00000000" w:csb0="00040001" w:csb1="00000000"/>
    <w:embedRegular r:id="rId7" w:fontKey="{93F108D4-449E-4567-80B6-B748A7A79964}"/>
  </w:font>
  <w:font w:name="仿宋">
    <w:panose1 w:val="02010609060101010101"/>
    <w:charset w:val="86"/>
    <w:family w:val="modern"/>
    <w:pitch w:val="default"/>
    <w:sig w:usb0="800002BF" w:usb1="38CF7CFA" w:usb2="00000016" w:usb3="00000000" w:csb0="00040001" w:csb1="00000000"/>
    <w:embedRegular r:id="rId8" w:fontKey="{633E2262-66D7-4494-BF72-392BA6CB6F9F}"/>
  </w:font>
  <w:font w:name="Wingdings 2">
    <w:panose1 w:val="05020102010507070707"/>
    <w:charset w:val="02"/>
    <w:family w:val="roman"/>
    <w:pitch w:val="default"/>
    <w:sig w:usb0="00000000" w:usb1="00000000" w:usb2="00000000" w:usb3="00000000" w:csb0="80000000" w:csb1="00000000"/>
    <w:embedRegular r:id="rId9" w:fontKey="{FC342650-C155-4535-B4F8-18906D45B630}"/>
  </w:font>
  <w:font w:name="方正公文小标宋">
    <w:panose1 w:val="02000500000000000000"/>
    <w:charset w:val="86"/>
    <w:family w:val="auto"/>
    <w:pitch w:val="default"/>
    <w:sig w:usb0="A00002BF" w:usb1="38CF7CFA" w:usb2="00000016" w:usb3="00000000" w:csb0="00040001" w:csb1="00000000"/>
    <w:embedRegular r:id="rId10" w:fontKey="{EF93802D-1D31-4E5D-8841-BF8A809AFFF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4"/>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47E37507"/>
    <w:multiLevelType w:val="singleLevel"/>
    <w:tmpl w:val="47E37507"/>
    <w:lvl w:ilvl="0" w:tentative="0">
      <w:start w:val="1"/>
      <w:numFmt w:val="chineseCounting"/>
      <w:suff w:val="nothing"/>
      <w:lvlText w:val="%1、"/>
      <w:lvlJc w:val="left"/>
      <w:rPr>
        <w:rFonts w:hint="eastAsia"/>
      </w:rPr>
    </w:lvl>
  </w:abstractNum>
  <w:abstractNum w:abstractNumId="3">
    <w:nsid w:val="6117E795"/>
    <w:multiLevelType w:val="singleLevel"/>
    <w:tmpl w:val="6117E795"/>
    <w:lvl w:ilvl="0" w:tentative="0">
      <w:start w:val="9"/>
      <w:numFmt w:val="decimal"/>
      <w:suff w:val="space"/>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1F14"/>
    <w:rsid w:val="00F921FB"/>
    <w:rsid w:val="00F96A21"/>
    <w:rsid w:val="00FA2E18"/>
    <w:rsid w:val="00FB3B95"/>
    <w:rsid w:val="00FD0A1A"/>
    <w:rsid w:val="02D74B40"/>
    <w:rsid w:val="031B2C7F"/>
    <w:rsid w:val="0350496E"/>
    <w:rsid w:val="03670C57"/>
    <w:rsid w:val="046C750A"/>
    <w:rsid w:val="08517143"/>
    <w:rsid w:val="0B656E1E"/>
    <w:rsid w:val="0C0A5403"/>
    <w:rsid w:val="0C145497"/>
    <w:rsid w:val="12C67FE1"/>
    <w:rsid w:val="14DC1B42"/>
    <w:rsid w:val="15D77522"/>
    <w:rsid w:val="16022C53"/>
    <w:rsid w:val="177D28D5"/>
    <w:rsid w:val="18504D21"/>
    <w:rsid w:val="18ED07C2"/>
    <w:rsid w:val="19A5109C"/>
    <w:rsid w:val="1B1F4E7E"/>
    <w:rsid w:val="1B5C39DD"/>
    <w:rsid w:val="1C9D2311"/>
    <w:rsid w:val="1D1B7434"/>
    <w:rsid w:val="1E4569AA"/>
    <w:rsid w:val="1E4824ED"/>
    <w:rsid w:val="1E6848B0"/>
    <w:rsid w:val="20EC5803"/>
    <w:rsid w:val="23DF7159"/>
    <w:rsid w:val="24880C9A"/>
    <w:rsid w:val="24C95406"/>
    <w:rsid w:val="25030284"/>
    <w:rsid w:val="2A3A75DF"/>
    <w:rsid w:val="2BAB4636"/>
    <w:rsid w:val="2BF57C61"/>
    <w:rsid w:val="2CED0939"/>
    <w:rsid w:val="2E620CC5"/>
    <w:rsid w:val="2F4A332F"/>
    <w:rsid w:val="32A86C88"/>
    <w:rsid w:val="34806536"/>
    <w:rsid w:val="35234768"/>
    <w:rsid w:val="35AD02FE"/>
    <w:rsid w:val="36323860"/>
    <w:rsid w:val="380D6333"/>
    <w:rsid w:val="38575800"/>
    <w:rsid w:val="388C54AA"/>
    <w:rsid w:val="38DD5D05"/>
    <w:rsid w:val="38E946AA"/>
    <w:rsid w:val="39254A49"/>
    <w:rsid w:val="3A155D47"/>
    <w:rsid w:val="3EC14DCA"/>
    <w:rsid w:val="3EDF7B5A"/>
    <w:rsid w:val="3EF757D7"/>
    <w:rsid w:val="3F794BDA"/>
    <w:rsid w:val="41431D95"/>
    <w:rsid w:val="41717D14"/>
    <w:rsid w:val="444D69AF"/>
    <w:rsid w:val="44942BEF"/>
    <w:rsid w:val="45D636A5"/>
    <w:rsid w:val="495E2059"/>
    <w:rsid w:val="49CF5B75"/>
    <w:rsid w:val="4A2E27D8"/>
    <w:rsid w:val="4B7122DD"/>
    <w:rsid w:val="4BE930B0"/>
    <w:rsid w:val="4DF267BC"/>
    <w:rsid w:val="508825A3"/>
    <w:rsid w:val="50901C87"/>
    <w:rsid w:val="5099641F"/>
    <w:rsid w:val="539011C5"/>
    <w:rsid w:val="53DA23BC"/>
    <w:rsid w:val="53E47AF0"/>
    <w:rsid w:val="541C5F97"/>
    <w:rsid w:val="54714A29"/>
    <w:rsid w:val="55731FB9"/>
    <w:rsid w:val="5745560C"/>
    <w:rsid w:val="57671164"/>
    <w:rsid w:val="59401951"/>
    <w:rsid w:val="5B2D3245"/>
    <w:rsid w:val="5DFB7A90"/>
    <w:rsid w:val="60884935"/>
    <w:rsid w:val="61F52ED8"/>
    <w:rsid w:val="6213192F"/>
    <w:rsid w:val="63267838"/>
    <w:rsid w:val="667523D3"/>
    <w:rsid w:val="66F31915"/>
    <w:rsid w:val="674A2C89"/>
    <w:rsid w:val="6A0A3D2C"/>
    <w:rsid w:val="6ABE00EC"/>
    <w:rsid w:val="6AC63F9C"/>
    <w:rsid w:val="703B4AE4"/>
    <w:rsid w:val="718A5132"/>
    <w:rsid w:val="71C86016"/>
    <w:rsid w:val="726C367A"/>
    <w:rsid w:val="732B5B1E"/>
    <w:rsid w:val="745C607B"/>
    <w:rsid w:val="75CC2D87"/>
    <w:rsid w:val="7877401B"/>
    <w:rsid w:val="78CC1807"/>
    <w:rsid w:val="792579EC"/>
    <w:rsid w:val="7AAD6DF1"/>
    <w:rsid w:val="7B5E6224"/>
    <w:rsid w:val="7C4223E5"/>
    <w:rsid w:val="7C812D3F"/>
    <w:rsid w:val="7D9D65DA"/>
    <w:rsid w:val="7DBF4FA6"/>
    <w:rsid w:val="7F3A791D"/>
    <w:rsid w:val="7F5417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4"/>
    <w:basedOn w:val="1"/>
    <w:next w:val="1"/>
    <w:link w:val="26"/>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link w:val="32"/>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3">
    <w:name w:val="Body Text"/>
    <w:basedOn w:val="1"/>
    <w:link w:val="20"/>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5">
    <w:name w:val="annotation text"/>
    <w:basedOn w:val="1"/>
    <w:link w:val="24"/>
    <w:qFormat/>
    <w:uiPriority w:val="0"/>
    <w:pPr>
      <w:jc w:val="left"/>
    </w:pPr>
    <w:rPr>
      <w:rFonts w:ascii="Calibri" w:hAnsi="Calibri" w:eastAsia="宋体" w:cs="Times New Roman"/>
    </w:rPr>
  </w:style>
  <w:style w:type="paragraph" w:styleId="6">
    <w:name w:val="Body Text Indent"/>
    <w:basedOn w:val="1"/>
    <w:link w:val="29"/>
    <w:semiHidden/>
    <w:unhideWhenUsed/>
    <w:qFormat/>
    <w:uiPriority w:val="99"/>
    <w:pPr>
      <w:spacing w:after="120"/>
      <w:ind w:left="420" w:leftChars="200"/>
    </w:pPr>
  </w:style>
  <w:style w:type="paragraph" w:styleId="7">
    <w:name w:val="Plain Text"/>
    <w:basedOn w:val="1"/>
    <w:next w:val="4"/>
    <w:link w:val="22"/>
    <w:unhideWhenUsed/>
    <w:qFormat/>
    <w:uiPriority w:val="0"/>
    <w:rPr>
      <w:rFonts w:ascii="宋体" w:hAnsi="Courier New" w:eastAsia="宋体" w:cs="Times New Roman"/>
      <w:szCs w:val="20"/>
    </w:rPr>
  </w:style>
  <w:style w:type="paragraph" w:styleId="8">
    <w:name w:val="Date"/>
    <w:basedOn w:val="1"/>
    <w:next w:val="1"/>
    <w:link w:val="31"/>
    <w:semiHidden/>
    <w:unhideWhenUsed/>
    <w:qFormat/>
    <w:uiPriority w:val="99"/>
    <w:pPr>
      <w:ind w:left="100" w:leftChars="2500"/>
    </w:pPr>
  </w:style>
  <w:style w:type="paragraph" w:styleId="9">
    <w:name w:val="Balloon Text"/>
    <w:basedOn w:val="1"/>
    <w:link w:val="25"/>
    <w:semiHidden/>
    <w:unhideWhenUsed/>
    <w:qFormat/>
    <w:uiPriority w:val="99"/>
    <w:rPr>
      <w:sz w:val="18"/>
      <w:szCs w:val="18"/>
    </w:rPr>
  </w:style>
  <w:style w:type="paragraph" w:styleId="10">
    <w:name w:val="footer"/>
    <w:basedOn w:val="1"/>
    <w:link w:val="23"/>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1">
    <w:name w:val="header"/>
    <w:basedOn w:val="1"/>
    <w:link w:val="34"/>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Normal (Web)"/>
    <w:basedOn w:val="1"/>
    <w:qFormat/>
    <w:uiPriority w:val="0"/>
    <w:pPr>
      <w:widowControl/>
      <w:spacing w:before="100" w:beforeAutospacing="1" w:after="100" w:afterAutospacing="1"/>
      <w:jc w:val="left"/>
    </w:pPr>
    <w:rPr>
      <w:rFonts w:hAnsi="宋体" w:cs="宋体"/>
      <w:szCs w:val="24"/>
    </w:rPr>
  </w:style>
  <w:style w:type="paragraph" w:styleId="13">
    <w:name w:val="Body Text First Indent 2"/>
    <w:basedOn w:val="6"/>
    <w:link w:val="30"/>
    <w:semiHidden/>
    <w:unhideWhenUsed/>
    <w:qFormat/>
    <w:uiPriority w:val="99"/>
    <w:pPr>
      <w:ind w:firstLine="420" w:firstLineChars="200"/>
    </w:p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22"/>
    <w:rPr>
      <w:b/>
      <w:bCs/>
    </w:rPr>
  </w:style>
  <w:style w:type="character" w:styleId="18">
    <w:name w:val="Hyperlink"/>
    <w:basedOn w:val="16"/>
    <w:qFormat/>
    <w:uiPriority w:val="0"/>
    <w:rPr>
      <w:color w:val="0000FF" w:themeColor="hyperlink"/>
      <w:u w:val="single"/>
      <w14:textFill>
        <w14:solidFill>
          <w14:schemeClr w14:val="hlink"/>
        </w14:solidFill>
      </w14:textFill>
    </w:rPr>
  </w:style>
  <w:style w:type="character" w:styleId="19">
    <w:name w:val="annotation reference"/>
    <w:basedOn w:val="16"/>
    <w:qFormat/>
    <w:uiPriority w:val="0"/>
    <w:rPr>
      <w:sz w:val="21"/>
      <w:szCs w:val="21"/>
    </w:rPr>
  </w:style>
  <w:style w:type="character" w:customStyle="1" w:styleId="20">
    <w:name w:val="正文文本 Char"/>
    <w:basedOn w:val="16"/>
    <w:link w:val="3"/>
    <w:semiHidden/>
    <w:qFormat/>
    <w:uiPriority w:val="99"/>
    <w:rPr>
      <w:rFonts w:ascii="宋体" w:hAnsi="宋体" w:eastAsia="宋体" w:cs="宋体"/>
      <w:kern w:val="0"/>
      <w:sz w:val="24"/>
      <w:szCs w:val="24"/>
    </w:rPr>
  </w:style>
  <w:style w:type="paragraph" w:styleId="21">
    <w:name w:val="List Paragraph"/>
    <w:basedOn w:val="1"/>
    <w:qFormat/>
    <w:uiPriority w:val="34"/>
    <w:pPr>
      <w:ind w:firstLine="420" w:firstLineChars="200"/>
    </w:pPr>
  </w:style>
  <w:style w:type="character" w:customStyle="1" w:styleId="22">
    <w:name w:val="纯文本 Char"/>
    <w:basedOn w:val="16"/>
    <w:link w:val="7"/>
    <w:qFormat/>
    <w:uiPriority w:val="99"/>
    <w:rPr>
      <w:rFonts w:ascii="宋体" w:hAnsi="Courier New" w:eastAsia="宋体" w:cs="Times New Roman"/>
      <w:szCs w:val="20"/>
    </w:rPr>
  </w:style>
  <w:style w:type="character" w:customStyle="1" w:styleId="23">
    <w:name w:val="页脚 Char"/>
    <w:basedOn w:val="16"/>
    <w:link w:val="10"/>
    <w:qFormat/>
    <w:uiPriority w:val="0"/>
    <w:rPr>
      <w:rFonts w:ascii="Calibri" w:hAnsi="Calibri" w:eastAsia="宋体" w:cs="Times New Roman"/>
      <w:sz w:val="18"/>
      <w:szCs w:val="18"/>
    </w:rPr>
  </w:style>
  <w:style w:type="character" w:customStyle="1" w:styleId="24">
    <w:name w:val="批注文字 Char"/>
    <w:basedOn w:val="16"/>
    <w:link w:val="5"/>
    <w:qFormat/>
    <w:uiPriority w:val="0"/>
    <w:rPr>
      <w:rFonts w:ascii="Calibri" w:hAnsi="Calibri" w:eastAsia="宋体" w:cs="Times New Roman"/>
    </w:rPr>
  </w:style>
  <w:style w:type="character" w:customStyle="1" w:styleId="25">
    <w:name w:val="批注框文本 Char"/>
    <w:basedOn w:val="16"/>
    <w:link w:val="9"/>
    <w:semiHidden/>
    <w:qFormat/>
    <w:uiPriority w:val="99"/>
    <w:rPr>
      <w:sz w:val="18"/>
      <w:szCs w:val="18"/>
    </w:rPr>
  </w:style>
  <w:style w:type="character" w:customStyle="1" w:styleId="26">
    <w:name w:val="标题 4 Char"/>
    <w:basedOn w:val="16"/>
    <w:link w:val="4"/>
    <w:qFormat/>
    <w:uiPriority w:val="0"/>
    <w:rPr>
      <w:rFonts w:ascii="Arial" w:eastAsia="黑体"/>
      <w:kern w:val="0"/>
      <w:sz w:val="28"/>
      <w:szCs w:val="20"/>
    </w:rPr>
  </w:style>
  <w:style w:type="character" w:customStyle="1" w:styleId="27">
    <w:name w:val="font171"/>
    <w:basedOn w:val="16"/>
    <w:qFormat/>
    <w:uiPriority w:val="0"/>
    <w:rPr>
      <w:rFonts w:ascii="Arial" w:hAnsi="Arial" w:cs="Arial"/>
      <w:color w:val="000000"/>
      <w:sz w:val="16"/>
      <w:szCs w:val="16"/>
      <w:u w:val="none"/>
    </w:rPr>
  </w:style>
  <w:style w:type="character" w:customStyle="1" w:styleId="28">
    <w:name w:val="font191"/>
    <w:basedOn w:val="16"/>
    <w:qFormat/>
    <w:uiPriority w:val="0"/>
    <w:rPr>
      <w:rFonts w:hint="eastAsia" w:ascii="微软雅黑" w:hAnsi="微软雅黑" w:eastAsia="微软雅黑" w:cs="微软雅黑"/>
      <w:color w:val="000000"/>
      <w:sz w:val="16"/>
      <w:szCs w:val="16"/>
      <w:u w:val="none"/>
    </w:rPr>
  </w:style>
  <w:style w:type="character" w:customStyle="1" w:styleId="29">
    <w:name w:val="正文文本缩进 Char"/>
    <w:basedOn w:val="16"/>
    <w:link w:val="6"/>
    <w:semiHidden/>
    <w:qFormat/>
    <w:uiPriority w:val="99"/>
  </w:style>
  <w:style w:type="character" w:customStyle="1" w:styleId="30">
    <w:name w:val="正文首行缩进 2 Char"/>
    <w:basedOn w:val="29"/>
    <w:link w:val="13"/>
    <w:semiHidden/>
    <w:qFormat/>
    <w:uiPriority w:val="99"/>
  </w:style>
  <w:style w:type="character" w:customStyle="1" w:styleId="31">
    <w:name w:val="日期 Char"/>
    <w:basedOn w:val="16"/>
    <w:link w:val="8"/>
    <w:semiHidden/>
    <w:qFormat/>
    <w:uiPriority w:val="99"/>
  </w:style>
  <w:style w:type="character" w:customStyle="1" w:styleId="32">
    <w:name w:val="正文首行缩进 Char"/>
    <w:basedOn w:val="20"/>
    <w:link w:val="2"/>
    <w:qFormat/>
    <w:uiPriority w:val="0"/>
    <w:rPr>
      <w:rFonts w:ascii="Times New Roman" w:hAnsi="Times New Roman" w:eastAsia="宋体" w:cs="宋体"/>
      <w:kern w:val="0"/>
      <w:sz w:val="24"/>
      <w:szCs w:val="24"/>
    </w:rPr>
  </w:style>
  <w:style w:type="paragraph" w:customStyle="1" w:styleId="33">
    <w:name w:val="Table Paragraph"/>
    <w:basedOn w:val="1"/>
    <w:unhideWhenUsed/>
    <w:qFormat/>
    <w:uiPriority w:val="1"/>
    <w:rPr>
      <w:rFonts w:hint="eastAsia"/>
      <w:sz w:val="24"/>
      <w:szCs w:val="24"/>
    </w:rPr>
  </w:style>
  <w:style w:type="character" w:customStyle="1" w:styleId="34">
    <w:name w:val="页眉 Char"/>
    <w:basedOn w:val="16"/>
    <w:link w:val="11"/>
    <w:qFormat/>
    <w:uiPriority w:val="99"/>
    <w:rPr>
      <w:kern w:val="2"/>
      <w:sz w:val="18"/>
      <w:szCs w:val="18"/>
    </w:rPr>
  </w:style>
  <w:style w:type="paragraph" w:customStyle="1" w:styleId="35">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6">
    <w:name w:val="表格文字"/>
    <w:basedOn w:val="1"/>
    <w:qFormat/>
    <w:uiPriority w:val="99"/>
    <w:pPr>
      <w:spacing w:before="25" w:after="25"/>
      <w:jc w:val="left"/>
    </w:pPr>
    <w:rPr>
      <w:bCs/>
      <w:spacing w:val="10"/>
      <w:kern w:val="0"/>
      <w:sz w:val="24"/>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25</Pages>
  <Words>8917</Words>
  <Characters>9402</Characters>
  <Lines>39</Lines>
  <Paragraphs>11</Paragraphs>
  <TotalTime>8</TotalTime>
  <ScaleCrop>false</ScaleCrop>
  <LinksUpToDate>false</LinksUpToDate>
  <CharactersWithSpaces>10754</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WPS</cp:lastModifiedBy>
  <dcterms:modified xsi:type="dcterms:W3CDTF">2024-12-04T03:59:12Z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DBAAD00E7FFC4A1DA3C59792FBC1CCF8_13</vt:lpwstr>
  </property>
</Properties>
</file>