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EC2F3"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 w14:paraId="702A2974">
      <w:pPr>
        <w:pStyle w:val="4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 w14:paraId="4060398E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A分标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 w14:paraId="21CC9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05877A4D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092145F3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 w14:paraId="304BA244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 w14:paraId="68EFFE2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 w14:paraId="4A5A78EF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 w14:paraId="511EF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03CB2B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57FCE640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血小板抗体检测试剂盒LIFECODES PAK-Lx</w:t>
            </w:r>
          </w:p>
        </w:tc>
        <w:tc>
          <w:tcPr>
            <w:tcW w:w="1410" w:type="dxa"/>
            <w:noWrap w:val="0"/>
            <w:vAlign w:val="center"/>
          </w:tcPr>
          <w:p w14:paraId="47A23D0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5685" w:type="dxa"/>
            <w:noWrap w:val="0"/>
            <w:vAlign w:val="center"/>
          </w:tcPr>
          <w:p w14:paraId="0F36A3E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1．检测原理</w:t>
            </w:r>
          </w:p>
          <w:p w14:paraId="4D9FFF1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流式微球法分析：利用编码微球包被重组纯化的抗原与样本中的抗体特异性结合，通过抗Igg二抗进行检测。</w:t>
            </w:r>
          </w:p>
          <w:p w14:paraId="04DE510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2．检测目标</w:t>
            </w:r>
          </w:p>
          <w:p w14:paraId="27567AB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血小板特异性抗体：如抗﹣HPA（人类血小板抗原）和抗﹣HLA（人类白细胞抗原）抗体。</w:t>
            </w:r>
          </w:p>
          <w:p w14:paraId="70A2BF59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3．样本类型</w:t>
            </w:r>
          </w:p>
          <w:p w14:paraId="1E868B6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血清或血浆：通常使用血清样本，血浆样本也可适用。</w:t>
            </w:r>
          </w:p>
          <w:p w14:paraId="135F277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4．检测时间</w:t>
            </w:r>
          </w:p>
          <w:p w14:paraId="0138E0D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约2-3小时：从样本处理到结果读取的整个过程。</w:t>
            </w:r>
          </w:p>
          <w:p w14:paraId="10C301A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5．灵敏度</w:t>
            </w:r>
          </w:p>
          <w:p w14:paraId="7A1B75E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高灵敏度：能够检测低浓度的血小板抗体。</w:t>
            </w:r>
          </w:p>
          <w:p w14:paraId="2402BFB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6．特异性</w:t>
            </w:r>
          </w:p>
          <w:p w14:paraId="517BE96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高特异性：能够区分不同类型的血小板抗体。</w:t>
            </w:r>
          </w:p>
          <w:p w14:paraId="053A16B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7．试剂盒组成</w:t>
            </w:r>
          </w:p>
          <w:p w14:paraId="77ED476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冻干微球：预包被HPA，GPIV和I类HLA糖蛋白的血小板抗原。</w:t>
            </w:r>
          </w:p>
          <w:p w14:paraId="564318A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微球稀释剂：磷酸盐缓冲液，用于稀释冻干微球。</w:t>
            </w:r>
          </w:p>
          <w:p w14:paraId="098368B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二抗浓缩液：用于检测结合的抗原抗体复合物。</w:t>
            </w:r>
          </w:p>
          <w:p w14:paraId="01C9BA14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阳性对照血清：用于提供阳性质控。</w:t>
            </w:r>
          </w:p>
          <w:p w14:paraId="253FA5B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阴性性对照血清：用于提供阳性质控。</w:t>
            </w:r>
          </w:p>
          <w:p w14:paraId="62067E0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8．储存条件 2-8°C</w:t>
            </w:r>
          </w:p>
        </w:tc>
        <w:tc>
          <w:tcPr>
            <w:tcW w:w="1003" w:type="dxa"/>
            <w:noWrap w:val="0"/>
            <w:vAlign w:val="center"/>
          </w:tcPr>
          <w:p w14:paraId="42B532F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3盒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 w14:paraId="214E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 w14:paraId="41DDD8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3C7987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3AD47B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20ACEF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32CE55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6C267A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1C418D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2966B7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5C7FB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3437A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72AC0D99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p w14:paraId="3F0E6478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 w14:paraId="35B85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49AC7F3D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2CE0E0F1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 w14:paraId="6FAEC494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 w14:paraId="52827AF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 w14:paraId="16600800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 w14:paraId="7994B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C07A11C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13EC3B75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核酸样本预处理试剂（飞行时间质谱法）</w:t>
            </w:r>
          </w:p>
        </w:tc>
        <w:tc>
          <w:tcPr>
            <w:tcW w:w="1410" w:type="dxa"/>
            <w:noWrap w:val="0"/>
            <w:vAlign w:val="center"/>
          </w:tcPr>
          <w:p w14:paraId="14EF1DAA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5685" w:type="dxa"/>
            <w:noWrap w:val="0"/>
            <w:vAlign w:val="center"/>
          </w:tcPr>
          <w:p w14:paraId="10A55907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1、包装规格： 4*96人份/盒</w:t>
            </w:r>
          </w:p>
          <w:p w14:paraId="7F9F26A4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2、预期用途：用于飞行时间核酸质谱的样本前处理，其处理后的产物用于飞行时间质谱使用。 产品组成中不含可与样本特异性结合的抗原、抗体、探针等成分。</w:t>
            </w:r>
          </w:p>
          <w:p w14:paraId="412990C9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3、检验原理：对目的基因组DNA进行PCR扩增，将扩增产物使用SAP酶去除多余dNTPs，再进行 ddNTPs 单碱基延伸，扩增产物用于飞行时间质谱分析系统检测。</w:t>
            </w:r>
          </w:p>
          <w:p w14:paraId="33324C1A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4、主要组成成分：试剂盒由 PCR 酶、 PCR 缓冲液、 SAP 酶、 SAP 缓冲液、延伸酶、延伸缓冲液、延伸终止液组成。</w:t>
            </w:r>
          </w:p>
          <w:p w14:paraId="01927ADB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5、储存条件：试剂盒于-20℃±5℃保存、运输。试剂盒有效期： 12 个月</w:t>
            </w:r>
          </w:p>
          <w:p w14:paraId="6EE3252A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6、检测性能：</w:t>
            </w:r>
          </w:p>
          <w:p w14:paraId="02566558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1）阳性参考品符合率：1 份阳性参考品的阳性符合率为 100%，且型别准确。</w:t>
            </w:r>
          </w:p>
          <w:p w14:paraId="5E57A0D8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2）阴性参考品符合率：2 份阴性参考品的阴性符合率为 100%。</w:t>
            </w:r>
          </w:p>
          <w:p w14:paraId="7F006ABE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3）最低检测限最低检测限不低于 10ng/μL。</w:t>
            </w:r>
          </w:p>
          <w:p w14:paraId="72575C7F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4）精密度：对精密性参考品重复检定 10 次， 均应检验出相应的基因型</w:t>
            </w:r>
          </w:p>
        </w:tc>
        <w:tc>
          <w:tcPr>
            <w:tcW w:w="1003" w:type="dxa"/>
            <w:noWrap w:val="0"/>
            <w:vAlign w:val="center"/>
          </w:tcPr>
          <w:p w14:paraId="49F07DD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2盒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 w14:paraId="436D8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 w14:paraId="390F1C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3087F1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049B7B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5977AF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580B69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41F692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143A0D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1818F1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431C83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11340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7C53A240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C分标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 w14:paraId="086EC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37721A5F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4AFDE5F7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 w14:paraId="59C37763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 w14:paraId="7A6E7B7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 w14:paraId="676306AF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 w14:paraId="1CFD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674" w:type="dxa"/>
            <w:noWrap w:val="0"/>
            <w:vAlign w:val="center"/>
          </w:tcPr>
          <w:p w14:paraId="513CB35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4EAA4DDD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iPLEX® Pro, PCR Reagent And SpectroCHIP® Kit - CPM (10x96)基因分型试剂盒</w:t>
            </w:r>
          </w:p>
        </w:tc>
        <w:tc>
          <w:tcPr>
            <w:tcW w:w="1410" w:type="dxa"/>
            <w:noWrap w:val="0"/>
            <w:vAlign w:val="center"/>
          </w:tcPr>
          <w:p w14:paraId="60C7A84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5685" w:type="dxa"/>
            <w:noWrap w:val="0"/>
            <w:vAlign w:val="center"/>
          </w:tcPr>
          <w:p w14:paraId="011316A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规格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960人份</w:t>
            </w:r>
            <w:r>
              <w:rPr>
                <w:rFonts w:hint="eastAsia"/>
                <w:lang w:eastAsia="zh-CN"/>
              </w:rPr>
              <w:t>。</w:t>
            </w:r>
          </w:p>
          <w:p w14:paraId="0EA5766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适配仪器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MassARRAY Analyzer 4 System with Chip PrepModule, 96</w:t>
            </w:r>
            <w:r>
              <w:rPr>
                <w:rFonts w:hint="eastAsia"/>
                <w:lang w:eastAsia="zh-CN"/>
              </w:rPr>
              <w:t>。</w:t>
            </w:r>
          </w:p>
          <w:p w14:paraId="0413EBA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组分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试剂- PCR Enzyme, MgCl2, 10X Buffer, dNTP Mix （用于PCR多重扩增） - SAP and Buffer  （用于去磷酸化）- iPLEX® Pro Enzyme, Termination Mix and Buffer Plus  （用于单碱基延伸）- 3-Point Calibrant （标准品）</w:t>
            </w:r>
          </w:p>
          <w:p w14:paraId="07C41FF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芯片：- SpectroCHIP® CPM-96 Arrays （芯片，用于上机点样飞行分析）</w:t>
            </w:r>
            <w:r>
              <w:rPr>
                <w:rFonts w:hint="eastAsia"/>
                <w:lang w:eastAsia="zh-CN"/>
              </w:rPr>
              <w:t>。</w:t>
            </w:r>
          </w:p>
          <w:p w14:paraId="1422AD0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1003" w:type="dxa"/>
            <w:noWrap w:val="0"/>
            <w:vAlign w:val="center"/>
          </w:tcPr>
          <w:p w14:paraId="79CACA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 w14:paraId="05E9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E55EA9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  <w:bookmarkStart w:id="0" w:name="_GoBack"/>
            <w:bookmarkEnd w:id="0"/>
          </w:p>
        </w:tc>
        <w:tc>
          <w:tcPr>
            <w:tcW w:w="1530" w:type="dxa"/>
            <w:noWrap w:val="0"/>
            <w:vAlign w:val="center"/>
          </w:tcPr>
          <w:p w14:paraId="47571D0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MassARRAY® Clean Resin, 28g   脱盐树脂</w:t>
            </w:r>
          </w:p>
        </w:tc>
        <w:tc>
          <w:tcPr>
            <w:tcW w:w="1410" w:type="dxa"/>
            <w:noWrap w:val="0"/>
            <w:vAlign w:val="center"/>
          </w:tcPr>
          <w:p w14:paraId="5D39D1F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10"/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瓶</w:t>
            </w:r>
          </w:p>
        </w:tc>
        <w:tc>
          <w:tcPr>
            <w:tcW w:w="5685" w:type="dxa"/>
            <w:noWrap w:val="0"/>
            <w:vAlign w:val="center"/>
          </w:tcPr>
          <w:p w14:paraId="5B85B9D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1.规格：28g。</w:t>
            </w:r>
          </w:p>
          <w:p w14:paraId="2B78E67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2.适配仪器：MassARRAY Analyzer 4 System with Chip PrepModule, 96。</w:t>
            </w:r>
          </w:p>
          <w:p w14:paraId="6CF7F53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3.用途：脱盐。</w:t>
            </w:r>
          </w:p>
        </w:tc>
        <w:tc>
          <w:tcPr>
            <w:tcW w:w="1003" w:type="dxa"/>
            <w:noWrap w:val="0"/>
            <w:vAlign w:val="center"/>
          </w:tcPr>
          <w:p w14:paraId="05D85F9F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 w14:paraId="4BBF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 w14:paraId="78D7B6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4D4486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个日历日供货完毕。</w:t>
            </w:r>
          </w:p>
          <w:p w14:paraId="7DFF73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1C4EFAD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2144D1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5F7507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226B96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73BAAB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3CE54A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5A0C7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57B44416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D分标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 w14:paraId="64BEB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47633FCE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7A3F19EE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 w14:paraId="153B754A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 w14:paraId="761AE020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 w14:paraId="7E7507D3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 w14:paraId="5B5DF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8B0FD12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2652E864"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热传导软垫</w:t>
            </w:r>
          </w:p>
        </w:tc>
        <w:tc>
          <w:tcPr>
            <w:tcW w:w="1410" w:type="dxa"/>
            <w:noWrap w:val="0"/>
            <w:vAlign w:val="center"/>
          </w:tcPr>
          <w:p w14:paraId="01426FE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张</w:t>
            </w:r>
          </w:p>
        </w:tc>
        <w:tc>
          <w:tcPr>
            <w:tcW w:w="5685" w:type="dxa"/>
            <w:noWrap w:val="0"/>
            <w:vAlign w:val="center"/>
          </w:tcPr>
          <w:p w14:paraId="32123FA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尺寸：600*570MM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    </w:t>
            </w:r>
          </w:p>
          <w:p w14:paraId="13DBD1C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材料:TPU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-60℃以下不结冰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  <w:p w14:paraId="1B32B90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用途:解决不同规格的血浆速冻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3" w:type="dxa"/>
            <w:noWrap w:val="0"/>
            <w:vAlign w:val="center"/>
          </w:tcPr>
          <w:p w14:paraId="7478E71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约6张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 w14:paraId="180F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 w14:paraId="6EFCCA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 w14:paraId="31C886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35E40B2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3E962D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FFA65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32CF4B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3B8D7A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4D032B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F3C7B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3FEA3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5EFA228C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0877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7A5DFC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7A5DFC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2EB4148"/>
    <w:rsid w:val="03661216"/>
    <w:rsid w:val="03920A67"/>
    <w:rsid w:val="03E47CA3"/>
    <w:rsid w:val="04FD0162"/>
    <w:rsid w:val="05171224"/>
    <w:rsid w:val="060A38CF"/>
    <w:rsid w:val="069D6CB3"/>
    <w:rsid w:val="06FD7E3D"/>
    <w:rsid w:val="07385D1A"/>
    <w:rsid w:val="08EB30F3"/>
    <w:rsid w:val="09B12778"/>
    <w:rsid w:val="0A165F4E"/>
    <w:rsid w:val="0A9926DB"/>
    <w:rsid w:val="0B70168E"/>
    <w:rsid w:val="0C232BA4"/>
    <w:rsid w:val="0C665759"/>
    <w:rsid w:val="0C985340"/>
    <w:rsid w:val="0E7242FC"/>
    <w:rsid w:val="0F5F5CA1"/>
    <w:rsid w:val="0FA42661"/>
    <w:rsid w:val="10442C51"/>
    <w:rsid w:val="12152FD8"/>
    <w:rsid w:val="128838A2"/>
    <w:rsid w:val="12B63128"/>
    <w:rsid w:val="13487DD3"/>
    <w:rsid w:val="14A625C4"/>
    <w:rsid w:val="14B90F49"/>
    <w:rsid w:val="15BF56EC"/>
    <w:rsid w:val="15D46CBD"/>
    <w:rsid w:val="16445BF1"/>
    <w:rsid w:val="17B648CC"/>
    <w:rsid w:val="17DD7CEA"/>
    <w:rsid w:val="17F95D84"/>
    <w:rsid w:val="18CA00E7"/>
    <w:rsid w:val="1A815666"/>
    <w:rsid w:val="1C9F6DCC"/>
    <w:rsid w:val="1D1B54F2"/>
    <w:rsid w:val="20560211"/>
    <w:rsid w:val="22405C94"/>
    <w:rsid w:val="22676EFD"/>
    <w:rsid w:val="22F26962"/>
    <w:rsid w:val="24015121"/>
    <w:rsid w:val="250273A3"/>
    <w:rsid w:val="259C6F3E"/>
    <w:rsid w:val="274E294E"/>
    <w:rsid w:val="278E3170"/>
    <w:rsid w:val="27E223A7"/>
    <w:rsid w:val="29A6442A"/>
    <w:rsid w:val="29BF1D06"/>
    <w:rsid w:val="2A4115D7"/>
    <w:rsid w:val="2A8F53BC"/>
    <w:rsid w:val="2BFD08C4"/>
    <w:rsid w:val="2C2540F2"/>
    <w:rsid w:val="2D4744ED"/>
    <w:rsid w:val="2D5E1836"/>
    <w:rsid w:val="30D50504"/>
    <w:rsid w:val="324F1BD9"/>
    <w:rsid w:val="326A2A2B"/>
    <w:rsid w:val="340C20A8"/>
    <w:rsid w:val="352460F7"/>
    <w:rsid w:val="3781684D"/>
    <w:rsid w:val="37F012DD"/>
    <w:rsid w:val="38B56F92"/>
    <w:rsid w:val="39773EAF"/>
    <w:rsid w:val="3A345DF9"/>
    <w:rsid w:val="3A962E97"/>
    <w:rsid w:val="3C05032F"/>
    <w:rsid w:val="3CE36C68"/>
    <w:rsid w:val="3D113FF3"/>
    <w:rsid w:val="414A5F02"/>
    <w:rsid w:val="414D154E"/>
    <w:rsid w:val="41940635"/>
    <w:rsid w:val="43A15B81"/>
    <w:rsid w:val="43C7383A"/>
    <w:rsid w:val="44EE4DF6"/>
    <w:rsid w:val="44EF709F"/>
    <w:rsid w:val="454060B5"/>
    <w:rsid w:val="45F84C2C"/>
    <w:rsid w:val="46933EA7"/>
    <w:rsid w:val="469C4D00"/>
    <w:rsid w:val="483D40CA"/>
    <w:rsid w:val="48D013E2"/>
    <w:rsid w:val="48FA1FBB"/>
    <w:rsid w:val="49CE0DBE"/>
    <w:rsid w:val="49F01DD4"/>
    <w:rsid w:val="4AEF126B"/>
    <w:rsid w:val="4B0709C0"/>
    <w:rsid w:val="4BA4468D"/>
    <w:rsid w:val="4CED4BCD"/>
    <w:rsid w:val="4F205215"/>
    <w:rsid w:val="4FB32ED7"/>
    <w:rsid w:val="50281B04"/>
    <w:rsid w:val="50610B72"/>
    <w:rsid w:val="50B60EBE"/>
    <w:rsid w:val="518C60C3"/>
    <w:rsid w:val="52D04595"/>
    <w:rsid w:val="52DE294E"/>
    <w:rsid w:val="55FA1DFC"/>
    <w:rsid w:val="5AD15ECD"/>
    <w:rsid w:val="5C043425"/>
    <w:rsid w:val="5C7008F6"/>
    <w:rsid w:val="5D6E48CE"/>
    <w:rsid w:val="5D9F1AFA"/>
    <w:rsid w:val="5FDD4F84"/>
    <w:rsid w:val="60F46F9A"/>
    <w:rsid w:val="610B7AF6"/>
    <w:rsid w:val="62830D00"/>
    <w:rsid w:val="62A274F4"/>
    <w:rsid w:val="63404289"/>
    <w:rsid w:val="64547CB0"/>
    <w:rsid w:val="65402807"/>
    <w:rsid w:val="65F12DB4"/>
    <w:rsid w:val="66212E26"/>
    <w:rsid w:val="68420E31"/>
    <w:rsid w:val="68F95994"/>
    <w:rsid w:val="696574CD"/>
    <w:rsid w:val="6B0D5727"/>
    <w:rsid w:val="6BD045B2"/>
    <w:rsid w:val="6BEF2F2E"/>
    <w:rsid w:val="6EC8466A"/>
    <w:rsid w:val="6FA639E7"/>
    <w:rsid w:val="712832C6"/>
    <w:rsid w:val="71A0543F"/>
    <w:rsid w:val="72C23E89"/>
    <w:rsid w:val="72D30BCC"/>
    <w:rsid w:val="73D56FFD"/>
    <w:rsid w:val="7429587D"/>
    <w:rsid w:val="76D61216"/>
    <w:rsid w:val="77766964"/>
    <w:rsid w:val="7AE91D0C"/>
    <w:rsid w:val="7B6E5D6D"/>
    <w:rsid w:val="7B814097"/>
    <w:rsid w:val="7C55517F"/>
    <w:rsid w:val="7E543940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1961</Words>
  <Characters>2307</Characters>
  <Lines>0</Lines>
  <Paragraphs>0</Paragraphs>
  <TotalTime>39</TotalTime>
  <ScaleCrop>false</ScaleCrop>
  <LinksUpToDate>false</LinksUpToDate>
  <CharactersWithSpaces>2462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2022-10-14T09:11:00Z</cp:lastPrinted>
  <dcterms:modified xsi:type="dcterms:W3CDTF">2025-03-18T09:52:58Z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