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2DB20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09A6978F">
      <w:pPr>
        <w:jc w:val="center"/>
        <w:rPr>
          <w:rFonts w:hint="eastAsia" w:eastAsia="仿宋"/>
          <w:b/>
          <w:sz w:val="32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报价表（样表）</w:t>
      </w:r>
    </w:p>
    <w:p w14:paraId="14C70E99">
      <w:pPr>
        <w:jc w:val="center"/>
        <w:rPr>
          <w:rFonts w:hint="eastAsia" w:eastAsia="仿宋"/>
          <w:b/>
          <w:sz w:val="32"/>
          <w:lang w:val="en-US" w:eastAsia="zh-CN"/>
        </w:rPr>
      </w:pPr>
    </w:p>
    <w:p w14:paraId="05FD5333">
      <w:pPr>
        <w:pStyle w:val="4"/>
        <w:ind w:firstLine="480" w:firstLineChars="200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我公司已认真阅读了南宁中心血站2025年一批试剂及耗材采购公告，我方完全理解并接受贵方本次采购内容和要求，在满足采购人商务条款的需求下，参与该分标报价。</w:t>
      </w:r>
    </w:p>
    <w:p w14:paraId="4060398E"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A分标</w:t>
      </w:r>
    </w:p>
    <w:tbl>
      <w:tblPr>
        <w:tblStyle w:val="7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707"/>
        <w:gridCol w:w="5220"/>
        <w:gridCol w:w="930"/>
        <w:gridCol w:w="930"/>
      </w:tblGrid>
      <w:tr w14:paraId="4343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05877A4D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092145F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07" w:type="dxa"/>
            <w:noWrap w:val="0"/>
            <w:vAlign w:val="center"/>
          </w:tcPr>
          <w:p w14:paraId="304BA244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220" w:type="dxa"/>
            <w:noWrap w:val="0"/>
            <w:vAlign w:val="center"/>
          </w:tcPr>
          <w:p w14:paraId="68EFFE2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930" w:type="dxa"/>
            <w:noWrap w:val="0"/>
            <w:vAlign w:val="center"/>
          </w:tcPr>
          <w:p w14:paraId="4A5A78EF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  <w:tc>
          <w:tcPr>
            <w:tcW w:w="930" w:type="dxa"/>
            <w:noWrap w:val="0"/>
            <w:vAlign w:val="center"/>
          </w:tcPr>
          <w:p w14:paraId="643AEED8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报价</w:t>
            </w:r>
          </w:p>
        </w:tc>
      </w:tr>
      <w:tr w14:paraId="10EAF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03CB2B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57FCE640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血小板抗体检测试剂盒LIFECODES PAK-Lx</w:t>
            </w:r>
          </w:p>
        </w:tc>
        <w:tc>
          <w:tcPr>
            <w:tcW w:w="707" w:type="dxa"/>
            <w:noWrap w:val="0"/>
            <w:vAlign w:val="center"/>
          </w:tcPr>
          <w:p w14:paraId="47A23D0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5220" w:type="dxa"/>
            <w:noWrap w:val="0"/>
            <w:vAlign w:val="center"/>
          </w:tcPr>
          <w:p w14:paraId="0F36A3E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1．检测原理</w:t>
            </w:r>
          </w:p>
          <w:p w14:paraId="4D9FFF1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流式微球法分析：利用编码微球包被重组纯化的抗原与样本中的抗体特异性结合，通过抗Igg二抗进行检测。</w:t>
            </w:r>
          </w:p>
          <w:p w14:paraId="04DE510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2．检测目标</w:t>
            </w:r>
          </w:p>
          <w:p w14:paraId="27567AB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血小板特异性抗体：如抗﹣HPA（人类血小板抗原）和抗﹣HLA（人类白细胞抗原）抗体。</w:t>
            </w:r>
          </w:p>
          <w:p w14:paraId="70A2BF59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3．样本类型</w:t>
            </w:r>
          </w:p>
          <w:p w14:paraId="1E868B6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血清或血浆：通常使用血清样本，血浆样本也可适用。</w:t>
            </w:r>
          </w:p>
          <w:p w14:paraId="135F277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4．检测时间</w:t>
            </w:r>
          </w:p>
          <w:p w14:paraId="0138E0D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约2-3小时：从样本处理到结果读取的整个过程。</w:t>
            </w:r>
          </w:p>
          <w:p w14:paraId="10C301A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5．灵敏度</w:t>
            </w:r>
          </w:p>
          <w:p w14:paraId="7A1B75E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高灵敏度：能够检测低浓度的血小板抗体。</w:t>
            </w:r>
          </w:p>
          <w:p w14:paraId="2402BFB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6．特异性</w:t>
            </w:r>
          </w:p>
          <w:p w14:paraId="517BE96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高特异性：能够区分不同类型的血小板抗体。</w:t>
            </w:r>
          </w:p>
          <w:p w14:paraId="053A16B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7．试剂盒组成</w:t>
            </w:r>
          </w:p>
          <w:p w14:paraId="77ED476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冻干微球：预包被HPA，GPIV和I类HLA糖蛋白的血小板抗原。</w:t>
            </w:r>
          </w:p>
          <w:p w14:paraId="564318A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微球稀释剂：磷酸盐缓冲液，用于稀释冻干微球。</w:t>
            </w:r>
          </w:p>
          <w:p w14:paraId="098368B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二抗浓缩液：用于检测结合的抗原抗体复合物。</w:t>
            </w:r>
          </w:p>
          <w:p w14:paraId="01C9BA14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阳性对照血清：用于提供阳性质控。</w:t>
            </w:r>
          </w:p>
          <w:p w14:paraId="253FA5B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阴性性对照血清：用于提供阳性质控。</w:t>
            </w:r>
          </w:p>
          <w:p w14:paraId="1F28658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8．储存条件 2-8°C</w:t>
            </w:r>
          </w:p>
        </w:tc>
        <w:tc>
          <w:tcPr>
            <w:tcW w:w="930" w:type="dxa"/>
            <w:noWrap w:val="0"/>
            <w:vAlign w:val="center"/>
          </w:tcPr>
          <w:p w14:paraId="42B532F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单盒报价</w:t>
            </w:r>
          </w:p>
        </w:tc>
        <w:tc>
          <w:tcPr>
            <w:tcW w:w="930" w:type="dxa"/>
            <w:noWrap w:val="0"/>
            <w:vAlign w:val="center"/>
          </w:tcPr>
          <w:p w14:paraId="0446E01B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不超18800元/盒最高限价为有效报价</w:t>
            </w:r>
          </w:p>
        </w:tc>
      </w:tr>
      <w:tr w14:paraId="651DE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9991" w:type="dxa"/>
            <w:gridSpan w:val="6"/>
            <w:noWrap w:val="0"/>
            <w:vAlign w:val="top"/>
          </w:tcPr>
          <w:p w14:paraId="41DDD83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C7987A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AD47B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20ACEF7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32CE55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6C267A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1C418DF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2966B7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5C7FBF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4F22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3B5A4C91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09264FD2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5019D5BD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0583D618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5320830A"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eastAsia="zh-CN"/>
        </w:rPr>
        <w:t>（供应商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可根据实际情况选择ABCD分标中的一个分标或全部分标进行报价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2E614A95">
      <w:pPr>
        <w:pStyle w:val="2"/>
        <w:numPr>
          <w:ilvl w:val="3"/>
          <w:numId w:val="0"/>
        </w:numPr>
      </w:pPr>
    </w:p>
    <w:p w14:paraId="3FA8A28B"/>
    <w:p w14:paraId="66D5DB9C"/>
    <w:p w14:paraId="39D7BB57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23F4BF2D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1C8D52D4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5A9C5AE0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520B474E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0D76A2BD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6A0C5275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24E18779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0A188DEE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697DBC4E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2861F00F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677F5BC3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46CFE7EE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29991E99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384C2F7E">
      <w:pPr>
        <w:pStyle w:val="3"/>
        <w:rPr>
          <w:rFonts w:hint="eastAsia"/>
          <w:sz w:val="24"/>
          <w:szCs w:val="24"/>
          <w:lang w:val="en-US" w:eastAsia="zh-CN"/>
        </w:rPr>
      </w:pPr>
    </w:p>
    <w:p w14:paraId="3F0E6478">
      <w:pPr>
        <w:pStyle w:val="3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B分标</w:t>
      </w:r>
    </w:p>
    <w:tbl>
      <w:tblPr>
        <w:tblStyle w:val="7"/>
        <w:tblW w:w="102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761"/>
        <w:gridCol w:w="5076"/>
        <w:gridCol w:w="1110"/>
        <w:gridCol w:w="1110"/>
      </w:tblGrid>
      <w:tr w14:paraId="593D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49AC7F3D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2CE0E0F1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61" w:type="dxa"/>
            <w:noWrap w:val="0"/>
            <w:vAlign w:val="center"/>
          </w:tcPr>
          <w:p w14:paraId="6FAEC494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076" w:type="dxa"/>
            <w:noWrap w:val="0"/>
            <w:vAlign w:val="center"/>
          </w:tcPr>
          <w:p w14:paraId="52827A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110" w:type="dxa"/>
            <w:noWrap w:val="0"/>
            <w:vAlign w:val="center"/>
          </w:tcPr>
          <w:p w14:paraId="16600800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  <w:tc>
          <w:tcPr>
            <w:tcW w:w="1110" w:type="dxa"/>
            <w:noWrap w:val="0"/>
            <w:vAlign w:val="center"/>
          </w:tcPr>
          <w:p w14:paraId="1AA3F7DB">
            <w:pPr>
              <w:jc w:val="center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报价</w:t>
            </w:r>
          </w:p>
        </w:tc>
      </w:tr>
      <w:tr w14:paraId="0A7C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C07A11C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13EC3B75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核酸样本预处理试剂（飞行时间质谱法）</w:t>
            </w:r>
          </w:p>
        </w:tc>
        <w:tc>
          <w:tcPr>
            <w:tcW w:w="761" w:type="dxa"/>
            <w:noWrap w:val="0"/>
            <w:vAlign w:val="center"/>
          </w:tcPr>
          <w:p w14:paraId="14EF1DAA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5076" w:type="dxa"/>
            <w:noWrap w:val="0"/>
            <w:vAlign w:val="center"/>
          </w:tcPr>
          <w:p w14:paraId="10A5590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1、包装规格： 4*96人份/盒</w:t>
            </w:r>
          </w:p>
          <w:p w14:paraId="7F9F26A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2、预期用途：用于飞行时间核酸质谱的样本前处理，其处理后的产物用于飞行时间质谱使用。 产品组成中不含可与样本特异性结合的抗原、抗体、探针等成分。</w:t>
            </w:r>
          </w:p>
          <w:p w14:paraId="412990C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3、检验原理：对目的基因组DNA进行PCR扩增，将扩增产物使用SAP酶去除多余dNTPs，再进行 ddNTPs 单碱基延伸，扩增产物用于飞行时间质谱分析系统检测。</w:t>
            </w:r>
          </w:p>
          <w:p w14:paraId="33324C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4、主要组成成分：试剂盒由 PCR 酶、 PCR 缓冲液、 SAP 酶、 SAP 缓冲液、延伸酶、延伸缓冲液、延伸终止液组成。</w:t>
            </w:r>
          </w:p>
          <w:p w14:paraId="01927AD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5、储存条件：试剂盒于-20℃±5℃保存、运输。试剂盒有效期： 12 个月</w:t>
            </w:r>
          </w:p>
          <w:p w14:paraId="6EE325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6、检测性能：</w:t>
            </w:r>
          </w:p>
          <w:p w14:paraId="025665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1）阳性参考品符合率：1 份阳性参考品的阳性符合率为 100%，且型别准确。</w:t>
            </w:r>
          </w:p>
          <w:p w14:paraId="5E57A0D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2）阴性参考品符合率：2 份阴性参考品的阴性符合率为 100%。</w:t>
            </w:r>
          </w:p>
          <w:p w14:paraId="7F006A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3）最低检测限最低检测限不低于 10ng/μL。</w:t>
            </w:r>
          </w:p>
          <w:p w14:paraId="2F1CD4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4）精密度：对精密性参考品重复检定 10 次， 均应检验出相应的基因型</w:t>
            </w:r>
          </w:p>
        </w:tc>
        <w:tc>
          <w:tcPr>
            <w:tcW w:w="1110" w:type="dxa"/>
            <w:noWrap w:val="0"/>
            <w:vAlign w:val="center"/>
          </w:tcPr>
          <w:p w14:paraId="49F07DD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单盒报价</w:t>
            </w:r>
          </w:p>
        </w:tc>
        <w:tc>
          <w:tcPr>
            <w:tcW w:w="1110" w:type="dxa"/>
            <w:noWrap w:val="0"/>
            <w:vAlign w:val="center"/>
          </w:tcPr>
          <w:p w14:paraId="3BE05E0C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不超15360元/盒最高限价为有效报价</w:t>
            </w:r>
          </w:p>
        </w:tc>
      </w:tr>
      <w:tr w14:paraId="14D62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61" w:type="dxa"/>
            <w:gridSpan w:val="6"/>
            <w:noWrap w:val="0"/>
            <w:vAlign w:val="top"/>
          </w:tcPr>
          <w:p w14:paraId="390F1C5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087F10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049B7B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5977AFB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580B69A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41F692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143A0D9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1818F1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431C83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289D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5A0AEFA1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2D643BD8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656A5113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1006513A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456640F6"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eastAsia="zh-CN"/>
        </w:rPr>
        <w:t>（供应商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可根据实际情况选择ABCD分标中的一个分标或全部分标进行报价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7C53A240"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C分标</w:t>
      </w:r>
    </w:p>
    <w:tbl>
      <w:tblPr>
        <w:tblStyle w:val="7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4112"/>
        <w:gridCol w:w="1095"/>
        <w:gridCol w:w="1095"/>
      </w:tblGrid>
      <w:tr w14:paraId="050D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37721A5F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4AFDE5F7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59C37763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4112" w:type="dxa"/>
            <w:noWrap w:val="0"/>
            <w:vAlign w:val="center"/>
          </w:tcPr>
          <w:p w14:paraId="7A6E7B7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95" w:type="dxa"/>
            <w:noWrap w:val="0"/>
            <w:vAlign w:val="center"/>
          </w:tcPr>
          <w:p w14:paraId="676306AF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  <w:tc>
          <w:tcPr>
            <w:tcW w:w="1095" w:type="dxa"/>
            <w:noWrap w:val="0"/>
            <w:vAlign w:val="center"/>
          </w:tcPr>
          <w:p w14:paraId="22FAE8AD">
            <w:pPr>
              <w:jc w:val="center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报价</w:t>
            </w:r>
          </w:p>
        </w:tc>
      </w:tr>
      <w:tr w14:paraId="36F2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13CB35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4EAA4DDD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P LEX? Pro, PCR Reagents &amp; SpectroCHIP? Kit - CPM (10x96) 基因分型试剂（10x96）</w:t>
            </w:r>
          </w:p>
        </w:tc>
        <w:tc>
          <w:tcPr>
            <w:tcW w:w="1410" w:type="dxa"/>
            <w:noWrap w:val="0"/>
            <w:vAlign w:val="center"/>
          </w:tcPr>
          <w:p w14:paraId="60C7A84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4112" w:type="dxa"/>
            <w:noWrap w:val="0"/>
            <w:vAlign w:val="center"/>
          </w:tcPr>
          <w:p w14:paraId="61364F2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规格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960人份</w:t>
            </w:r>
            <w:r>
              <w:rPr>
                <w:rFonts w:hint="eastAsia"/>
                <w:lang w:eastAsia="zh-CN"/>
              </w:rPr>
              <w:t>。</w:t>
            </w:r>
          </w:p>
          <w:p w14:paraId="0C2F410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适配仪器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MassARRAY Analyzer 4 System with Chip PrepModule, 96</w:t>
            </w:r>
            <w:r>
              <w:rPr>
                <w:rFonts w:hint="eastAsia"/>
                <w:lang w:eastAsia="zh-CN"/>
              </w:rPr>
              <w:t>。</w:t>
            </w:r>
          </w:p>
          <w:p w14:paraId="7774A3F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组分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试剂- PCR Enzyme, MgCl2, 10X Buffer, dNTP Mix （用于PCR多重扩增） - SAP and Buffer  （用于去磷酸化）- iPLEX® Pro Enzyme, Termination Mix and Buffer Plus  （用于单碱基延伸）- 3-Point Calibrant （标准品）</w:t>
            </w:r>
          </w:p>
          <w:p w14:paraId="63937C7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芯片：- SpectroCHIP® CPM-96 Arrays （芯片，用于上机点样飞行分析）</w:t>
            </w:r>
            <w:r>
              <w:rPr>
                <w:rFonts w:hint="eastAsia"/>
                <w:lang w:eastAsia="zh-CN"/>
              </w:rPr>
              <w:t>。</w:t>
            </w:r>
          </w:p>
          <w:p w14:paraId="4673713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79CACA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单套报价</w:t>
            </w:r>
          </w:p>
        </w:tc>
        <w:tc>
          <w:tcPr>
            <w:tcW w:w="1095" w:type="dxa"/>
            <w:noWrap w:val="0"/>
            <w:vAlign w:val="center"/>
          </w:tcPr>
          <w:p w14:paraId="4B96E082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不超45500元/盒最高限价为有效报价</w:t>
            </w:r>
          </w:p>
        </w:tc>
      </w:tr>
      <w:tr w14:paraId="20E2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E55EA9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30" w:type="dxa"/>
            <w:noWrap w:val="0"/>
            <w:vAlign w:val="center"/>
          </w:tcPr>
          <w:p w14:paraId="47571D0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MassARRAY? Clean Resin, 28g 脱盐树脂（货号：8040）</w:t>
            </w:r>
          </w:p>
        </w:tc>
        <w:tc>
          <w:tcPr>
            <w:tcW w:w="1410" w:type="dxa"/>
            <w:noWrap w:val="0"/>
            <w:vAlign w:val="center"/>
          </w:tcPr>
          <w:p w14:paraId="5D39D1F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10"/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瓶</w:t>
            </w:r>
          </w:p>
        </w:tc>
        <w:tc>
          <w:tcPr>
            <w:tcW w:w="4112" w:type="dxa"/>
            <w:noWrap w:val="0"/>
            <w:vAlign w:val="center"/>
          </w:tcPr>
          <w:p w14:paraId="4A97978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1.规格：28g。</w:t>
            </w:r>
          </w:p>
          <w:p w14:paraId="40A6CC0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2.适配仪器：MassARRAY Analyzer 4 System with Chip PrepModule, 96。</w:t>
            </w:r>
          </w:p>
          <w:p w14:paraId="73FB818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3.用途：脱盐。</w:t>
            </w:r>
          </w:p>
        </w:tc>
        <w:tc>
          <w:tcPr>
            <w:tcW w:w="1095" w:type="dxa"/>
            <w:noWrap w:val="0"/>
            <w:vAlign w:val="center"/>
          </w:tcPr>
          <w:p w14:paraId="05D85F9F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单瓶报价</w:t>
            </w:r>
          </w:p>
        </w:tc>
        <w:tc>
          <w:tcPr>
            <w:tcW w:w="1095" w:type="dxa"/>
            <w:noWrap w:val="0"/>
            <w:vAlign w:val="center"/>
          </w:tcPr>
          <w:p w14:paraId="49FAD462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不超3500元/盒最高限价为有效报价</w:t>
            </w:r>
          </w:p>
        </w:tc>
      </w:tr>
      <w:tr w14:paraId="024DD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9916" w:type="dxa"/>
            <w:gridSpan w:val="6"/>
            <w:noWrap w:val="0"/>
            <w:vAlign w:val="top"/>
          </w:tcPr>
          <w:p w14:paraId="78D7B6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4D44869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个日历日供货完毕。</w:t>
            </w:r>
          </w:p>
          <w:p w14:paraId="7DFF73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1C4EFAD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2144D1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5F7507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226B965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73BAAB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3CE54A8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4989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0E6E3F68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6CBE2F0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609D5740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2957A4D7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61BA3C4C"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eastAsia="zh-CN"/>
        </w:rPr>
        <w:t>（供应商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可根据实际情况选择ABCD分标中的一个分标或全部分标进行报价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0CD2288E"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57B44416"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D分标</w:t>
      </w:r>
    </w:p>
    <w:tbl>
      <w:tblPr>
        <w:tblStyle w:val="7"/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4307"/>
        <w:gridCol w:w="1005"/>
        <w:gridCol w:w="1005"/>
      </w:tblGrid>
      <w:tr w14:paraId="1AB9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47633FCE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7A3F19EE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153B754A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4307" w:type="dxa"/>
            <w:noWrap w:val="0"/>
            <w:vAlign w:val="center"/>
          </w:tcPr>
          <w:p w14:paraId="761AE020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5" w:type="dxa"/>
            <w:noWrap w:val="0"/>
            <w:vAlign w:val="center"/>
          </w:tcPr>
          <w:p w14:paraId="7E7507D3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  <w:tc>
          <w:tcPr>
            <w:tcW w:w="1005" w:type="dxa"/>
            <w:noWrap w:val="0"/>
            <w:vAlign w:val="center"/>
          </w:tcPr>
          <w:p w14:paraId="25A139F9">
            <w:pPr>
              <w:jc w:val="center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报价</w:t>
            </w:r>
          </w:p>
        </w:tc>
      </w:tr>
      <w:tr w14:paraId="4CAA3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8B0FD12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2652E864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热传导软垫</w:t>
            </w:r>
          </w:p>
        </w:tc>
        <w:tc>
          <w:tcPr>
            <w:tcW w:w="1410" w:type="dxa"/>
            <w:noWrap w:val="0"/>
            <w:vAlign w:val="center"/>
          </w:tcPr>
          <w:p w14:paraId="01426FE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张</w:t>
            </w:r>
          </w:p>
        </w:tc>
        <w:tc>
          <w:tcPr>
            <w:tcW w:w="4307" w:type="dxa"/>
            <w:noWrap w:val="0"/>
            <w:vAlign w:val="center"/>
          </w:tcPr>
          <w:p w14:paraId="32123FA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尺寸：600*570MM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  </w:t>
            </w:r>
          </w:p>
          <w:p w14:paraId="13DBD1C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材料:TPU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-60℃以下不结冰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  <w:p w14:paraId="71266A9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用途:解决不同规格的血浆速冻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5" w:type="dxa"/>
            <w:noWrap w:val="0"/>
            <w:vAlign w:val="center"/>
          </w:tcPr>
          <w:p w14:paraId="7478E71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单张报价</w:t>
            </w:r>
          </w:p>
        </w:tc>
        <w:tc>
          <w:tcPr>
            <w:tcW w:w="1005" w:type="dxa"/>
            <w:noWrap w:val="0"/>
            <w:vAlign w:val="center"/>
          </w:tcPr>
          <w:p w14:paraId="47292733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不超2600元/张最高限价为有效报价</w:t>
            </w:r>
          </w:p>
        </w:tc>
      </w:tr>
      <w:tr w14:paraId="7521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9931" w:type="dxa"/>
            <w:gridSpan w:val="6"/>
            <w:noWrap w:val="0"/>
            <w:vAlign w:val="top"/>
          </w:tcPr>
          <w:p w14:paraId="6EFCCAD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bookmarkStart w:id="0" w:name="_GoBack" w:colFirst="0" w:colLast="5"/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1C886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5E40B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3E962D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FFA65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32CF4B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3B8D7A8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4D032B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F3C7B3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1166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  <w:bookmarkEnd w:id="0"/>
    </w:tbl>
    <w:p w14:paraId="35029D00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6E2F8B5A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386C9812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7A5E5A26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30251540"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eastAsia="zh-CN"/>
        </w:rPr>
        <w:t>（供应商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可根据实际情况选择ABCD分标中的一个分标或全部分标进行报价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3F62CF97">
      <w:pPr>
        <w:pStyle w:val="2"/>
        <w:numPr>
          <w:ilvl w:val="3"/>
          <w:numId w:val="0"/>
        </w:numPr>
      </w:pPr>
    </w:p>
    <w:p w14:paraId="5658C612"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</w:p>
    <w:p w14:paraId="37DA8147">
      <w:pPr>
        <w:pStyle w:val="2"/>
        <w:numPr>
          <w:ilvl w:val="3"/>
          <w:numId w:val="0"/>
        </w:numPr>
      </w:pPr>
    </w:p>
    <w:p w14:paraId="09363B8C"/>
    <w:p w14:paraId="49AE6CCF">
      <w:pPr>
        <w:rPr>
          <w:rFonts w:hint="eastAsia" w:asciiTheme="minorEastAsia" w:hAnsiTheme="minorEastAsia" w:eastAsiaTheme="minorEastAsia" w:cstheme="minorEastAsia"/>
          <w:szCs w:val="21"/>
        </w:rPr>
      </w:pPr>
    </w:p>
    <w:p w14:paraId="109728C7">
      <w:pPr>
        <w:rPr>
          <w:rFonts w:hint="eastAsia" w:asciiTheme="minorEastAsia" w:hAnsiTheme="minorEastAsia" w:eastAsiaTheme="minorEastAsia" w:cstheme="minorEastAsia"/>
          <w:szCs w:val="21"/>
        </w:rPr>
      </w:pP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8F6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F3EB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BF3EB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5C7B4D"/>
    <w:rsid w:val="0B117611"/>
    <w:rsid w:val="0B404839"/>
    <w:rsid w:val="0B7078E0"/>
    <w:rsid w:val="0C6C1BE9"/>
    <w:rsid w:val="0ECA2CAD"/>
    <w:rsid w:val="113D7418"/>
    <w:rsid w:val="11A025A1"/>
    <w:rsid w:val="13BC3779"/>
    <w:rsid w:val="14A32AD4"/>
    <w:rsid w:val="192936AE"/>
    <w:rsid w:val="1C470016"/>
    <w:rsid w:val="20441043"/>
    <w:rsid w:val="23277B0A"/>
    <w:rsid w:val="23D56E45"/>
    <w:rsid w:val="25FF1B34"/>
    <w:rsid w:val="27FC7252"/>
    <w:rsid w:val="28795BCE"/>
    <w:rsid w:val="28797C86"/>
    <w:rsid w:val="29E652EC"/>
    <w:rsid w:val="29F37C02"/>
    <w:rsid w:val="2A3914EA"/>
    <w:rsid w:val="2A9328B0"/>
    <w:rsid w:val="2B6F32B8"/>
    <w:rsid w:val="2B9B4512"/>
    <w:rsid w:val="2D3D22E5"/>
    <w:rsid w:val="30121C45"/>
    <w:rsid w:val="30471E1A"/>
    <w:rsid w:val="3065704C"/>
    <w:rsid w:val="307015F8"/>
    <w:rsid w:val="30BC757A"/>
    <w:rsid w:val="32891AC8"/>
    <w:rsid w:val="34673398"/>
    <w:rsid w:val="368D0EDC"/>
    <w:rsid w:val="37CD17E4"/>
    <w:rsid w:val="38801681"/>
    <w:rsid w:val="3AF6645D"/>
    <w:rsid w:val="3F2738F2"/>
    <w:rsid w:val="43A55320"/>
    <w:rsid w:val="44A72CE2"/>
    <w:rsid w:val="45036AF3"/>
    <w:rsid w:val="46426F1A"/>
    <w:rsid w:val="477F09C9"/>
    <w:rsid w:val="47B42327"/>
    <w:rsid w:val="48D52555"/>
    <w:rsid w:val="499453BB"/>
    <w:rsid w:val="4C2C7A18"/>
    <w:rsid w:val="4F754A92"/>
    <w:rsid w:val="4F7800DE"/>
    <w:rsid w:val="4F9F1B0F"/>
    <w:rsid w:val="517D43D5"/>
    <w:rsid w:val="51B9203A"/>
    <w:rsid w:val="56BE3354"/>
    <w:rsid w:val="57B51F88"/>
    <w:rsid w:val="58A12453"/>
    <w:rsid w:val="5A13112F"/>
    <w:rsid w:val="5BD743DE"/>
    <w:rsid w:val="5D5201C0"/>
    <w:rsid w:val="5E510478"/>
    <w:rsid w:val="5E683AA8"/>
    <w:rsid w:val="5F8B7E51"/>
    <w:rsid w:val="609E68E4"/>
    <w:rsid w:val="62271A53"/>
    <w:rsid w:val="62F53AC8"/>
    <w:rsid w:val="63AD658F"/>
    <w:rsid w:val="652C7B0C"/>
    <w:rsid w:val="65B32646"/>
    <w:rsid w:val="65FE3D49"/>
    <w:rsid w:val="66152BBB"/>
    <w:rsid w:val="6692787F"/>
    <w:rsid w:val="68BE670A"/>
    <w:rsid w:val="69595A0C"/>
    <w:rsid w:val="69A2602B"/>
    <w:rsid w:val="6AA21562"/>
    <w:rsid w:val="6BE75835"/>
    <w:rsid w:val="6C7D260F"/>
    <w:rsid w:val="6D714693"/>
    <w:rsid w:val="6EEB2FFA"/>
    <w:rsid w:val="6F0E432E"/>
    <w:rsid w:val="6F4F630E"/>
    <w:rsid w:val="7084648B"/>
    <w:rsid w:val="718B1915"/>
    <w:rsid w:val="72434C9E"/>
    <w:rsid w:val="725400DF"/>
    <w:rsid w:val="72A746FB"/>
    <w:rsid w:val="735F27E9"/>
    <w:rsid w:val="737E46E8"/>
    <w:rsid w:val="76065B94"/>
    <w:rsid w:val="760D7F69"/>
    <w:rsid w:val="7A7A445B"/>
    <w:rsid w:val="7D346DCB"/>
    <w:rsid w:val="7DE2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2453</Words>
  <Characters>2836</Characters>
  <Lines>0</Lines>
  <Paragraphs>0</Paragraphs>
  <TotalTime>9</TotalTime>
  <ScaleCrop>false</ScaleCrop>
  <LinksUpToDate>false</LinksUpToDate>
  <CharactersWithSpaces>3166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2025-03-18T09:52:53Z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