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bookmarkStart w:id="18" w:name="_GoBack"/>
      <w:bookmarkEnd w:id="18"/>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51EE2A1F">
      <w:pPr>
        <w:spacing w:line="600" w:lineRule="exact"/>
        <w:ind w:firstLine="643" w:firstLineChars="200"/>
        <w:jc w:val="left"/>
        <w:rPr>
          <w:rFonts w:hint="eastAsia"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项目名称：南宁中心血站2025年物联专线服务</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项目编号：NNBCCG202500</w:t>
      </w:r>
      <w:r>
        <w:rPr>
          <w:rFonts w:hint="eastAsia" w:ascii="仿宋_GB2312" w:hAnsi="Courier New" w:eastAsia="仿宋_GB2312" w:cs="Courier New"/>
          <w:b/>
          <w:bCs/>
          <w:color w:val="000000"/>
          <w:kern w:val="0"/>
          <w:sz w:val="32"/>
          <w:szCs w:val="32"/>
          <w:lang w:val="en-US" w:eastAsia="zh-CN"/>
        </w:rPr>
        <w:t>12</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3</w:t>
      </w:r>
      <w:r>
        <w:rPr>
          <w:rFonts w:hint="eastAsia" w:ascii="仿宋_GB2312" w:hAnsi="Courier New" w:eastAsia="仿宋_GB2312" w:cs="Courier New"/>
          <w:b/>
          <w:bCs/>
          <w:color w:val="000000"/>
          <w:kern w:val="0"/>
          <w:sz w:val="32"/>
          <w:szCs w:val="32"/>
          <w:lang w:val="zh-TW" w:eastAsia="zh-TW"/>
        </w:rPr>
        <w:t>月</w:t>
      </w:r>
      <w:r>
        <w:rPr>
          <w:rFonts w:hint="eastAsia" w:ascii="仿宋_GB2312" w:hAnsi="Courier New" w:eastAsia="仿宋_GB2312" w:cs="Courier New"/>
          <w:b/>
          <w:bCs/>
          <w:color w:val="000000"/>
          <w:kern w:val="0"/>
          <w:sz w:val="32"/>
          <w:szCs w:val="32"/>
          <w:lang w:val="en-US" w:eastAsia="zh-CN"/>
        </w:rPr>
        <w:t>24</w:t>
      </w:r>
      <w:r>
        <w:rPr>
          <w:rFonts w:hint="eastAsia" w:ascii="仿宋_GB2312" w:hAnsi="Courier New" w:eastAsia="仿宋_GB2312" w:cs="Courier New"/>
          <w:b/>
          <w:bCs/>
          <w:color w:val="000000"/>
          <w:kern w:val="0"/>
          <w:sz w:val="32"/>
          <w:szCs w:val="32"/>
          <w:lang w:val="zh-TW" w:eastAsia="zh-TW"/>
        </w:rPr>
        <w:t>日</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525F88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南宁中心血站2025年物联专线服务采购公告</w:t>
      </w:r>
    </w:p>
    <w:p w14:paraId="2B8B4A59">
      <w:pPr>
        <w:keepNext w:val="0"/>
        <w:keepLines w:val="0"/>
        <w:pageBreakBefore w:val="0"/>
        <w:widowControl/>
        <w:kinsoku/>
        <w:wordWrap/>
        <w:overflowPunct/>
        <w:topLinePunct w:val="0"/>
        <w:autoSpaceDE/>
        <w:autoSpaceDN/>
        <w:bidi w:val="0"/>
        <w:adjustRightInd/>
        <w:snapToGrid/>
        <w:spacing w:line="640" w:lineRule="exact"/>
        <w:ind w:left="-420" w:leftChars="-200" w:firstLine="694" w:firstLineChars="178"/>
        <w:textAlignment w:val="auto"/>
        <w:rPr>
          <w:rFonts w:ascii="Lucida Sans Unicode" w:hAnsi="Lucida Sans Unicode" w:eastAsia="宋体" w:cs="Lucida Sans Unicode"/>
          <w:color w:val="auto"/>
          <w:spacing w:val="15"/>
          <w:kern w:val="0"/>
          <w:sz w:val="36"/>
          <w:szCs w:val="36"/>
        </w:rPr>
      </w:pPr>
    </w:p>
    <w:p w14:paraId="5CD78F1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南宁中心血站按照采购计划，对南宁中心血站2025年物联专线服务进行采购，现就该项目邀请具有资质的单位进行响应，采购信息如下：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682F74E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项目编号：NNBCCG202500</w:t>
      </w:r>
      <w:r>
        <w:rPr>
          <w:rFonts w:hint="eastAsia" w:ascii="仿宋_GB2312" w:hAnsi="Courier New" w:eastAsia="仿宋_GB2312" w:cs="Courier New"/>
          <w:color w:val="000000"/>
          <w:kern w:val="0"/>
          <w:sz w:val="32"/>
          <w:szCs w:val="32"/>
          <w:lang w:val="en-US" w:eastAsia="zh-CN"/>
        </w:rPr>
        <w:t>12</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项目名称：南宁中心血站2025年物联专线服务</w:t>
      </w:r>
      <w:r>
        <w:rPr>
          <w:rFonts w:hint="eastAsia" w:ascii="仿宋_GB2312" w:hAnsi="Courier New" w:eastAsia="仿宋_GB2312" w:cs="Courier New"/>
          <w:color w:val="000000"/>
          <w:kern w:val="0"/>
          <w:sz w:val="32"/>
          <w:szCs w:val="32"/>
          <w:lang w:val="zh-TW" w:eastAsia="zh-CN"/>
        </w:rPr>
        <w:t>；</w:t>
      </w:r>
    </w:p>
    <w:p w14:paraId="09FBF9F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叁万柒仟贰佰元</w:t>
      </w:r>
      <w:r>
        <w:rPr>
          <w:rFonts w:hint="eastAsia" w:ascii="仿宋_GB2312" w:hAnsi="Courier New" w:eastAsia="仿宋_GB2312" w:cs="Courier New"/>
          <w:color w:val="000000"/>
          <w:kern w:val="0"/>
          <w:sz w:val="32"/>
          <w:szCs w:val="32"/>
          <w:lang w:val="zh-TW" w:eastAsia="zh-TW"/>
        </w:rPr>
        <w:t>整（￥</w:t>
      </w:r>
      <w:r>
        <w:rPr>
          <w:rFonts w:hint="eastAsia" w:ascii="仿宋_GB2312" w:hAnsi="Courier New" w:eastAsia="仿宋_GB2312" w:cs="Courier New"/>
          <w:color w:val="000000"/>
          <w:kern w:val="0"/>
          <w:sz w:val="32"/>
          <w:szCs w:val="32"/>
          <w:lang w:val="en-US" w:eastAsia="zh-CN"/>
        </w:rPr>
        <w:t>37200</w:t>
      </w:r>
      <w:r>
        <w:rPr>
          <w:rFonts w:hint="eastAsia" w:ascii="仿宋_GB2312" w:hAnsi="Courier New" w:eastAsia="仿宋_GB2312" w:cs="Courier New"/>
          <w:color w:val="000000"/>
          <w:kern w:val="0"/>
          <w:sz w:val="32"/>
          <w:szCs w:val="32"/>
          <w:lang w:val="zh-TW" w:eastAsia="zh-TW"/>
        </w:rPr>
        <w:t>.00）</w:t>
      </w:r>
      <w:r>
        <w:rPr>
          <w:rFonts w:hint="eastAsia" w:ascii="仿宋_GB2312" w:hAnsi="Courier New" w:eastAsia="仿宋_GB2312" w:cs="Courier New"/>
          <w:color w:val="000000"/>
          <w:kern w:val="0"/>
          <w:sz w:val="32"/>
          <w:szCs w:val="32"/>
          <w:lang w:val="zh-TW" w:eastAsia="zh-CN"/>
        </w:rPr>
        <w:t>；</w:t>
      </w:r>
    </w:p>
    <w:p w14:paraId="3A48E9F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叁万柒仟贰佰元</w:t>
      </w:r>
      <w:r>
        <w:rPr>
          <w:rFonts w:hint="eastAsia" w:ascii="仿宋_GB2312" w:hAnsi="Courier New" w:eastAsia="仿宋_GB2312" w:cs="Courier New"/>
          <w:color w:val="000000"/>
          <w:kern w:val="0"/>
          <w:sz w:val="32"/>
          <w:szCs w:val="32"/>
          <w:lang w:val="zh-TW" w:eastAsia="zh-TW"/>
        </w:rPr>
        <w:t>整（￥</w:t>
      </w:r>
      <w:r>
        <w:rPr>
          <w:rFonts w:hint="eastAsia" w:ascii="仿宋_GB2312" w:hAnsi="Courier New" w:eastAsia="仿宋_GB2312" w:cs="Courier New"/>
          <w:color w:val="000000"/>
          <w:kern w:val="0"/>
          <w:sz w:val="32"/>
          <w:szCs w:val="32"/>
          <w:lang w:val="en-US" w:eastAsia="zh-CN"/>
        </w:rPr>
        <w:t>37200</w:t>
      </w:r>
      <w:r>
        <w:rPr>
          <w:rFonts w:hint="eastAsia" w:ascii="仿宋_GB2312" w:hAnsi="Courier New" w:eastAsia="仿宋_GB2312" w:cs="Courier New"/>
          <w:color w:val="000000"/>
          <w:kern w:val="0"/>
          <w:sz w:val="32"/>
          <w:szCs w:val="32"/>
          <w:lang w:val="zh-TW" w:eastAsia="zh-TW"/>
        </w:rPr>
        <w:t>.00）</w:t>
      </w:r>
      <w:r>
        <w:rPr>
          <w:rFonts w:hint="eastAsia" w:ascii="仿宋_GB2312" w:hAnsi="Courier New" w:eastAsia="仿宋_GB2312" w:cs="Courier New"/>
          <w:color w:val="000000"/>
          <w:kern w:val="0"/>
          <w:sz w:val="32"/>
          <w:szCs w:val="32"/>
          <w:lang w:val="zh-TW" w:eastAsia="zh-CN"/>
        </w:rPr>
        <w:t>；</w:t>
      </w:r>
    </w:p>
    <w:p w14:paraId="7C7888A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独立承担民事责任的能力法人、其他组织或自然人</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综合评选。</w:t>
      </w:r>
    </w:p>
    <w:p w14:paraId="4352251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小组根据服务质量、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能力、技术开发能力、价格水平等方面进行综合评价，并进行书面投票，按投票结果最高者入选原则确定成交供应商。</w:t>
      </w:r>
    </w:p>
    <w:p w14:paraId="427535E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（如营业执照或者事业单位法人证书或者执业许可证等），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（三）法定代表人身份证明书及法定代表人有效身份证正反面复印件（除自然人竞标外必须提供，否则响应文件按无效响应处理）；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（五）供应商直接控股、管理关系信息表（格式详见附件3）；</w:t>
      </w:r>
    </w:p>
    <w:p w14:paraId="1BA22BB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（六）</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6570DDE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w:t>
      </w:r>
    </w:p>
    <w:p w14:paraId="56A6483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五、资格文件组成</w:t>
      </w:r>
    </w:p>
    <w:p w14:paraId="7005C47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资格文件（一份），根据响应人资格要求，提供证明材料（即响应文件组成中的（一）、（二）、（三）</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四</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五</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），随响应文件一同送达，以备采购人审查响应人是否符合响应资格要求。</w:t>
      </w:r>
    </w:p>
    <w:p w14:paraId="3AD8E9A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六、</w:t>
      </w:r>
      <w:r>
        <w:rPr>
          <w:rFonts w:hint="eastAsia" w:ascii="黑体" w:hAnsi="黑体" w:eastAsia="黑体" w:cs="黑体"/>
          <w:color w:val="000000"/>
          <w:kern w:val="0"/>
          <w:sz w:val="32"/>
          <w:szCs w:val="32"/>
          <w:lang w:val="zh-TW" w:eastAsia="zh-TW"/>
        </w:rPr>
        <w:t>签订合同</w:t>
      </w:r>
    </w:p>
    <w:p w14:paraId="7E3FC9B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文件确定的合同文本以及采购标的、货物技术、采购金额、采购数量、技术和货物要求等事项签订采购合同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其他要求：</w:t>
      </w:r>
    </w:p>
    <w:p w14:paraId="1862BAEF">
      <w:pPr>
        <w:pStyle w:val="2"/>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3"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外包封面需留有以下信息：</w:t>
      </w:r>
    </w:p>
    <w:p w14:paraId="65EE0A25">
      <w:pPr>
        <w:pStyle w:val="2"/>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2"/>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2"/>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2"/>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2"/>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2"/>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0954C572">
      <w:pPr>
        <w:pStyle w:val="2"/>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副））外包封面需留有以下信息：</w:t>
      </w:r>
    </w:p>
    <w:p w14:paraId="76E23DC3">
      <w:pPr>
        <w:pStyle w:val="2"/>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2"/>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2"/>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2"/>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2"/>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2"/>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要求单独密封装订。</w:t>
      </w:r>
    </w:p>
    <w:p w14:paraId="05600740">
      <w:pPr>
        <w:pStyle w:val="2"/>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55491077">
      <w:pPr>
        <w:pStyle w:val="2"/>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27</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2D6C1C53">
      <w:pPr>
        <w:pStyle w:val="2"/>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秦海娜</w:t>
      </w:r>
    </w:p>
    <w:p w14:paraId="1DE7A5C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联系电话：0771-3210882。</w:t>
      </w:r>
    </w:p>
    <w:p w14:paraId="06BE25F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                              </w:t>
      </w:r>
    </w:p>
    <w:p w14:paraId="1A00AFF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07F21AC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0A37C65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22C0B809">
      <w:pPr>
        <w:keepNext w:val="0"/>
        <w:keepLines w:val="0"/>
        <w:pageBreakBefore w:val="0"/>
        <w:widowControl w:val="0"/>
        <w:kinsoku/>
        <w:wordWrap/>
        <w:overflowPunct/>
        <w:topLinePunct w:val="0"/>
        <w:autoSpaceDE/>
        <w:autoSpaceDN/>
        <w:bidi w:val="0"/>
        <w:adjustRightInd/>
        <w:snapToGrid/>
        <w:spacing w:line="560" w:lineRule="exact"/>
        <w:ind w:firstLine="6720" w:firstLineChars="21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58A27A2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 xml:space="preserve">                                   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24</w:t>
      </w:r>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17D05D3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48FE1ADA">
      <w:pPr>
        <w:pStyle w:val="1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07499BE3">
      <w:pPr>
        <w:pStyle w:val="1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6E3C6E17">
      <w:pPr>
        <w:pStyle w:val="1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671D82D6">
      <w:pPr>
        <w:pStyle w:val="1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513BDEB8">
      <w:pPr>
        <w:pStyle w:val="1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3211A425">
      <w:pPr>
        <w:pStyle w:val="1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6E2A2662">
      <w:pPr>
        <w:pStyle w:val="1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3E2F402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4132904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09A6DC29">
      <w:pPr>
        <w:rPr>
          <w:rFonts w:hint="eastAsia" w:ascii="仿宋" w:hAnsi="仿宋" w:eastAsia="仿宋"/>
          <w:color w:val="auto"/>
          <w:sz w:val="30"/>
          <w:szCs w:val="30"/>
        </w:rPr>
      </w:pPr>
    </w:p>
    <w:p w14:paraId="35DE613F">
      <w:pPr>
        <w:rPr>
          <w:rFonts w:ascii="仿宋" w:hAnsi="仿宋" w:eastAsia="仿宋"/>
          <w:color w:val="auto"/>
          <w:sz w:val="30"/>
          <w:szCs w:val="30"/>
        </w:rPr>
      </w:pPr>
      <w:r>
        <w:rPr>
          <w:rFonts w:hint="eastAsia" w:ascii="仿宋" w:hAnsi="仿宋" w:eastAsia="仿宋"/>
          <w:color w:val="auto"/>
          <w:sz w:val="30"/>
          <w:szCs w:val="30"/>
        </w:rPr>
        <w:t>附件1</w:t>
      </w:r>
    </w:p>
    <w:p w14:paraId="3222BADA">
      <w:pPr>
        <w:pStyle w:val="2"/>
        <w:jc w:val="center"/>
        <w:rPr>
          <w:rFonts w:hint="eastAsia" w:hAnsi="宋体" w:cs="宋体"/>
          <w:b/>
          <w:sz w:val="36"/>
        </w:rPr>
      </w:pPr>
      <w:r>
        <w:rPr>
          <w:rFonts w:hint="eastAsia" w:hAnsi="宋体" w:cs="宋体"/>
          <w:b/>
          <w:sz w:val="36"/>
        </w:rPr>
        <w:t>采购需求一览表</w:t>
      </w:r>
    </w:p>
    <w:p w14:paraId="2BCE669B">
      <w:pPr>
        <w:pStyle w:val="36"/>
        <w:ind w:firstLine="462" w:firstLineChars="200"/>
        <w:rPr>
          <w:sz w:val="21"/>
          <w:szCs w:val="21"/>
        </w:rPr>
      </w:pPr>
      <w:r>
        <w:rPr>
          <w:rFonts w:hint="eastAsia" w:ascii="宋体" w:hAnsi="宋体" w:cs="宋体"/>
          <w:b/>
          <w:sz w:val="21"/>
          <w:szCs w:val="21"/>
        </w:rPr>
        <w:t>说明：本采购需求一览表中各参数要求需要全部满足，不允许负偏离，负偏离视为无效响应</w:t>
      </w:r>
      <w:r>
        <w:rPr>
          <w:rFonts w:hint="eastAsia" w:hAnsi="宋体"/>
          <w:b/>
          <w:sz w:val="21"/>
          <w:szCs w:val="21"/>
        </w:rPr>
        <w:t>。</w:t>
      </w:r>
    </w:p>
    <w:tbl>
      <w:tblPr>
        <w:tblStyle w:val="14"/>
        <w:tblW w:w="876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52"/>
        <w:gridCol w:w="863"/>
        <w:gridCol w:w="763"/>
        <w:gridCol w:w="5500"/>
        <w:gridCol w:w="1090"/>
      </w:tblGrid>
      <w:tr w14:paraId="198FD64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52"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2254FC34">
            <w:pPr>
              <w:jc w:val="center"/>
              <w:rPr>
                <w:rFonts w:ascii="宋体" w:hAnsi="宋体"/>
                <w:b/>
                <w:szCs w:val="21"/>
                <w:highlight w:val="none"/>
              </w:rPr>
            </w:pPr>
            <w:r>
              <w:rPr>
                <w:rFonts w:hint="eastAsia" w:ascii="宋体" w:hAnsi="宋体"/>
                <w:b/>
                <w:szCs w:val="21"/>
                <w:highlight w:val="none"/>
              </w:rPr>
              <w:t>项号</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04691C35">
            <w:pPr>
              <w:jc w:val="center"/>
              <w:rPr>
                <w:rFonts w:ascii="宋体" w:hAnsi="宋体"/>
                <w:b/>
                <w:szCs w:val="21"/>
                <w:highlight w:val="none"/>
              </w:rPr>
            </w:pPr>
            <w:r>
              <w:rPr>
                <w:rFonts w:hint="eastAsia" w:ascii="宋体" w:hAnsi="宋体"/>
                <w:b/>
                <w:szCs w:val="21"/>
                <w:highlight w:val="none"/>
              </w:rPr>
              <w:t>采购项目名称</w:t>
            </w:r>
          </w:p>
        </w:tc>
        <w:tc>
          <w:tcPr>
            <w:tcW w:w="763" w:type="dxa"/>
            <w:tcBorders>
              <w:top w:val="single" w:color="auto" w:sz="4" w:space="0"/>
              <w:left w:val="single" w:color="auto" w:sz="4" w:space="0"/>
              <w:bottom w:val="single" w:color="auto" w:sz="4" w:space="0"/>
              <w:right w:val="single" w:color="auto" w:sz="4" w:space="0"/>
            </w:tcBorders>
            <w:noWrap w:val="0"/>
            <w:vAlign w:val="center"/>
          </w:tcPr>
          <w:p w14:paraId="750EDAAF">
            <w:pPr>
              <w:jc w:val="center"/>
              <w:rPr>
                <w:rFonts w:ascii="宋体" w:hAnsi="宋体"/>
                <w:b/>
                <w:szCs w:val="21"/>
                <w:highlight w:val="none"/>
              </w:rPr>
            </w:pPr>
            <w:r>
              <w:rPr>
                <w:rFonts w:hint="eastAsia" w:ascii="宋体" w:hAnsi="宋体"/>
                <w:b/>
                <w:szCs w:val="21"/>
                <w:highlight w:val="none"/>
              </w:rPr>
              <w:t>数量</w:t>
            </w:r>
          </w:p>
        </w:tc>
        <w:tc>
          <w:tcPr>
            <w:tcW w:w="5500" w:type="dxa"/>
            <w:tcBorders>
              <w:top w:val="single" w:color="auto" w:sz="4" w:space="0"/>
              <w:left w:val="single" w:color="auto" w:sz="4" w:space="0"/>
              <w:bottom w:val="single" w:color="auto" w:sz="4" w:space="0"/>
              <w:right w:val="single" w:color="auto" w:sz="4" w:space="0"/>
            </w:tcBorders>
            <w:noWrap w:val="0"/>
            <w:vAlign w:val="center"/>
          </w:tcPr>
          <w:p w14:paraId="43C28C40">
            <w:pPr>
              <w:jc w:val="center"/>
              <w:rPr>
                <w:rFonts w:hint="default" w:ascii="宋体" w:hAnsi="宋体" w:eastAsia="宋体"/>
                <w:b/>
                <w:szCs w:val="21"/>
                <w:highlight w:val="none"/>
                <w:lang w:val="en-US" w:eastAsia="zh-CN"/>
              </w:rPr>
            </w:pPr>
            <w:r>
              <w:rPr>
                <w:rFonts w:hint="eastAsia" w:ascii="宋体" w:hAnsi="宋体"/>
                <w:b/>
                <w:szCs w:val="21"/>
                <w:highlight w:val="none"/>
              </w:rPr>
              <w:t>采购项目的具体内容和要求</w:t>
            </w:r>
          </w:p>
        </w:tc>
        <w:tc>
          <w:tcPr>
            <w:tcW w:w="1090" w:type="dxa"/>
            <w:tcBorders>
              <w:top w:val="single" w:color="auto" w:sz="4" w:space="0"/>
              <w:left w:val="single" w:color="auto" w:sz="4" w:space="0"/>
              <w:bottom w:val="single" w:color="auto" w:sz="4" w:space="0"/>
              <w:right w:val="single" w:color="auto" w:sz="4" w:space="0"/>
            </w:tcBorders>
            <w:noWrap w:val="0"/>
            <w:vAlign w:val="center"/>
          </w:tcPr>
          <w:p w14:paraId="7BDDDC64">
            <w:pPr>
              <w:jc w:val="center"/>
              <w:rPr>
                <w:rFonts w:ascii="宋体" w:hAnsi="宋体"/>
                <w:b/>
                <w:szCs w:val="21"/>
                <w:highlight w:val="none"/>
              </w:rPr>
            </w:pPr>
            <w:r>
              <w:rPr>
                <w:rFonts w:hint="eastAsia" w:ascii="宋体" w:hAnsi="宋体"/>
                <w:b/>
                <w:szCs w:val="21"/>
                <w:highlight w:val="none"/>
                <w:lang w:val="en-US" w:eastAsia="zh-CN"/>
              </w:rPr>
              <w:t>预算限额</w:t>
            </w:r>
          </w:p>
        </w:tc>
      </w:tr>
      <w:tr w14:paraId="2F39AB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552"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1BD72797">
            <w:pPr>
              <w:jc w:val="center"/>
              <w:rPr>
                <w:rFonts w:hint="eastAsia" w:ascii="宋体" w:hAnsi="宋体" w:eastAsia="宋体" w:cs="宋体"/>
                <w:szCs w:val="21"/>
                <w:highlight w:val="none"/>
              </w:rPr>
            </w:pPr>
            <w:r>
              <w:rPr>
                <w:rFonts w:hint="eastAsia" w:ascii="宋体" w:hAnsi="宋体" w:eastAsia="宋体" w:cs="宋体"/>
                <w:szCs w:val="21"/>
                <w:highlight w:val="none"/>
              </w:rPr>
              <w:t>1</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75EC5245">
            <w:pPr>
              <w:jc w:val="center"/>
              <w:rPr>
                <w:rFonts w:hint="eastAsia" w:ascii="宋体" w:hAnsi="宋体" w:eastAsia="宋体" w:cs="宋体"/>
                <w:szCs w:val="21"/>
                <w:highlight w:val="none"/>
              </w:rPr>
            </w:pPr>
            <w:r>
              <w:rPr>
                <w:rFonts w:hint="eastAsia" w:ascii="宋体" w:hAnsi="宋体" w:cs="宋体"/>
                <w:szCs w:val="21"/>
              </w:rPr>
              <w:t>南宁中心血站</w:t>
            </w:r>
            <w:r>
              <w:rPr>
                <w:rFonts w:hint="eastAsia" w:ascii="宋体" w:hAnsi="宋体" w:cs="宋体"/>
                <w:szCs w:val="21"/>
                <w:lang w:val="en-US" w:eastAsia="zh-CN"/>
              </w:rPr>
              <w:t>2025年</w:t>
            </w:r>
            <w:r>
              <w:rPr>
                <w:rFonts w:hint="eastAsia" w:ascii="宋体" w:hAnsi="宋体" w:cs="宋体"/>
                <w:szCs w:val="21"/>
              </w:rPr>
              <w:t>物联专线服务</w:t>
            </w:r>
          </w:p>
        </w:tc>
        <w:tc>
          <w:tcPr>
            <w:tcW w:w="763" w:type="dxa"/>
            <w:tcBorders>
              <w:top w:val="single" w:color="auto" w:sz="4" w:space="0"/>
              <w:left w:val="single" w:color="auto" w:sz="4" w:space="0"/>
              <w:bottom w:val="single" w:color="auto" w:sz="4" w:space="0"/>
              <w:right w:val="single" w:color="auto" w:sz="4" w:space="0"/>
            </w:tcBorders>
            <w:noWrap w:val="0"/>
            <w:vAlign w:val="center"/>
          </w:tcPr>
          <w:p w14:paraId="2A314ABC">
            <w:pPr>
              <w:jc w:val="center"/>
              <w:rPr>
                <w:rFonts w:hint="eastAsia" w:ascii="宋体" w:hAnsi="宋体" w:eastAsia="宋体" w:cs="宋体"/>
                <w:szCs w:val="21"/>
                <w:highlight w:val="none"/>
              </w:rPr>
            </w:pPr>
            <w:r>
              <w:rPr>
                <w:rFonts w:hint="eastAsia" w:ascii="宋体" w:hAnsi="宋体" w:eastAsia="宋体" w:cs="宋体"/>
                <w:szCs w:val="21"/>
                <w:highlight w:val="none"/>
              </w:rPr>
              <w:t>1项</w:t>
            </w:r>
          </w:p>
        </w:tc>
        <w:tc>
          <w:tcPr>
            <w:tcW w:w="5500" w:type="dxa"/>
            <w:tcBorders>
              <w:top w:val="single" w:color="auto" w:sz="4" w:space="0"/>
              <w:left w:val="single" w:color="auto" w:sz="4" w:space="0"/>
              <w:bottom w:val="single" w:color="auto" w:sz="4" w:space="0"/>
              <w:right w:val="single" w:color="auto" w:sz="4" w:space="0"/>
            </w:tcBorders>
            <w:noWrap w:val="0"/>
            <w:vAlign w:val="center"/>
          </w:tcPr>
          <w:p w14:paraId="5864E628">
            <w:pPr>
              <w:pStyle w:val="2"/>
              <w:numPr>
                <w:ilvl w:val="0"/>
                <w:numId w:val="3"/>
              </w:numPr>
              <w:ind w:left="20" w:leftChars="0" w:firstLine="400" w:firstLineChars="0"/>
              <w:rPr>
                <w:rFonts w:ascii="宋体" w:hAnsi="宋体" w:eastAsia="宋体"/>
                <w:sz w:val="21"/>
                <w:szCs w:val="21"/>
              </w:rPr>
            </w:pPr>
            <w:r>
              <w:rPr>
                <w:rFonts w:hint="eastAsia" w:ascii="宋体" w:hAnsi="宋体" w:eastAsia="宋体"/>
                <w:sz w:val="21"/>
                <w:szCs w:val="21"/>
              </w:rPr>
              <w:t>使移动采血车上的设备能与血站服务器之间进行有效的数据传输。</w:t>
            </w:r>
          </w:p>
          <w:p w14:paraId="00D70F45">
            <w:pPr>
              <w:numPr>
                <w:ilvl w:val="0"/>
                <w:numId w:val="3"/>
              </w:numPr>
              <w:ind w:left="20" w:leftChars="0" w:firstLine="400" w:firstLineChars="0"/>
              <w:rPr>
                <w:rFonts w:ascii="宋体" w:hAnsi="宋体" w:eastAsia="宋体"/>
                <w:color w:val="0C0C0C"/>
                <w:szCs w:val="21"/>
              </w:rPr>
            </w:pPr>
            <w:r>
              <w:rPr>
                <w:rFonts w:hint="eastAsia" w:ascii="宋体" w:hAnsi="宋体" w:eastAsia="宋体"/>
                <w:szCs w:val="21"/>
              </w:rPr>
              <w:t>物联专线是指运营商通信集团基于自身强大的CMNET数据网，利用自己的接入网和传输网络资源，采用固线方式为集团用户提供专线接入，从而实现集团客户专享各种高质量的通信服务和信息化服务的解决方案，物联网APN专线，是指连接客户与运营商机房数据传输接口的专用通道。一般用于</w:t>
            </w:r>
            <w:r>
              <w:rPr>
                <w:rFonts w:hint="eastAsia" w:ascii="宋体" w:hAnsi="宋体" w:eastAsia="宋体"/>
                <w:color w:val="0C0C0C"/>
                <w:szCs w:val="21"/>
              </w:rPr>
              <w:t>一家公司两地或者多地工作之间的数据传输。</w:t>
            </w:r>
          </w:p>
          <w:p w14:paraId="233A0B83">
            <w:pPr>
              <w:numPr>
                <w:ilvl w:val="0"/>
                <w:numId w:val="3"/>
              </w:numPr>
              <w:ind w:left="20" w:leftChars="0" w:firstLine="400" w:firstLineChars="0"/>
              <w:rPr>
                <w:rFonts w:ascii="宋体" w:hAnsi="宋体" w:eastAsia="宋体"/>
                <w:color w:val="0C0C0C"/>
                <w:szCs w:val="21"/>
              </w:rPr>
            </w:pPr>
            <w:r>
              <w:rPr>
                <w:rFonts w:hint="eastAsia" w:ascii="宋体" w:hAnsi="宋体" w:eastAsia="宋体"/>
                <w:color w:val="0C0C0C"/>
                <w:szCs w:val="21"/>
              </w:rPr>
              <w:t>组网方案特点：（1）各点联网采用基于光纤和数字传输通道的数字电路，性能稳定，带宽保障。（2）用户端路由器通过移动专为客户组建的接入网，业务接口丰富，满足客户多种业务运用需求。（3）整个网络实行统一网管，便于维护和管理。（4）中心机房24小时有人值守，便于网络和设备的监控和管理。（5）充分利用移动的城域传输网和长途传输网资源，网络结构完善，设备先进，有充分的安全保障。（6）设备和技术成熟可靠。（7）专用网络，与外网完全隔离，安全性高。</w:t>
            </w:r>
          </w:p>
          <w:p w14:paraId="71337A53">
            <w:pPr>
              <w:pStyle w:val="2"/>
              <w:numPr>
                <w:ilvl w:val="0"/>
                <w:numId w:val="3"/>
              </w:numPr>
              <w:ind w:left="20" w:leftChars="0" w:firstLine="400" w:firstLineChars="0"/>
              <w:rPr>
                <w:rFonts w:hint="eastAsia" w:ascii="宋体" w:hAnsi="宋体" w:eastAsia="宋体"/>
                <w:color w:val="0C0C0C"/>
                <w:sz w:val="21"/>
                <w:szCs w:val="21"/>
              </w:rPr>
            </w:pPr>
            <w:r>
              <w:rPr>
                <w:rFonts w:hint="eastAsia" w:ascii="宋体" w:hAnsi="宋体" w:eastAsia="宋体"/>
                <w:color w:val="0C0C0C"/>
                <w:sz w:val="21"/>
                <w:szCs w:val="21"/>
              </w:rPr>
              <w:t>提供各种主流物理光、电接口，如RJ45/LC/FC等供采购人使用；电路误码率：单条电路端到端比特误码率≤1×10-7；电路丢包率：单条电路端到端丢包率≤0.5%；电路速率：电路各个节点最大时延≤15ms；电路速率：单条电路端到端时延抖动率≤15ms。</w:t>
            </w:r>
          </w:p>
          <w:p w14:paraId="78D2CA08">
            <w:pPr>
              <w:numPr>
                <w:ilvl w:val="0"/>
                <w:numId w:val="3"/>
              </w:numPr>
              <w:spacing w:line="240" w:lineRule="auto"/>
              <w:ind w:left="20" w:leftChars="0" w:firstLine="400" w:firstLineChars="0"/>
              <w:jc w:val="left"/>
              <w:rPr>
                <w:rFonts w:hint="default"/>
                <w:lang w:val="en-US" w:eastAsia="zh-CN"/>
              </w:rPr>
            </w:pPr>
            <w:r>
              <w:rPr>
                <w:rFonts w:hint="eastAsia" w:ascii="宋体" w:hAnsi="宋体" w:eastAsia="宋体" w:cs="Times New Roman"/>
                <w:color w:val="0C0C0C"/>
                <w:sz w:val="21"/>
                <w:szCs w:val="21"/>
                <w:lang w:val="en-US" w:eastAsia="zh-CN"/>
              </w:rPr>
              <w:t>含20张物联卡的资费，</w:t>
            </w:r>
            <w:r>
              <w:rPr>
                <w:rFonts w:hint="eastAsia" w:ascii="宋体" w:hAnsi="宋体" w:eastAsia="宋体" w:cs="Times New Roman"/>
                <w:color w:val="0C0C0C"/>
                <w:sz w:val="21"/>
                <w:szCs w:val="21"/>
              </w:rPr>
              <w:t>物联卡主要在物联专线中使用，使移动采血车上的设备能与血站服务器之间进行有效的数据传输。</w:t>
            </w:r>
          </w:p>
          <w:p w14:paraId="63B78AAC">
            <w:pPr>
              <w:spacing w:line="420" w:lineRule="exact"/>
              <w:rPr>
                <w:rFonts w:hint="eastAsia" w:eastAsia="宋体" w:cs="黑体"/>
                <w:szCs w:val="22"/>
                <w:highlight w:val="none"/>
                <w:lang w:val="en-US" w:eastAsia="zh-CN"/>
              </w:rPr>
            </w:pPr>
            <w:r>
              <w:rPr>
                <w:rFonts w:hint="eastAsia"/>
                <w:lang w:val="en-US" w:eastAsia="zh-CN"/>
              </w:rPr>
              <w:t>要求接入的物联网线路，实现使用该专线能联通南宁中心血站的业务系统。</w:t>
            </w:r>
          </w:p>
        </w:tc>
        <w:tc>
          <w:tcPr>
            <w:tcW w:w="1090" w:type="dxa"/>
            <w:tcBorders>
              <w:top w:val="single" w:color="auto" w:sz="4" w:space="0"/>
              <w:left w:val="single" w:color="auto" w:sz="4" w:space="0"/>
              <w:bottom w:val="single" w:color="auto" w:sz="4" w:space="0"/>
              <w:right w:val="single" w:color="auto" w:sz="4" w:space="0"/>
            </w:tcBorders>
            <w:noWrap w:val="0"/>
            <w:vAlign w:val="center"/>
          </w:tcPr>
          <w:p w14:paraId="47EFFE38">
            <w:pPr>
              <w:pStyle w:val="2"/>
              <w:jc w:val="left"/>
              <w:rPr>
                <w:rFonts w:hint="default" w:ascii="宋体" w:hAnsi="宋体" w:eastAsia="宋体" w:cs="宋体"/>
                <w:szCs w:val="21"/>
                <w:highlight w:val="none"/>
                <w:lang w:val="en-US"/>
              </w:rPr>
            </w:pPr>
            <w:r>
              <w:rPr>
                <w:rFonts w:hint="eastAsia" w:ascii="宋体" w:hAnsi="宋体" w:eastAsia="宋体" w:cstheme="minorBidi"/>
                <w:color w:val="0C0C0C"/>
                <w:kern w:val="2"/>
                <w:sz w:val="21"/>
                <w:szCs w:val="21"/>
                <w:lang w:val="en-US" w:eastAsia="zh-CN" w:bidi="ar-SA"/>
              </w:rPr>
              <w:t>37200.00元</w:t>
            </w:r>
          </w:p>
        </w:tc>
      </w:tr>
      <w:tr w14:paraId="61A091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52"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10CF9CB5">
            <w:pPr>
              <w:jc w:val="center"/>
              <w:rPr>
                <w:rFonts w:hint="eastAsia" w:ascii="宋体" w:hAnsi="宋体" w:eastAsia="宋体" w:cs="宋体"/>
                <w:szCs w:val="21"/>
                <w:highlight w:val="none"/>
              </w:rPr>
            </w:pPr>
            <w:r>
              <w:rPr>
                <w:rFonts w:hint="eastAsia" w:ascii="宋体" w:hAnsi="宋体" w:eastAsia="宋体" w:cs="宋体"/>
                <w:szCs w:val="21"/>
                <w:highlight w:val="none"/>
              </w:rPr>
              <w:t>商务条款</w:t>
            </w:r>
          </w:p>
        </w:tc>
        <w:tc>
          <w:tcPr>
            <w:tcW w:w="8216" w:type="dxa"/>
            <w:gridSpan w:val="4"/>
            <w:tcBorders>
              <w:top w:val="single" w:color="auto" w:sz="4" w:space="0"/>
              <w:left w:val="single" w:color="auto" w:sz="4" w:space="0"/>
              <w:bottom w:val="single" w:color="auto" w:sz="4" w:space="0"/>
              <w:right w:val="single" w:color="auto" w:sz="4" w:space="0"/>
            </w:tcBorders>
            <w:noWrap w:val="0"/>
            <w:vAlign w:val="center"/>
          </w:tcPr>
          <w:p w14:paraId="47BD1F1E">
            <w:pPr>
              <w:pStyle w:val="2"/>
              <w:rPr>
                <w:rFonts w:ascii="宋体" w:hAnsi="宋体" w:eastAsia="宋体"/>
                <w:sz w:val="21"/>
                <w:szCs w:val="21"/>
              </w:rPr>
            </w:pPr>
            <w:r>
              <w:rPr>
                <w:rFonts w:hint="eastAsia" w:ascii="宋体" w:hAnsi="宋体" w:eastAsia="宋体"/>
                <w:b/>
                <w:bCs/>
                <w:sz w:val="21"/>
                <w:szCs w:val="21"/>
              </w:rPr>
              <w:t>一、合同签订期：</w:t>
            </w:r>
            <w:r>
              <w:rPr>
                <w:rFonts w:hint="eastAsia" w:ascii="宋体" w:hAnsi="宋体" w:eastAsia="宋体"/>
                <w:sz w:val="21"/>
                <w:szCs w:val="21"/>
              </w:rPr>
              <w:t>自中标通知书发出之日起</w:t>
            </w:r>
            <w:r>
              <w:rPr>
                <w:rFonts w:hint="eastAsia" w:ascii="宋体" w:hAnsi="宋体" w:eastAsia="宋体"/>
                <w:sz w:val="21"/>
                <w:szCs w:val="21"/>
                <w:u w:val="single"/>
              </w:rPr>
              <w:t> 7 </w:t>
            </w:r>
            <w:r>
              <w:rPr>
                <w:rFonts w:hint="eastAsia" w:ascii="宋体" w:hAnsi="宋体" w:eastAsia="宋体"/>
                <w:sz w:val="21"/>
                <w:szCs w:val="21"/>
              </w:rPr>
              <w:t>个工作日内。</w:t>
            </w:r>
          </w:p>
          <w:p w14:paraId="7517D473">
            <w:pPr>
              <w:pStyle w:val="2"/>
              <w:rPr>
                <w:rFonts w:hint="eastAsia" w:ascii="宋体" w:hAnsi="宋体" w:eastAsia="宋体"/>
                <w:sz w:val="21"/>
                <w:szCs w:val="21"/>
              </w:rPr>
            </w:pPr>
            <w:r>
              <w:rPr>
                <w:rFonts w:hint="eastAsia" w:ascii="宋体" w:hAnsi="宋体" w:eastAsia="宋体"/>
                <w:b/>
                <w:bCs/>
                <w:sz w:val="21"/>
                <w:szCs w:val="21"/>
              </w:rPr>
              <w:t>二、服务期：</w:t>
            </w:r>
            <w:r>
              <w:rPr>
                <w:rFonts w:hint="eastAsia" w:hAnsi="宋体"/>
                <w:b w:val="0"/>
                <w:bCs w:val="0"/>
                <w:sz w:val="21"/>
                <w:szCs w:val="21"/>
                <w:lang w:val="en-US" w:eastAsia="zh-CN"/>
              </w:rPr>
              <w:t>1</w:t>
            </w:r>
            <w:r>
              <w:rPr>
                <w:rFonts w:hint="eastAsia" w:ascii="宋体" w:hAnsi="宋体" w:eastAsia="宋体"/>
                <w:b w:val="0"/>
                <w:bCs w:val="0"/>
                <w:sz w:val="21"/>
                <w:szCs w:val="21"/>
              </w:rPr>
              <w:t>.自合同签订</w:t>
            </w:r>
            <w:r>
              <w:rPr>
                <w:rFonts w:hint="eastAsia" w:ascii="宋体" w:hAnsi="宋体" w:eastAsia="宋体"/>
                <w:sz w:val="21"/>
                <w:szCs w:val="21"/>
              </w:rPr>
              <w:t>之日起</w:t>
            </w:r>
            <w:r>
              <w:rPr>
                <w:rFonts w:hint="eastAsia" w:ascii="宋体" w:hAnsi="宋体" w:eastAsia="宋体"/>
                <w:sz w:val="21"/>
                <w:szCs w:val="21"/>
                <w:u w:val="single"/>
              </w:rPr>
              <w:t> 3 </w:t>
            </w:r>
            <w:r>
              <w:rPr>
                <w:rFonts w:hint="eastAsia" w:ascii="宋体" w:hAnsi="宋体" w:eastAsia="宋体"/>
                <w:sz w:val="21"/>
                <w:szCs w:val="21"/>
              </w:rPr>
              <w:t>日内提供服务，服务期限</w:t>
            </w:r>
            <w:r>
              <w:rPr>
                <w:rFonts w:hint="eastAsia" w:ascii="宋体" w:hAnsi="宋体" w:eastAsia="宋体"/>
                <w:sz w:val="21"/>
                <w:szCs w:val="21"/>
                <w:u w:val="single"/>
              </w:rPr>
              <w:t xml:space="preserve"> 1</w:t>
            </w:r>
            <w:r>
              <w:rPr>
                <w:rFonts w:hint="eastAsia" w:ascii="宋体" w:hAnsi="宋体" w:eastAsia="宋体"/>
                <w:sz w:val="21"/>
                <w:szCs w:val="21"/>
              </w:rPr>
              <w:t>年。</w:t>
            </w:r>
          </w:p>
          <w:p w14:paraId="5FFFA77B">
            <w:pPr>
              <w:pStyle w:val="2"/>
              <w:rPr>
                <w:rFonts w:hint="eastAsia" w:ascii="宋体" w:hAnsi="宋体" w:eastAsia="宋体"/>
                <w:sz w:val="21"/>
                <w:szCs w:val="21"/>
              </w:rPr>
            </w:pPr>
            <w:r>
              <w:rPr>
                <w:rFonts w:hint="eastAsia" w:ascii="宋体" w:hAnsi="宋体" w:eastAsia="宋体"/>
                <w:sz w:val="21"/>
                <w:szCs w:val="21"/>
              </w:rPr>
              <w:t>2.合同延续年限、条件和方式:本项目合同履约期到期后，采购人依据本项目的服务履约评价情况及实际需求，在年度预算保障的前提下，且采购内容(采购需求)相对固定、连续(延续)性强、经费来源稳定、价格变化幅度小的情况下，可以通过一年签的方式延续合同，最终总期限不得超过三年。</w:t>
            </w:r>
          </w:p>
          <w:p w14:paraId="5C5B3D1E">
            <w:pPr>
              <w:pStyle w:val="2"/>
              <w:rPr>
                <w:rFonts w:ascii="宋体" w:hAnsi="宋体" w:eastAsia="宋体"/>
                <w:sz w:val="21"/>
                <w:szCs w:val="21"/>
              </w:rPr>
            </w:pPr>
            <w:r>
              <w:rPr>
                <w:rFonts w:hint="eastAsia" w:ascii="宋体" w:hAnsi="宋体" w:eastAsia="宋体"/>
                <w:b/>
                <w:bCs/>
                <w:sz w:val="21"/>
                <w:szCs w:val="21"/>
              </w:rPr>
              <w:t>三、服务地点：</w:t>
            </w:r>
            <w:r>
              <w:rPr>
                <w:rFonts w:hint="eastAsia" w:ascii="宋体" w:hAnsi="宋体" w:eastAsia="宋体"/>
                <w:sz w:val="21"/>
                <w:szCs w:val="21"/>
              </w:rPr>
              <w:t>由采购人指定地点。</w:t>
            </w:r>
          </w:p>
          <w:p w14:paraId="6781FE07">
            <w:pPr>
              <w:pStyle w:val="2"/>
              <w:rPr>
                <w:rFonts w:ascii="宋体" w:hAnsi="宋体" w:eastAsia="宋体"/>
                <w:b/>
                <w:bCs/>
                <w:sz w:val="21"/>
                <w:szCs w:val="21"/>
              </w:rPr>
            </w:pPr>
            <w:r>
              <w:rPr>
                <w:rFonts w:hint="eastAsia" w:ascii="宋体" w:hAnsi="宋体" w:eastAsia="宋体"/>
                <w:b/>
                <w:bCs/>
                <w:sz w:val="21"/>
                <w:szCs w:val="21"/>
              </w:rPr>
              <w:t>四、售后服务及要求：</w:t>
            </w:r>
          </w:p>
          <w:p w14:paraId="4070EC5D">
            <w:pPr>
              <w:pStyle w:val="2"/>
              <w:rPr>
                <w:rFonts w:ascii="宋体" w:hAnsi="宋体" w:eastAsia="宋体"/>
                <w:sz w:val="21"/>
                <w:szCs w:val="21"/>
              </w:rPr>
            </w:pPr>
            <w:r>
              <w:rPr>
                <w:rFonts w:hint="eastAsia" w:ascii="宋体" w:hAnsi="宋体" w:eastAsia="宋体"/>
                <w:sz w:val="21"/>
                <w:szCs w:val="21"/>
              </w:rPr>
              <w:t>1、按国家有关产品“三包”规定执行“三包”。</w:t>
            </w:r>
          </w:p>
          <w:p w14:paraId="70D6B9DD">
            <w:pPr>
              <w:pStyle w:val="2"/>
              <w:rPr>
                <w:rFonts w:ascii="宋体" w:hAnsi="宋体" w:eastAsia="宋体"/>
                <w:sz w:val="21"/>
                <w:szCs w:val="21"/>
              </w:rPr>
            </w:pPr>
            <w:r>
              <w:rPr>
                <w:rFonts w:hint="eastAsia" w:ascii="宋体" w:hAnsi="宋体" w:eastAsia="宋体"/>
                <w:sz w:val="21"/>
                <w:szCs w:val="21"/>
              </w:rPr>
              <w:t>2、出现故障2小时内做出响应，4小时到达维修现场。一般问题应在24小时内解决。</w:t>
            </w:r>
          </w:p>
          <w:p w14:paraId="42EAA55A">
            <w:pPr>
              <w:pStyle w:val="2"/>
              <w:rPr>
                <w:rFonts w:ascii="宋体" w:hAnsi="宋体" w:eastAsia="宋体"/>
                <w:sz w:val="21"/>
                <w:szCs w:val="21"/>
              </w:rPr>
            </w:pPr>
            <w:r>
              <w:rPr>
                <w:rFonts w:hint="eastAsia" w:ascii="宋体" w:hAnsi="宋体" w:eastAsia="宋体"/>
                <w:sz w:val="21"/>
                <w:szCs w:val="21"/>
              </w:rPr>
              <w:t>3、定期回访以及对线路进行维护。</w:t>
            </w:r>
          </w:p>
          <w:p w14:paraId="71B5CFCB">
            <w:pPr>
              <w:pStyle w:val="2"/>
              <w:rPr>
                <w:rFonts w:ascii="宋体" w:hAnsi="宋体" w:eastAsia="宋体"/>
                <w:sz w:val="21"/>
                <w:szCs w:val="21"/>
              </w:rPr>
            </w:pPr>
            <w:r>
              <w:rPr>
                <w:rFonts w:hint="eastAsia" w:ascii="宋体" w:hAnsi="宋体" w:eastAsia="宋体"/>
                <w:sz w:val="21"/>
                <w:szCs w:val="21"/>
              </w:rPr>
              <w:t>4、验收方法：接入移动物联卡的设备能够进入物联专线，能顺利与血站服务器之间进行有效的数据传输。</w:t>
            </w:r>
          </w:p>
          <w:p w14:paraId="503E6893">
            <w:pPr>
              <w:pStyle w:val="2"/>
              <w:rPr>
                <w:rFonts w:ascii="宋体" w:hAnsi="宋体" w:eastAsia="宋体"/>
                <w:b/>
                <w:bCs/>
                <w:sz w:val="21"/>
                <w:szCs w:val="21"/>
              </w:rPr>
            </w:pPr>
            <w:r>
              <w:rPr>
                <w:rFonts w:hint="eastAsia" w:ascii="宋体" w:hAnsi="宋体" w:eastAsia="宋体"/>
                <w:b/>
                <w:bCs/>
                <w:sz w:val="21"/>
                <w:szCs w:val="21"/>
              </w:rPr>
              <w:t>五、其他要求：</w:t>
            </w:r>
          </w:p>
          <w:p w14:paraId="2B8AA508">
            <w:pPr>
              <w:pStyle w:val="2"/>
              <w:rPr>
                <w:rFonts w:ascii="宋体" w:hAnsi="宋体" w:eastAsia="宋体"/>
                <w:sz w:val="21"/>
                <w:szCs w:val="21"/>
              </w:rPr>
            </w:pPr>
            <w:r>
              <w:rPr>
                <w:rFonts w:hint="eastAsia" w:ascii="宋体" w:hAnsi="宋体" w:eastAsia="宋体"/>
                <w:sz w:val="21"/>
                <w:szCs w:val="21"/>
              </w:rPr>
              <w:t>1、报价为采购人指定地点的现场交付价格，包括：</w:t>
            </w:r>
          </w:p>
          <w:p w14:paraId="07D9FFA4">
            <w:pPr>
              <w:pStyle w:val="2"/>
              <w:rPr>
                <w:rFonts w:ascii="宋体" w:hAnsi="宋体" w:eastAsia="宋体"/>
                <w:sz w:val="21"/>
                <w:szCs w:val="21"/>
              </w:rPr>
            </w:pPr>
            <w:r>
              <w:rPr>
                <w:rFonts w:hint="eastAsia" w:ascii="宋体" w:hAnsi="宋体" w:eastAsia="宋体"/>
                <w:sz w:val="21"/>
                <w:szCs w:val="21"/>
              </w:rPr>
              <w:t>（1）服务的价格；</w:t>
            </w:r>
          </w:p>
          <w:p w14:paraId="33AA24AB">
            <w:pPr>
              <w:pStyle w:val="2"/>
              <w:rPr>
                <w:rFonts w:ascii="宋体" w:hAnsi="宋体" w:eastAsia="宋体"/>
                <w:sz w:val="21"/>
                <w:szCs w:val="21"/>
              </w:rPr>
            </w:pPr>
            <w:r>
              <w:rPr>
                <w:rFonts w:hint="eastAsia" w:ascii="宋体" w:hAnsi="宋体" w:eastAsia="宋体"/>
                <w:sz w:val="21"/>
                <w:szCs w:val="21"/>
              </w:rPr>
              <w:t>（2）必要的保险费用和各项税费；</w:t>
            </w:r>
          </w:p>
          <w:p w14:paraId="080C24CF">
            <w:pPr>
              <w:pStyle w:val="2"/>
              <w:rPr>
                <w:rFonts w:ascii="宋体" w:hAnsi="宋体" w:eastAsia="宋体"/>
                <w:sz w:val="21"/>
                <w:szCs w:val="21"/>
              </w:rPr>
            </w:pPr>
            <w:r>
              <w:rPr>
                <w:rFonts w:hint="eastAsia" w:ascii="宋体" w:hAnsi="宋体" w:eastAsia="宋体"/>
                <w:sz w:val="21"/>
                <w:szCs w:val="21"/>
              </w:rPr>
              <w:t>（3）服务咨询等费用。</w:t>
            </w:r>
          </w:p>
          <w:p w14:paraId="34B371FD">
            <w:pPr>
              <w:widowControl/>
              <w:shd w:val="clear" w:color="auto" w:fill="FFFFFF"/>
              <w:spacing w:line="360" w:lineRule="auto"/>
              <w:rPr>
                <w:rFonts w:hint="eastAsia" w:ascii="宋体" w:hAnsi="宋体" w:eastAsia="宋体" w:cs="宋体"/>
                <w:szCs w:val="21"/>
                <w:highlight w:val="none"/>
              </w:rPr>
            </w:pPr>
            <w:r>
              <w:rPr>
                <w:rFonts w:hint="eastAsia" w:ascii="宋体" w:hAnsi="宋体" w:eastAsia="宋体"/>
                <w:sz w:val="21"/>
                <w:szCs w:val="21"/>
              </w:rPr>
              <w:t>2、付款方式：</w:t>
            </w:r>
            <w:r>
              <w:rPr>
                <w:rFonts w:hint="eastAsia" w:ascii="宋体" w:hAnsi="宋体"/>
                <w:sz w:val="21"/>
                <w:szCs w:val="21"/>
                <w:lang w:val="en-US" w:eastAsia="zh-CN"/>
              </w:rPr>
              <w:t>本项目无预付款，验收合格(验收方法:接入移动物联卡的设备能够进入物联专线，能顺利与血站服务器之间进行有效的数据传输)后一次性支付合同款，转款后中标人需提供等额合规的增值税普通发票。</w:t>
            </w:r>
          </w:p>
        </w:tc>
      </w:tr>
    </w:tbl>
    <w:p w14:paraId="3BB0B742">
      <w:pPr>
        <w:pStyle w:val="6"/>
        <w:spacing w:line="500" w:lineRule="exact"/>
        <w:jc w:val="left"/>
        <w:rPr>
          <w:rFonts w:hint="eastAsia" w:asciiTheme="minorEastAsia" w:hAnsiTheme="minorEastAsia" w:eastAsiaTheme="minorEastAsia" w:cstheme="minorEastAsia"/>
          <w:color w:val="auto"/>
          <w:sz w:val="21"/>
          <w:szCs w:val="21"/>
        </w:rPr>
      </w:pPr>
    </w:p>
    <w:p w14:paraId="692C83FA">
      <w:pPr>
        <w:pStyle w:val="3"/>
        <w:numPr>
          <w:ilvl w:val="3"/>
          <w:numId w:val="0"/>
        </w:numPr>
        <w:ind w:left="1077" w:leftChars="0"/>
        <w:rPr>
          <w:rFonts w:hint="eastAsia"/>
        </w:rPr>
      </w:pPr>
    </w:p>
    <w:p w14:paraId="287495F4">
      <w:pPr>
        <w:rPr>
          <w:rFonts w:hint="eastAsia"/>
        </w:rPr>
      </w:pPr>
    </w:p>
    <w:p w14:paraId="32FCF847">
      <w:pPr>
        <w:pStyle w:val="12"/>
        <w:rPr>
          <w:rFonts w:hint="eastAsia"/>
        </w:rPr>
      </w:pPr>
    </w:p>
    <w:p w14:paraId="34C7292E">
      <w:pPr>
        <w:pStyle w:val="6"/>
        <w:spacing w:line="500" w:lineRule="exact"/>
        <w:jc w:val="left"/>
        <w:rPr>
          <w:rFonts w:hint="eastAsia" w:ascii="仿宋" w:hAnsi="仿宋" w:eastAsia="仿宋"/>
          <w:color w:val="auto"/>
          <w:sz w:val="30"/>
          <w:szCs w:val="30"/>
        </w:rPr>
      </w:pPr>
      <w:r>
        <w:rPr>
          <w:rFonts w:hint="eastAsia" w:ascii="仿宋" w:hAnsi="仿宋" w:eastAsia="仿宋"/>
          <w:color w:val="auto"/>
          <w:sz w:val="30"/>
          <w:szCs w:val="30"/>
        </w:rPr>
        <w:t>附件2</w:t>
      </w:r>
    </w:p>
    <w:p w14:paraId="6CF2A9E5">
      <w:pPr>
        <w:pStyle w:val="6"/>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6"/>
        <w:spacing w:line="360" w:lineRule="auto"/>
        <w:jc w:val="left"/>
        <w:rPr>
          <w:rFonts w:hAnsi="宋体"/>
          <w:bCs/>
          <w:color w:val="auto"/>
          <w:szCs w:val="21"/>
        </w:rPr>
      </w:pPr>
    </w:p>
    <w:p w14:paraId="714DE6D6">
      <w:pPr>
        <w:pStyle w:val="6"/>
        <w:spacing w:line="360" w:lineRule="auto"/>
        <w:jc w:val="left"/>
        <w:rPr>
          <w:rFonts w:hAnsi="宋体"/>
          <w:bCs/>
          <w:color w:val="auto"/>
          <w:szCs w:val="21"/>
        </w:rPr>
      </w:pPr>
      <w:r>
        <w:rPr>
          <w:rFonts w:hint="eastAsia" w:hAnsi="宋体"/>
          <w:bCs/>
          <w:color w:val="auto"/>
          <w:szCs w:val="21"/>
        </w:rPr>
        <w:t>南宁中心血站：</w:t>
      </w:r>
    </w:p>
    <w:p w14:paraId="57622425">
      <w:pPr>
        <w:pStyle w:val="3"/>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en-US" w:eastAsia="zh-CN"/>
        </w:rPr>
        <w:t>南宁中心血站2025年照片直播服务</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2"/>
        <w:spacing w:line="360" w:lineRule="auto"/>
        <w:ind w:firstLineChars="200"/>
        <w:rPr>
          <w:color w:val="auto"/>
        </w:rPr>
      </w:pPr>
      <w:r>
        <w:rPr>
          <w:rFonts w:hint="eastAsia"/>
          <w:color w:val="auto"/>
        </w:rPr>
        <w:t>我方对委托代理人的签字事项负全部责任。</w:t>
      </w:r>
    </w:p>
    <w:p w14:paraId="4156E484">
      <w:pPr>
        <w:pStyle w:val="12"/>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2"/>
        <w:spacing w:line="360" w:lineRule="auto"/>
        <w:ind w:firstLineChars="200"/>
        <w:rPr>
          <w:color w:val="auto"/>
        </w:rPr>
      </w:pPr>
      <w:r>
        <w:rPr>
          <w:rFonts w:hint="eastAsia"/>
          <w:color w:val="auto"/>
        </w:rPr>
        <w:t>委托代理人无转委托权，特此委托。</w:t>
      </w:r>
    </w:p>
    <w:p w14:paraId="4AAACB6B">
      <w:pPr>
        <w:pStyle w:val="12"/>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12"/>
        <w:spacing w:line="360" w:lineRule="auto"/>
        <w:ind w:firstLineChars="200"/>
        <w:rPr>
          <w:color w:val="auto"/>
        </w:rPr>
      </w:pPr>
    </w:p>
    <w:p w14:paraId="06C42395">
      <w:pPr>
        <w:pStyle w:val="12"/>
        <w:ind w:firstLineChars="200"/>
        <w:rPr>
          <w:color w:val="auto"/>
        </w:rPr>
      </w:pPr>
    </w:p>
    <w:p w14:paraId="310B8657">
      <w:pPr>
        <w:pStyle w:val="12"/>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2"/>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2"/>
        <w:ind w:firstLineChars="200"/>
        <w:rPr>
          <w:rFonts w:hint="default" w:eastAsiaTheme="minorEastAsia"/>
          <w:color w:val="auto"/>
          <w:lang w:val="en-US" w:eastAsia="zh-CN"/>
        </w:rPr>
      </w:pPr>
    </w:p>
    <w:p w14:paraId="26ABD9C4">
      <w:pPr>
        <w:pStyle w:val="12"/>
        <w:ind w:firstLineChars="200"/>
        <w:rPr>
          <w:color w:val="auto"/>
        </w:rPr>
      </w:pPr>
    </w:p>
    <w:p w14:paraId="1A155D87">
      <w:pPr>
        <w:pStyle w:val="12"/>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12"/>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7EAB60E8">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64EB0C0D">
      <w:pPr>
        <w:snapToGrid w:val="0"/>
        <w:spacing w:before="156" w:beforeLines="50" w:after="50" w:line="400" w:lineRule="exact"/>
        <w:jc w:val="left"/>
        <w:rPr>
          <w:rFonts w:hint="eastAsia" w:ascii="仿宋" w:hAnsi="仿宋" w:eastAsia="仿宋"/>
          <w:color w:val="auto"/>
          <w:sz w:val="30"/>
          <w:szCs w:val="30"/>
        </w:rPr>
      </w:pP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4"/>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6"/>
        <w:spacing w:line="500" w:lineRule="exact"/>
        <w:jc w:val="left"/>
        <w:rPr>
          <w:rFonts w:hint="eastAsia" w:hAnsi="宋体" w:eastAsiaTheme="minorEastAsia"/>
          <w:b/>
          <w:bCs/>
          <w:sz w:val="30"/>
          <w:szCs w:val="30"/>
          <w:lang w:val="en-US" w:eastAsia="zh-CN"/>
        </w:rPr>
      </w:pPr>
    </w:p>
    <w:p w14:paraId="59118329">
      <w:pPr>
        <w:pStyle w:val="3"/>
        <w:numPr>
          <w:ilvl w:val="3"/>
          <w:numId w:val="0"/>
        </w:numPr>
        <w:ind w:left="1077" w:leftChars="0"/>
        <w:rPr>
          <w:rFonts w:hint="eastAsia"/>
          <w:lang w:val="en-US" w:eastAsia="zh-CN"/>
        </w:rPr>
      </w:pPr>
    </w:p>
    <w:p w14:paraId="6C99CB0C">
      <w:pPr>
        <w:pStyle w:val="6"/>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4"/>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5A3A51EB">
      <w:pPr>
        <w:pStyle w:val="2"/>
      </w:pPr>
    </w:p>
    <w:p w14:paraId="54CA0204">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5F36B736">
      <w:pPr>
        <w:pStyle w:val="3"/>
        <w:numPr>
          <w:ilvl w:val="3"/>
          <w:numId w:val="0"/>
        </w:numPr>
        <w:jc w:val="center"/>
        <w:rPr>
          <w:rFonts w:hint="eastAsia"/>
          <w:color w:val="auto"/>
          <w:sz w:val="32"/>
          <w:szCs w:val="32"/>
        </w:rPr>
      </w:pPr>
      <w:r>
        <w:rPr>
          <w:rFonts w:hint="eastAsia"/>
          <w:color w:val="auto"/>
          <w:sz w:val="32"/>
          <w:szCs w:val="32"/>
        </w:rPr>
        <w:t>报价表</w:t>
      </w:r>
    </w:p>
    <w:tbl>
      <w:tblPr>
        <w:tblStyle w:val="15"/>
        <w:tblpPr w:leftFromText="180" w:rightFromText="180" w:vertAnchor="text" w:horzAnchor="page" w:tblpXSpec="center" w:tblpY="297"/>
        <w:tblOverlap w:val="never"/>
        <w:tblW w:w="87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801"/>
        <w:gridCol w:w="2150"/>
        <w:gridCol w:w="1826"/>
        <w:gridCol w:w="1500"/>
        <w:gridCol w:w="836"/>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1CF18044">
            <w:pPr>
              <w:pStyle w:val="6"/>
              <w:jc w:val="center"/>
              <w:rPr>
                <w:rFonts w:ascii="宋体" w:hAnsi="宋体" w:eastAsia="宋体" w:cs="宋体"/>
                <w:kern w:val="0"/>
                <w:sz w:val="20"/>
                <w:szCs w:val="21"/>
              </w:rPr>
            </w:pPr>
            <w:r>
              <w:rPr>
                <w:rFonts w:hint="eastAsia" w:ascii="宋体" w:hAnsi="宋体" w:eastAsia="宋体" w:cs="宋体"/>
                <w:kern w:val="0"/>
                <w:sz w:val="20"/>
                <w:szCs w:val="21"/>
              </w:rPr>
              <w:t>项号</w:t>
            </w:r>
          </w:p>
        </w:tc>
        <w:tc>
          <w:tcPr>
            <w:tcW w:w="1801" w:type="dxa"/>
            <w:noWrap w:val="0"/>
            <w:vAlign w:val="center"/>
          </w:tcPr>
          <w:p w14:paraId="7873B19F">
            <w:pPr>
              <w:pStyle w:val="6"/>
              <w:jc w:val="center"/>
              <w:rPr>
                <w:rFonts w:hint="eastAsia" w:ascii="宋体" w:hAnsi="宋体" w:eastAsia="宋体" w:cs="宋体"/>
                <w:kern w:val="0"/>
                <w:sz w:val="20"/>
                <w:szCs w:val="21"/>
                <w:lang w:val="en-US" w:eastAsia="zh-CN"/>
              </w:rPr>
            </w:pPr>
            <w:r>
              <w:rPr>
                <w:rFonts w:hint="eastAsia" w:hAnsi="宋体" w:cs="宋体"/>
                <w:kern w:val="0"/>
                <w:sz w:val="20"/>
                <w:szCs w:val="21"/>
                <w:lang w:val="en-US" w:eastAsia="zh-CN"/>
              </w:rPr>
              <w:t>名称</w:t>
            </w:r>
          </w:p>
        </w:tc>
        <w:tc>
          <w:tcPr>
            <w:tcW w:w="2150" w:type="dxa"/>
            <w:noWrap w:val="0"/>
            <w:vAlign w:val="center"/>
          </w:tcPr>
          <w:p w14:paraId="5E2F59C3">
            <w:pPr>
              <w:pStyle w:val="6"/>
              <w:jc w:val="center"/>
              <w:rPr>
                <w:rFonts w:ascii="宋体" w:hAnsi="宋体" w:eastAsia="宋体" w:cs="宋体"/>
                <w:kern w:val="0"/>
                <w:sz w:val="20"/>
                <w:szCs w:val="21"/>
              </w:rPr>
            </w:pPr>
            <w:r>
              <w:rPr>
                <w:rFonts w:hint="eastAsia" w:ascii="宋体" w:hAnsi="宋体" w:eastAsia="宋体" w:cs="宋体"/>
                <w:kern w:val="0"/>
                <w:sz w:val="20"/>
                <w:szCs w:val="21"/>
              </w:rPr>
              <w:t>数量（</w:t>
            </w:r>
            <w:r>
              <w:rPr>
                <w:rFonts w:hint="eastAsia" w:hAnsi="宋体" w:cs="宋体"/>
                <w:kern w:val="0"/>
                <w:sz w:val="20"/>
                <w:szCs w:val="21"/>
                <w:lang w:val="en-US" w:eastAsia="zh-CN"/>
              </w:rPr>
              <w:t>项</w:t>
            </w:r>
            <w:r>
              <w:rPr>
                <w:rFonts w:hint="eastAsia" w:ascii="宋体" w:hAnsi="宋体" w:eastAsia="宋体" w:cs="宋体"/>
                <w:kern w:val="0"/>
                <w:sz w:val="20"/>
                <w:szCs w:val="21"/>
              </w:rPr>
              <w:t>）①</w:t>
            </w:r>
          </w:p>
        </w:tc>
        <w:tc>
          <w:tcPr>
            <w:tcW w:w="1826" w:type="dxa"/>
            <w:noWrap w:val="0"/>
            <w:vAlign w:val="center"/>
          </w:tcPr>
          <w:p w14:paraId="7CAF3CE1">
            <w:pPr>
              <w:pStyle w:val="6"/>
              <w:jc w:val="center"/>
              <w:rPr>
                <w:rFonts w:hint="eastAsia"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单价（元）</w:t>
            </w:r>
          </w:p>
          <w:p w14:paraId="2EF4B3DB">
            <w:pPr>
              <w:pStyle w:val="6"/>
              <w:jc w:val="center"/>
              <w:rPr>
                <w:rFonts w:hint="default" w:ascii="宋体" w:hAnsi="宋体" w:eastAsia="宋体" w:cs="宋体"/>
                <w:kern w:val="0"/>
                <w:sz w:val="20"/>
                <w:szCs w:val="21"/>
                <w:lang w:val="en-US" w:eastAsia="zh-CN"/>
              </w:rPr>
            </w:pPr>
            <w:r>
              <w:rPr>
                <w:rFonts w:hint="eastAsia" w:asciiTheme="minorEastAsia" w:hAnsiTheme="minorEastAsia" w:cstheme="minorEastAsia"/>
                <w:kern w:val="0"/>
                <w:sz w:val="20"/>
                <w:szCs w:val="21"/>
              </w:rPr>
              <w:t>②</w:t>
            </w:r>
          </w:p>
        </w:tc>
        <w:tc>
          <w:tcPr>
            <w:tcW w:w="1500" w:type="dxa"/>
            <w:noWrap w:val="0"/>
            <w:vAlign w:val="center"/>
          </w:tcPr>
          <w:p w14:paraId="72993DF1">
            <w:pPr>
              <w:pStyle w:val="6"/>
              <w:jc w:val="center"/>
              <w:rPr>
                <w:rFonts w:hint="eastAsia"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 xml:space="preserve">单项合价  </w:t>
            </w:r>
          </w:p>
          <w:p w14:paraId="5EF0A315">
            <w:pPr>
              <w:pStyle w:val="6"/>
              <w:jc w:val="center"/>
              <w:rPr>
                <w:rFonts w:hint="default" w:ascii="宋体" w:hAnsi="宋体" w:eastAsia="宋体" w:cs="宋体"/>
                <w:kern w:val="0"/>
                <w:sz w:val="20"/>
                <w:szCs w:val="21"/>
                <w:lang w:val="en-US" w:eastAsia="zh-CN"/>
              </w:rPr>
            </w:pPr>
            <w:r>
              <w:rPr>
                <w:rFonts w:hint="eastAsia" w:asciiTheme="minorEastAsia" w:hAnsiTheme="minorEastAsia" w:cstheme="minorEastAsia"/>
                <w:kern w:val="0"/>
                <w:sz w:val="20"/>
                <w:szCs w:val="21"/>
              </w:rPr>
              <w:t>③=①×②</w:t>
            </w:r>
          </w:p>
        </w:tc>
        <w:tc>
          <w:tcPr>
            <w:tcW w:w="836" w:type="dxa"/>
            <w:noWrap w:val="0"/>
            <w:vAlign w:val="center"/>
          </w:tcPr>
          <w:p w14:paraId="0030BA9E">
            <w:pPr>
              <w:pStyle w:val="6"/>
              <w:jc w:val="center"/>
              <w:rPr>
                <w:rFonts w:ascii="宋体" w:hAnsi="宋体" w:eastAsia="宋体" w:cs="宋体"/>
                <w:kern w:val="0"/>
                <w:sz w:val="20"/>
                <w:szCs w:val="21"/>
              </w:rPr>
            </w:pPr>
            <w:r>
              <w:rPr>
                <w:rFonts w:hint="eastAsia" w:ascii="宋体" w:hAnsi="宋体" w:eastAsia="宋体" w:cs="宋体"/>
                <w:kern w:val="0"/>
                <w:sz w:val="20"/>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75" w:type="dxa"/>
            <w:noWrap w:val="0"/>
            <w:vAlign w:val="center"/>
          </w:tcPr>
          <w:p w14:paraId="605BCA8A">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w:t>
            </w:r>
          </w:p>
        </w:tc>
        <w:tc>
          <w:tcPr>
            <w:tcW w:w="1801" w:type="dxa"/>
            <w:noWrap w:val="0"/>
            <w:vAlign w:val="center"/>
          </w:tcPr>
          <w:p w14:paraId="3B53E540">
            <w:pPr>
              <w:jc w:val="center"/>
              <w:rPr>
                <w:rFonts w:ascii="宋体" w:hAnsi="宋体" w:eastAsia="宋体" w:cs="宋体"/>
                <w:kern w:val="0"/>
                <w:sz w:val="20"/>
                <w:szCs w:val="21"/>
              </w:rPr>
            </w:pPr>
            <w:r>
              <w:rPr>
                <w:rFonts w:hint="eastAsia" w:ascii="宋体" w:hAnsi="宋体" w:eastAsia="宋体" w:cs="宋体"/>
                <w:kern w:val="0"/>
                <w:sz w:val="20"/>
                <w:szCs w:val="21"/>
                <w:lang w:val="en-US" w:eastAsia="zh-CN"/>
              </w:rPr>
              <w:t>南宁中心血站2025年物联专线服务</w:t>
            </w:r>
          </w:p>
        </w:tc>
        <w:tc>
          <w:tcPr>
            <w:tcW w:w="2150" w:type="dxa"/>
            <w:noWrap w:val="0"/>
            <w:vAlign w:val="center"/>
          </w:tcPr>
          <w:p w14:paraId="545DEFD9">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1项</w:t>
            </w:r>
          </w:p>
        </w:tc>
        <w:tc>
          <w:tcPr>
            <w:tcW w:w="1826" w:type="dxa"/>
            <w:noWrap w:val="0"/>
            <w:vAlign w:val="center"/>
          </w:tcPr>
          <w:p w14:paraId="4854383B">
            <w:pPr>
              <w:pStyle w:val="6"/>
              <w:jc w:val="center"/>
              <w:rPr>
                <w:rFonts w:hint="eastAsia" w:ascii="Times New Roman" w:hAnsi="Times New Roman" w:cs="Times New Roman"/>
                <w:color w:val="0000FF"/>
                <w:kern w:val="2"/>
                <w:sz w:val="21"/>
                <w:szCs w:val="24"/>
                <w:highlight w:val="none"/>
                <w:lang w:val="en-US" w:eastAsia="zh-CN" w:bidi="ar-SA"/>
              </w:rPr>
            </w:pPr>
          </w:p>
        </w:tc>
        <w:tc>
          <w:tcPr>
            <w:tcW w:w="1500" w:type="dxa"/>
            <w:noWrap w:val="0"/>
            <w:vAlign w:val="center"/>
          </w:tcPr>
          <w:p w14:paraId="2B91DFC1">
            <w:pPr>
              <w:pStyle w:val="6"/>
              <w:jc w:val="center"/>
              <w:rPr>
                <w:rFonts w:hint="eastAsia" w:ascii="Times New Roman" w:hAnsi="Times New Roman" w:cs="Times New Roman"/>
                <w:color w:val="0000FF"/>
                <w:kern w:val="2"/>
                <w:sz w:val="21"/>
                <w:szCs w:val="24"/>
                <w:highlight w:val="none"/>
                <w:lang w:val="en-US" w:eastAsia="zh-CN" w:bidi="ar-SA"/>
              </w:rPr>
            </w:pPr>
          </w:p>
        </w:tc>
        <w:tc>
          <w:tcPr>
            <w:tcW w:w="836" w:type="dxa"/>
            <w:noWrap w:val="0"/>
            <w:vAlign w:val="center"/>
          </w:tcPr>
          <w:p w14:paraId="0CB513CA">
            <w:pPr>
              <w:pStyle w:val="6"/>
              <w:jc w:val="center"/>
              <w:rPr>
                <w:rFonts w:ascii="宋体" w:hAnsi="宋体" w:eastAsia="宋体" w:cs="宋体"/>
                <w:kern w:val="0"/>
                <w:sz w:val="20"/>
                <w:szCs w:val="21"/>
              </w:rPr>
            </w:pPr>
          </w:p>
        </w:tc>
      </w:tr>
      <w:tr w14:paraId="6BFB3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8788" w:type="dxa"/>
            <w:gridSpan w:val="6"/>
            <w:noWrap w:val="0"/>
            <w:vAlign w:val="center"/>
          </w:tcPr>
          <w:p w14:paraId="08897B27">
            <w:pPr>
              <w:pStyle w:val="6"/>
              <w:jc w:val="left"/>
              <w:rPr>
                <w:rFonts w:ascii="宋体" w:hAnsi="宋体" w:eastAsia="宋体" w:cs="宋体"/>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5EA36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8788" w:type="dxa"/>
            <w:gridSpan w:val="6"/>
            <w:noWrap w:val="0"/>
            <w:vAlign w:val="center"/>
          </w:tcPr>
          <w:p w14:paraId="60C112FC">
            <w:pPr>
              <w:pStyle w:val="6"/>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cstheme="minorEastAsia"/>
                <w:b/>
                <w:color w:val="0000FF"/>
                <w:kern w:val="0"/>
                <w:sz w:val="20"/>
                <w:szCs w:val="21"/>
              </w:rPr>
              <w:t>说明：</w:t>
            </w:r>
            <w:r>
              <w:rPr>
                <w:rFonts w:hint="eastAsia" w:asciiTheme="minorEastAsia" w:hAnsiTheme="minorEastAsia" w:eastAsiaTheme="minorEastAsia"/>
                <w:b/>
                <w:color w:val="0000FF"/>
                <w:sz w:val="21"/>
                <w:szCs w:val="21"/>
                <w:lang w:val="en-US" w:eastAsia="zh-CN"/>
              </w:rPr>
              <w:t>本项目仅做一次报价，请响应供应商一次报出不得更改的价格且</w:t>
            </w:r>
            <w:r>
              <w:rPr>
                <w:rFonts w:hint="eastAsia" w:asciiTheme="minorEastAsia" w:hAnsiTheme="minorEastAsia" w:cstheme="minorEastAsia"/>
                <w:b/>
                <w:color w:val="0000FF"/>
                <w:kern w:val="0"/>
                <w:sz w:val="20"/>
                <w:szCs w:val="21"/>
              </w:rPr>
              <w:t>报价合计金额不能超过最高限价。</w:t>
            </w:r>
          </w:p>
        </w:tc>
      </w:tr>
    </w:tbl>
    <w:p w14:paraId="031CEA9A">
      <w:pPr>
        <w:pStyle w:val="6"/>
        <w:spacing w:line="560" w:lineRule="exact"/>
        <w:rPr>
          <w:rFonts w:hint="eastAsia" w:asciiTheme="minorEastAsia" w:hAnsiTheme="minorEastAsia" w:cstheme="minorEastAsia"/>
          <w:color w:val="auto"/>
          <w:szCs w:val="21"/>
        </w:rPr>
      </w:pPr>
    </w:p>
    <w:p w14:paraId="757F4053">
      <w:pPr>
        <w:pStyle w:val="6"/>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4C070FAE">
      <w:pPr>
        <w:pStyle w:val="6"/>
        <w:spacing w:line="560" w:lineRule="exact"/>
        <w:rPr>
          <w:rFonts w:asciiTheme="minorEastAsia" w:hAnsiTheme="minorEastAsia" w:cstheme="minorEastAsia"/>
          <w:color w:val="auto"/>
          <w:szCs w:val="21"/>
          <w:u w:val="single"/>
        </w:rPr>
      </w:pPr>
    </w:p>
    <w:p w14:paraId="76F34C1E">
      <w:pPr>
        <w:pStyle w:val="6"/>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191C8D15">
      <w:pPr>
        <w:pStyle w:val="6"/>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26E84496">
      <w:pPr>
        <w:ind w:firstLine="600" w:firstLineChars="200"/>
        <w:rPr>
          <w:rFonts w:hint="eastAsia" w:ascii="仿宋" w:hAnsi="仿宋" w:eastAsia="仿宋"/>
          <w:color w:val="auto"/>
          <w:sz w:val="30"/>
          <w:szCs w:val="30"/>
          <w:lang w:val="en-US" w:eastAsia="zh-CN"/>
        </w:rPr>
      </w:pPr>
    </w:p>
    <w:p w14:paraId="739716C6">
      <w:pPr>
        <w:ind w:firstLine="600" w:firstLineChars="200"/>
        <w:rPr>
          <w:rFonts w:hint="eastAsia" w:ascii="仿宋" w:hAnsi="仿宋" w:eastAsia="仿宋"/>
          <w:color w:val="auto"/>
          <w:sz w:val="30"/>
          <w:szCs w:val="30"/>
          <w:lang w:val="en-US" w:eastAsia="zh-CN"/>
        </w:rPr>
      </w:pPr>
    </w:p>
    <w:p w14:paraId="31BA5B95">
      <w:pPr>
        <w:ind w:firstLine="600" w:firstLineChars="200"/>
        <w:rPr>
          <w:rFonts w:hint="eastAsia" w:ascii="仿宋" w:hAnsi="仿宋" w:eastAsia="仿宋"/>
          <w:color w:val="auto"/>
          <w:sz w:val="30"/>
          <w:szCs w:val="30"/>
          <w:lang w:val="en-US" w:eastAsia="zh-CN"/>
        </w:rPr>
      </w:pPr>
    </w:p>
    <w:p w14:paraId="72074B66">
      <w:pPr>
        <w:rPr>
          <w:rFonts w:hint="eastAsia" w:ascii="仿宋" w:hAnsi="仿宋" w:eastAsia="仿宋"/>
          <w:color w:val="auto"/>
          <w:sz w:val="30"/>
          <w:szCs w:val="30"/>
          <w:lang w:val="en-US" w:eastAsia="zh-CN"/>
        </w:rPr>
      </w:pPr>
    </w:p>
    <w:p w14:paraId="504E1A2F">
      <w:pPr>
        <w:rPr>
          <w:rFonts w:hint="eastAsia" w:ascii="仿宋" w:hAnsi="仿宋" w:eastAsia="仿宋"/>
          <w:color w:val="auto"/>
          <w:sz w:val="30"/>
          <w:szCs w:val="30"/>
        </w:rPr>
      </w:pPr>
    </w:p>
    <w:p w14:paraId="57D18DE7">
      <w:pPr>
        <w:rPr>
          <w:rFonts w:hint="eastAsia" w:ascii="仿宋" w:hAnsi="仿宋" w:eastAsia="仿宋"/>
          <w:color w:val="auto"/>
          <w:sz w:val="30"/>
          <w:szCs w:val="30"/>
        </w:rPr>
      </w:pPr>
    </w:p>
    <w:p w14:paraId="1F5506BB">
      <w:pPr>
        <w:rPr>
          <w:rFonts w:hint="eastAsia" w:ascii="仿宋" w:hAnsi="仿宋" w:eastAsia="仿宋"/>
          <w:color w:val="auto"/>
          <w:sz w:val="30"/>
          <w:szCs w:val="30"/>
        </w:rPr>
      </w:pPr>
    </w:p>
    <w:p w14:paraId="2307793D">
      <w:pPr>
        <w:pStyle w:val="2"/>
        <w:rPr>
          <w:rFonts w:hint="eastAsia"/>
        </w:rPr>
      </w:pP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4B9610A9">
      <w:pPr>
        <w:pStyle w:val="6"/>
        <w:spacing w:line="500" w:lineRule="exact"/>
        <w:jc w:val="center"/>
        <w:rPr>
          <w:rFonts w:hAnsi="宋体"/>
          <w:b/>
          <w:bCs/>
          <w:color w:val="auto"/>
          <w:sz w:val="30"/>
          <w:szCs w:val="30"/>
        </w:rPr>
      </w:pPr>
      <w:r>
        <w:rPr>
          <w:rFonts w:hint="eastAsia" w:hAnsi="宋体"/>
          <w:b/>
          <w:bCs/>
          <w:color w:val="auto"/>
          <w:sz w:val="30"/>
          <w:szCs w:val="30"/>
        </w:rPr>
        <w:t>响应技术资料表</w:t>
      </w:r>
    </w:p>
    <w:p w14:paraId="5A1CC8D2">
      <w:pPr>
        <w:pStyle w:val="6"/>
        <w:ind w:firstLine="210" w:firstLineChars="100"/>
        <w:rPr>
          <w:rFonts w:hAnsi="宋体"/>
          <w:color w:val="auto"/>
        </w:rPr>
      </w:pPr>
    </w:p>
    <w:p w14:paraId="0D1ADF2E">
      <w:pPr>
        <w:pStyle w:val="6"/>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500EE994">
      <w:pPr>
        <w:pStyle w:val="36"/>
        <w:ind w:firstLine="462" w:firstLineChars="200"/>
      </w:pPr>
      <w:r>
        <w:rPr>
          <w:rFonts w:hint="eastAsia" w:ascii="宋体" w:hAnsi="宋体" w:cs="宋体"/>
          <w:b/>
          <w:sz w:val="21"/>
          <w:szCs w:val="21"/>
        </w:rPr>
        <w:t>本采购需求一览表中各参数要求需要全部满足，不允许负偏离，负偏离视为无效响应</w:t>
      </w:r>
      <w:r>
        <w:rPr>
          <w:rFonts w:hint="eastAsia" w:asciiTheme="minorEastAsia" w:hAnsiTheme="minorEastAsia"/>
          <w:b/>
          <w:bCs/>
          <w:color w:val="auto"/>
          <w:szCs w:val="21"/>
        </w:rPr>
        <w:t>。</w:t>
      </w:r>
    </w:p>
    <w:tbl>
      <w:tblPr>
        <w:tblStyle w:val="14"/>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954"/>
        <w:gridCol w:w="3023"/>
        <w:gridCol w:w="967"/>
        <w:gridCol w:w="2750"/>
        <w:gridCol w:w="87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6"/>
              <w:jc w:val="center"/>
              <w:rPr>
                <w:rFonts w:hAnsi="宋体"/>
                <w:color w:val="auto"/>
                <w:spacing w:val="-20"/>
                <w:szCs w:val="21"/>
              </w:rPr>
            </w:pPr>
            <w:r>
              <w:rPr>
                <w:rFonts w:hint="eastAsia" w:hAnsi="宋体"/>
                <w:color w:val="auto"/>
                <w:spacing w:val="-20"/>
                <w:szCs w:val="21"/>
              </w:rPr>
              <w:t>序号</w:t>
            </w:r>
          </w:p>
        </w:tc>
        <w:tc>
          <w:tcPr>
            <w:tcW w:w="3977" w:type="dxa"/>
            <w:gridSpan w:val="2"/>
            <w:vAlign w:val="center"/>
          </w:tcPr>
          <w:p w14:paraId="0DE12347">
            <w:pPr>
              <w:jc w:val="center"/>
              <w:rPr>
                <w:rFonts w:ascii="宋体"/>
                <w:color w:val="auto"/>
                <w:szCs w:val="21"/>
              </w:rPr>
            </w:pPr>
            <w:r>
              <w:rPr>
                <w:rFonts w:hint="eastAsia" w:ascii="宋体" w:hAnsi="宋体"/>
                <w:color w:val="auto"/>
                <w:szCs w:val="21"/>
              </w:rPr>
              <w:t>采购文件需求</w:t>
            </w:r>
          </w:p>
        </w:tc>
        <w:tc>
          <w:tcPr>
            <w:tcW w:w="3717" w:type="dxa"/>
            <w:gridSpan w:val="2"/>
            <w:vAlign w:val="center"/>
          </w:tcPr>
          <w:p w14:paraId="643763B8">
            <w:pPr>
              <w:jc w:val="center"/>
              <w:rPr>
                <w:rFonts w:ascii="宋体"/>
                <w:color w:val="auto"/>
                <w:szCs w:val="21"/>
              </w:rPr>
            </w:pPr>
            <w:r>
              <w:rPr>
                <w:rFonts w:hint="eastAsia" w:ascii="宋体" w:hAnsi="宋体"/>
                <w:color w:val="auto"/>
                <w:szCs w:val="21"/>
              </w:rPr>
              <w:t>响应文件承诺</w:t>
            </w:r>
          </w:p>
        </w:tc>
        <w:tc>
          <w:tcPr>
            <w:tcW w:w="876" w:type="dxa"/>
            <w:vMerge w:val="restart"/>
            <w:vAlign w:val="center"/>
          </w:tcPr>
          <w:p w14:paraId="706E51DD">
            <w:pPr>
              <w:jc w:val="center"/>
              <w:rPr>
                <w:rFonts w:ascii="宋体"/>
                <w:color w:val="auto"/>
                <w:szCs w:val="21"/>
              </w:rPr>
            </w:pPr>
            <w:r>
              <w:rPr>
                <w:rFonts w:hint="eastAsia" w:ascii="宋体" w:hAnsi="宋体"/>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18" w:type="dxa"/>
            <w:vMerge w:val="continue"/>
            <w:vAlign w:val="center"/>
          </w:tcPr>
          <w:p w14:paraId="250F1D49">
            <w:pPr>
              <w:pStyle w:val="6"/>
              <w:jc w:val="center"/>
              <w:rPr>
                <w:rFonts w:hAnsi="宋体"/>
                <w:color w:val="auto"/>
                <w:spacing w:val="-20"/>
                <w:szCs w:val="21"/>
              </w:rPr>
            </w:pPr>
          </w:p>
        </w:tc>
        <w:tc>
          <w:tcPr>
            <w:tcW w:w="954" w:type="dxa"/>
            <w:vAlign w:val="center"/>
          </w:tcPr>
          <w:p w14:paraId="3B7AC663">
            <w:pPr>
              <w:jc w:val="center"/>
              <w:rPr>
                <w:rFonts w:ascii="宋体"/>
                <w:color w:val="auto"/>
                <w:szCs w:val="21"/>
              </w:rPr>
            </w:pPr>
            <w:r>
              <w:rPr>
                <w:rFonts w:hint="eastAsia" w:ascii="宋体" w:hAnsi="宋体"/>
                <w:color w:val="auto"/>
                <w:szCs w:val="21"/>
                <w:lang w:val="en-US" w:eastAsia="zh-CN"/>
              </w:rPr>
              <w:t>项目</w:t>
            </w:r>
            <w:r>
              <w:rPr>
                <w:rFonts w:hint="eastAsia" w:ascii="宋体" w:hAnsi="宋体"/>
                <w:color w:val="auto"/>
                <w:szCs w:val="21"/>
              </w:rPr>
              <w:t>名称</w:t>
            </w:r>
          </w:p>
        </w:tc>
        <w:tc>
          <w:tcPr>
            <w:tcW w:w="3023" w:type="dxa"/>
            <w:vAlign w:val="center"/>
          </w:tcPr>
          <w:p w14:paraId="34BC4A96">
            <w:pPr>
              <w:jc w:val="center"/>
              <w:rPr>
                <w:rFonts w:ascii="宋体"/>
                <w:color w:val="auto"/>
                <w:szCs w:val="21"/>
              </w:rPr>
            </w:pPr>
            <w:r>
              <w:rPr>
                <w:rFonts w:hint="eastAsia" w:ascii="宋体"/>
                <w:color w:val="auto"/>
                <w:szCs w:val="21"/>
              </w:rPr>
              <w:t>技术参数</w:t>
            </w:r>
          </w:p>
        </w:tc>
        <w:tc>
          <w:tcPr>
            <w:tcW w:w="967" w:type="dxa"/>
            <w:vAlign w:val="center"/>
          </w:tcPr>
          <w:p w14:paraId="50260F94">
            <w:pPr>
              <w:jc w:val="center"/>
              <w:rPr>
                <w:rFonts w:ascii="宋体"/>
                <w:color w:val="auto"/>
                <w:szCs w:val="21"/>
              </w:rPr>
            </w:pPr>
            <w:r>
              <w:rPr>
                <w:rFonts w:hint="eastAsia" w:ascii="宋体" w:hAnsi="宋体"/>
                <w:color w:val="auto"/>
                <w:szCs w:val="21"/>
                <w:lang w:val="en-US" w:eastAsia="zh-CN"/>
              </w:rPr>
              <w:t>项目</w:t>
            </w:r>
            <w:r>
              <w:rPr>
                <w:rFonts w:hint="eastAsia" w:ascii="宋体" w:hAnsi="宋体"/>
                <w:color w:val="auto"/>
                <w:szCs w:val="21"/>
              </w:rPr>
              <w:t>名称</w:t>
            </w:r>
          </w:p>
        </w:tc>
        <w:tc>
          <w:tcPr>
            <w:tcW w:w="2750" w:type="dxa"/>
            <w:vAlign w:val="center"/>
          </w:tcPr>
          <w:p w14:paraId="31A59E2D">
            <w:pPr>
              <w:jc w:val="center"/>
              <w:rPr>
                <w:rFonts w:ascii="宋体"/>
                <w:color w:val="auto"/>
                <w:szCs w:val="21"/>
              </w:rPr>
            </w:pPr>
            <w:r>
              <w:rPr>
                <w:rFonts w:hint="eastAsia" w:ascii="宋体" w:hAnsi="宋体"/>
                <w:color w:val="auto"/>
                <w:szCs w:val="21"/>
              </w:rPr>
              <w:t>响应技术参数</w:t>
            </w:r>
          </w:p>
        </w:tc>
        <w:tc>
          <w:tcPr>
            <w:tcW w:w="876" w:type="dxa"/>
            <w:vMerge w:val="continue"/>
            <w:vAlign w:val="center"/>
          </w:tcPr>
          <w:p w14:paraId="1A0BC623">
            <w:pPr>
              <w:jc w:val="center"/>
              <w:rPr>
                <w:rFonts w:ascii="宋体"/>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8" w:type="dxa"/>
            <w:vAlign w:val="center"/>
          </w:tcPr>
          <w:p w14:paraId="009041CD">
            <w:pPr>
              <w:pStyle w:val="6"/>
              <w:jc w:val="center"/>
              <w:rPr>
                <w:rFonts w:ascii="仿宋" w:hAnsi="仿宋" w:eastAsia="仿宋"/>
                <w:color w:val="auto"/>
                <w:spacing w:val="-20"/>
                <w:sz w:val="20"/>
              </w:rPr>
            </w:pPr>
            <w:r>
              <w:rPr>
                <w:rFonts w:ascii="仿宋" w:hAnsi="仿宋" w:eastAsia="仿宋"/>
                <w:color w:val="auto"/>
                <w:spacing w:val="-20"/>
                <w:sz w:val="20"/>
              </w:rPr>
              <w:t>1</w:t>
            </w:r>
          </w:p>
        </w:tc>
        <w:tc>
          <w:tcPr>
            <w:tcW w:w="954" w:type="dxa"/>
            <w:vAlign w:val="center"/>
          </w:tcPr>
          <w:p w14:paraId="5EF1D8C3">
            <w:pPr>
              <w:rPr>
                <w:rFonts w:ascii="仿宋" w:hAnsi="仿宋" w:eastAsia="仿宋" w:cs="宋体"/>
                <w:color w:val="auto"/>
                <w:szCs w:val="21"/>
              </w:rPr>
            </w:pPr>
            <w:r>
              <w:rPr>
                <w:rFonts w:hint="eastAsia" w:ascii="宋体" w:hAnsi="宋体"/>
                <w:szCs w:val="21"/>
                <w:vertAlign w:val="baseline"/>
                <w:lang w:val="en-US" w:eastAsia="zh-CN"/>
              </w:rPr>
              <w:t>南宁中心血站2025年物联专线服务</w:t>
            </w:r>
          </w:p>
        </w:tc>
        <w:tc>
          <w:tcPr>
            <w:tcW w:w="3023" w:type="dxa"/>
            <w:vAlign w:val="center"/>
          </w:tcPr>
          <w:p w14:paraId="4D724210">
            <w:pPr>
              <w:pStyle w:val="2"/>
              <w:numPr>
                <w:ilvl w:val="0"/>
                <w:numId w:val="4"/>
              </w:numPr>
              <w:ind w:left="20" w:leftChars="0" w:firstLine="400" w:firstLineChars="0"/>
              <w:rPr>
                <w:rFonts w:ascii="宋体" w:hAnsi="宋体" w:eastAsia="宋体"/>
                <w:sz w:val="21"/>
                <w:szCs w:val="21"/>
              </w:rPr>
            </w:pPr>
            <w:r>
              <w:rPr>
                <w:rFonts w:hint="eastAsia" w:ascii="宋体" w:hAnsi="宋体" w:eastAsia="宋体"/>
                <w:sz w:val="21"/>
                <w:szCs w:val="21"/>
              </w:rPr>
              <w:t>使移动采血车上的设备能与血站服务器之间进行有效的数据传输。</w:t>
            </w:r>
          </w:p>
          <w:p w14:paraId="71FDAC2B">
            <w:pPr>
              <w:numPr>
                <w:ilvl w:val="0"/>
                <w:numId w:val="4"/>
              </w:numPr>
              <w:ind w:left="20" w:leftChars="0" w:firstLine="400" w:firstLineChars="0"/>
              <w:rPr>
                <w:rFonts w:ascii="宋体" w:hAnsi="宋体" w:eastAsia="宋体"/>
                <w:color w:val="0C0C0C"/>
                <w:szCs w:val="21"/>
              </w:rPr>
            </w:pPr>
            <w:r>
              <w:rPr>
                <w:rFonts w:hint="eastAsia" w:ascii="宋体" w:hAnsi="宋体" w:eastAsia="宋体"/>
                <w:szCs w:val="21"/>
              </w:rPr>
              <w:t>物联专线是指运营商通信集团基于自身强大的CMNET数据网，利用自己的接入网和传输网络资源，采用固线方式为集团用户提供专线接入，从而实现集团客户专享各种高质量的通信服务和信息化服务的解决方案，物联网APN专线，是指连接客户与运营商机房数据传输接口的专用通道。一般用于</w:t>
            </w:r>
            <w:r>
              <w:rPr>
                <w:rFonts w:hint="eastAsia" w:ascii="宋体" w:hAnsi="宋体" w:eastAsia="宋体"/>
                <w:color w:val="0C0C0C"/>
                <w:szCs w:val="21"/>
              </w:rPr>
              <w:t>一家公司两地或者多地工作之间的数据传输。</w:t>
            </w:r>
          </w:p>
          <w:p w14:paraId="4E07CF57">
            <w:pPr>
              <w:numPr>
                <w:ilvl w:val="0"/>
                <w:numId w:val="4"/>
              </w:numPr>
              <w:ind w:left="20" w:leftChars="0" w:firstLine="400" w:firstLineChars="0"/>
              <w:rPr>
                <w:rFonts w:ascii="宋体" w:hAnsi="宋体" w:eastAsia="宋体"/>
                <w:color w:val="0C0C0C"/>
                <w:szCs w:val="21"/>
              </w:rPr>
            </w:pPr>
            <w:r>
              <w:rPr>
                <w:rFonts w:hint="eastAsia" w:ascii="宋体" w:hAnsi="宋体" w:eastAsia="宋体"/>
                <w:color w:val="0C0C0C"/>
                <w:szCs w:val="21"/>
              </w:rPr>
              <w:t>组网方案特点：（1）各点联网采用基于光纤和数字传输通道的数字电路，性能稳定，带宽保障。（2）用户端路由器通过移动专为客户组建的接入网，业务接口丰富，满足客户多种业务运用需求。（3）整个网络实行统一网管，便于维护和管理。（4）中心机房24小时有人值守，便于网络和设备的监控和管理。（5）充分利用移动的城域传输网和长途传输网资源，网络结构完善，设备先进，有充分的安全保障。（6）设备和技术成熟可靠。（7）专用网络，与外网完全隔离，安全性高。</w:t>
            </w:r>
          </w:p>
          <w:p w14:paraId="14CA275F">
            <w:pPr>
              <w:pStyle w:val="2"/>
              <w:numPr>
                <w:ilvl w:val="0"/>
                <w:numId w:val="4"/>
              </w:numPr>
              <w:ind w:left="20" w:leftChars="0" w:firstLine="400" w:firstLineChars="0"/>
              <w:rPr>
                <w:rFonts w:hint="eastAsia" w:ascii="宋体" w:hAnsi="宋体" w:eastAsia="宋体"/>
                <w:color w:val="0C0C0C"/>
                <w:sz w:val="21"/>
                <w:szCs w:val="21"/>
              </w:rPr>
            </w:pPr>
            <w:r>
              <w:rPr>
                <w:rFonts w:hint="eastAsia" w:ascii="宋体" w:hAnsi="宋体" w:eastAsia="宋体"/>
                <w:color w:val="0C0C0C"/>
                <w:sz w:val="21"/>
                <w:szCs w:val="21"/>
              </w:rPr>
              <w:t>提供各种主流物理光、电接口，如RJ45/LC/FC等供采购人使用；电路误码率：单条电路端到端比特误码率≤1×10-7；电路丢包率：单条电路端到端丢包率≤0.5%；电路速率：电路各个节点最大时延≤15ms；电路速率：单条电路端到端时延抖动率≤15ms。</w:t>
            </w:r>
          </w:p>
          <w:p w14:paraId="12D58A0F">
            <w:pPr>
              <w:numPr>
                <w:ilvl w:val="0"/>
                <w:numId w:val="4"/>
              </w:numPr>
              <w:spacing w:line="240" w:lineRule="auto"/>
              <w:ind w:left="20" w:leftChars="0" w:firstLine="400" w:firstLineChars="0"/>
              <w:jc w:val="left"/>
              <w:rPr>
                <w:rFonts w:hint="default"/>
                <w:lang w:val="en-US" w:eastAsia="zh-CN"/>
              </w:rPr>
            </w:pPr>
            <w:r>
              <w:rPr>
                <w:rFonts w:hint="eastAsia" w:ascii="宋体" w:hAnsi="宋体" w:eastAsia="宋体" w:cs="Times New Roman"/>
                <w:color w:val="0C0C0C"/>
                <w:sz w:val="21"/>
                <w:szCs w:val="21"/>
                <w:lang w:val="en-US" w:eastAsia="zh-CN"/>
              </w:rPr>
              <w:t>含20张物联卡的资费，</w:t>
            </w:r>
            <w:r>
              <w:rPr>
                <w:rFonts w:hint="eastAsia" w:ascii="宋体" w:hAnsi="宋体" w:eastAsia="宋体" w:cs="Times New Roman"/>
                <w:color w:val="0C0C0C"/>
                <w:sz w:val="21"/>
                <w:szCs w:val="21"/>
              </w:rPr>
              <w:t>物联卡主要在物联专线中使用，使移动采血车上的设备能与血站服务器之间进行有效的数据传输。</w:t>
            </w:r>
          </w:p>
          <w:p w14:paraId="72F412B6">
            <w:pPr>
              <w:pStyle w:val="12"/>
              <w:ind w:left="0" w:leftChars="0" w:firstLine="0" w:firstLineChars="0"/>
              <w:rPr>
                <w:rFonts w:hint="eastAsia" w:ascii="仿宋" w:hAnsi="仿宋" w:eastAsia="仿宋" w:cs="宋体"/>
                <w:color w:val="auto"/>
                <w:kern w:val="2"/>
                <w:sz w:val="21"/>
                <w:szCs w:val="21"/>
                <w:lang w:val="en-US" w:eastAsia="zh-CN" w:bidi="ar-SA"/>
              </w:rPr>
            </w:pPr>
            <w:r>
              <w:rPr>
                <w:rFonts w:hint="eastAsia"/>
                <w:lang w:val="en-US" w:eastAsia="zh-CN"/>
              </w:rPr>
              <w:t>要求接入的物联网线路，实现使用该专线能联通南宁中心血站的业务系统。</w:t>
            </w:r>
          </w:p>
        </w:tc>
        <w:tc>
          <w:tcPr>
            <w:tcW w:w="967" w:type="dxa"/>
            <w:vAlign w:val="center"/>
          </w:tcPr>
          <w:p w14:paraId="2EDEDA46">
            <w:pPr>
              <w:rPr>
                <w:rFonts w:ascii="仿宋" w:hAnsi="仿宋" w:eastAsia="仿宋" w:cs="宋体"/>
                <w:color w:val="auto"/>
                <w:szCs w:val="21"/>
              </w:rPr>
            </w:pPr>
            <w:r>
              <w:rPr>
                <w:rFonts w:hint="eastAsia" w:ascii="宋体" w:hAnsi="宋体"/>
                <w:szCs w:val="21"/>
                <w:vertAlign w:val="baseline"/>
                <w:lang w:val="en-US" w:eastAsia="zh-CN"/>
              </w:rPr>
              <w:t>南宁中心血站2025年物联专线服务</w:t>
            </w:r>
          </w:p>
        </w:tc>
        <w:tc>
          <w:tcPr>
            <w:tcW w:w="2750" w:type="dxa"/>
            <w:vAlign w:val="center"/>
          </w:tcPr>
          <w:p w14:paraId="3BF8F671">
            <w:pPr>
              <w:rPr>
                <w:rFonts w:hAnsi="宋体"/>
                <w:color w:val="auto"/>
                <w:sz w:val="16"/>
                <w:szCs w:val="16"/>
              </w:rPr>
            </w:pPr>
            <w:r>
              <w:rPr>
                <w:rFonts w:hint="eastAsia" w:asciiTheme="minorEastAsia" w:hAnsiTheme="minorEastAsia" w:cstheme="minorEastAsia"/>
                <w:color w:val="FF0000"/>
                <w:szCs w:val="21"/>
              </w:rPr>
              <w:t>请填入贵单位响应的内容。</w:t>
            </w:r>
          </w:p>
        </w:tc>
        <w:tc>
          <w:tcPr>
            <w:tcW w:w="876" w:type="dxa"/>
            <w:vAlign w:val="center"/>
          </w:tcPr>
          <w:p w14:paraId="6E15C104">
            <w:pPr>
              <w:rPr>
                <w:rFonts w:ascii="宋体" w:hAnsi="宋体"/>
                <w:color w:val="auto"/>
                <w:sz w:val="16"/>
                <w:szCs w:val="16"/>
              </w:rPr>
            </w:pPr>
            <w:r>
              <w:rPr>
                <w:rFonts w:hint="eastAsia" w:ascii="Times New Roman" w:hAnsi="Times New Roman" w:eastAsia="宋体" w:cs="Times New Roman"/>
                <w:color w:val="auto"/>
                <w:kern w:val="2"/>
                <w:sz w:val="21"/>
                <w:szCs w:val="24"/>
                <w:highlight w:val="none"/>
                <w:lang w:val="zh-TW" w:eastAsia="zh-TW" w:bidi="ar-SA"/>
              </w:rPr>
              <w:t>正偏离（负偏离或无偏离）</w:t>
            </w:r>
          </w:p>
        </w:tc>
      </w:tr>
    </w:tbl>
    <w:p w14:paraId="57E62672">
      <w:pPr>
        <w:pStyle w:val="6"/>
        <w:rPr>
          <w:rFonts w:hAnsi="宋体"/>
          <w:color w:val="auto"/>
          <w:sz w:val="16"/>
          <w:szCs w:val="16"/>
        </w:rPr>
      </w:pPr>
    </w:p>
    <w:p w14:paraId="7604BA80">
      <w:pPr>
        <w:pStyle w:val="6"/>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6"/>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EF00FCA">
      <w:pPr>
        <w:pStyle w:val="6"/>
        <w:spacing w:line="400" w:lineRule="exact"/>
        <w:rPr>
          <w:rFonts w:hint="default" w:hAnsi="宋体" w:eastAsia="宋体"/>
          <w:color w:val="auto"/>
          <w:sz w:val="18"/>
          <w:szCs w:val="18"/>
          <w:u w:val="single"/>
          <w:lang w:val="en-US" w:eastAsia="zh-CN"/>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3AC83338">
      <w:pPr>
        <w:pStyle w:val="3"/>
        <w:numPr>
          <w:ilvl w:val="3"/>
          <w:numId w:val="0"/>
        </w:numPr>
        <w:ind w:left="1077"/>
        <w:rPr>
          <w:color w:val="auto"/>
          <w:sz w:val="18"/>
          <w:szCs w:val="18"/>
        </w:rPr>
      </w:pPr>
    </w:p>
    <w:p w14:paraId="63CC2721">
      <w:pPr>
        <w:pStyle w:val="6"/>
        <w:spacing w:line="400" w:lineRule="exact"/>
        <w:rPr>
          <w:rFonts w:hint="default" w:eastAsia="宋体"/>
          <w:color w:val="auto"/>
          <w:u w:val="single"/>
          <w:lang w:val="en-US" w:eastAsia="zh-CN"/>
        </w:rPr>
      </w:pPr>
      <w:bookmarkStart w:id="0" w:name="_Toc521096352"/>
      <w:bookmarkStart w:id="1" w:name="_Toc460253713"/>
      <w:r>
        <w:rPr>
          <w:rFonts w:hint="eastAsia" w:hAnsi="宋体"/>
          <w:color w:val="auto"/>
          <w:sz w:val="18"/>
          <w:szCs w:val="18"/>
        </w:rPr>
        <w:t>法定代表人或其委托代理人（签字或盖章）：</w:t>
      </w:r>
      <w:bookmarkEnd w:id="0"/>
      <w:bookmarkEnd w:id="1"/>
      <w:r>
        <w:rPr>
          <w:rFonts w:hint="eastAsia" w:hAnsi="宋体"/>
          <w:color w:val="auto"/>
          <w:sz w:val="18"/>
          <w:szCs w:val="18"/>
          <w:u w:val="single"/>
          <w:lang w:val="en-US" w:eastAsia="zh-CN"/>
        </w:rPr>
        <w:t xml:space="preserve">                         </w:t>
      </w:r>
    </w:p>
    <w:p w14:paraId="1E930D5A">
      <w:pPr>
        <w:rPr>
          <w:rFonts w:hint="eastAsia" w:ascii="仿宋" w:hAnsi="仿宋" w:eastAsia="仿宋"/>
          <w:color w:val="auto"/>
          <w:sz w:val="30"/>
          <w:szCs w:val="30"/>
        </w:rPr>
      </w:pPr>
    </w:p>
    <w:p w14:paraId="3C86953E">
      <w:pPr>
        <w:rPr>
          <w:rFonts w:hint="eastAsia" w:ascii="仿宋" w:hAnsi="仿宋" w:eastAsia="仿宋"/>
          <w:color w:val="auto"/>
          <w:sz w:val="30"/>
          <w:szCs w:val="30"/>
        </w:rPr>
      </w:pPr>
    </w:p>
    <w:p w14:paraId="0E93062A">
      <w:pPr>
        <w:rPr>
          <w:rFonts w:hint="eastAsia" w:ascii="仿宋" w:hAnsi="仿宋" w:eastAsia="仿宋"/>
          <w:color w:val="auto"/>
          <w:sz w:val="30"/>
          <w:szCs w:val="30"/>
        </w:rPr>
      </w:pPr>
    </w:p>
    <w:p w14:paraId="6F99DF16">
      <w:pPr>
        <w:pStyle w:val="2"/>
        <w:rPr>
          <w:rFonts w:hint="eastAsia"/>
        </w:rPr>
      </w:pPr>
    </w:p>
    <w:p w14:paraId="299059AB">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4605C699">
      <w:pPr>
        <w:spacing w:line="400" w:lineRule="exact"/>
        <w:jc w:val="center"/>
        <w:rPr>
          <w:rFonts w:hint="eastAsia" w:ascii="宋体" w:hAnsi="宋体"/>
          <w:b/>
          <w:color w:val="auto"/>
          <w:sz w:val="36"/>
          <w:szCs w:val="36"/>
        </w:rPr>
      </w:pPr>
    </w:p>
    <w:p w14:paraId="003F1E03">
      <w:pPr>
        <w:pStyle w:val="6"/>
        <w:ind w:firstLine="420" w:firstLineChars="200"/>
        <w:rPr>
          <w:rFonts w:hAnsi="宋体" w:cs="宋体"/>
          <w:color w:val="auto"/>
        </w:rPr>
      </w:pPr>
    </w:p>
    <w:p w14:paraId="60DA9548">
      <w:pPr>
        <w:pStyle w:val="6"/>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tbl>
      <w:tblPr>
        <w:tblStyle w:val="14"/>
        <w:tblW w:w="8930"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494"/>
        <w:gridCol w:w="3225"/>
        <w:gridCol w:w="1571"/>
      </w:tblGrid>
      <w:tr w14:paraId="298A81D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675" w:hRule="atLeast"/>
          <w:jc w:val="center"/>
        </w:trPr>
        <w:tc>
          <w:tcPr>
            <w:tcW w:w="640" w:type="dxa"/>
            <w:vAlign w:val="center"/>
          </w:tcPr>
          <w:p w14:paraId="1C2FB91F">
            <w:pPr>
              <w:adjustRightInd w:val="0"/>
              <w:snapToGrid w:val="0"/>
              <w:spacing w:line="400" w:lineRule="exact"/>
              <w:jc w:val="center"/>
              <w:outlineLvl w:val="0"/>
              <w:rPr>
                <w:rFonts w:ascii="宋体" w:hAnsi="宋体"/>
                <w:color w:val="auto"/>
                <w:szCs w:val="21"/>
              </w:rPr>
            </w:pPr>
            <w:bookmarkStart w:id="2" w:name="_Toc18211"/>
            <w:bookmarkStart w:id="3" w:name="_Toc529"/>
            <w:r>
              <w:rPr>
                <w:rFonts w:hint="eastAsia" w:ascii="宋体" w:hAnsi="宋体"/>
                <w:color w:val="auto"/>
                <w:szCs w:val="21"/>
              </w:rPr>
              <w:t>序号</w:t>
            </w:r>
            <w:bookmarkEnd w:id="2"/>
            <w:bookmarkEnd w:id="3"/>
          </w:p>
        </w:tc>
        <w:tc>
          <w:tcPr>
            <w:tcW w:w="3494" w:type="dxa"/>
            <w:vAlign w:val="center"/>
          </w:tcPr>
          <w:p w14:paraId="756067CB">
            <w:pPr>
              <w:adjustRightInd w:val="0"/>
              <w:snapToGrid w:val="0"/>
              <w:spacing w:line="400" w:lineRule="exact"/>
              <w:jc w:val="center"/>
              <w:outlineLvl w:val="0"/>
              <w:rPr>
                <w:rFonts w:ascii="宋体" w:hAnsi="宋体"/>
                <w:color w:val="auto"/>
                <w:szCs w:val="21"/>
              </w:rPr>
            </w:pPr>
            <w:bookmarkStart w:id="4" w:name="_Toc11223"/>
            <w:bookmarkStart w:id="5" w:name="_Toc113"/>
            <w:r>
              <w:rPr>
                <w:rFonts w:hint="eastAsia" w:ascii="宋体" w:hAnsi="宋体"/>
                <w:color w:val="auto"/>
                <w:szCs w:val="21"/>
              </w:rPr>
              <w:t>采购文件的商务</w:t>
            </w:r>
            <w:bookmarkEnd w:id="4"/>
            <w:bookmarkEnd w:id="5"/>
            <w:r>
              <w:rPr>
                <w:rFonts w:hint="eastAsia" w:ascii="宋体" w:hAnsi="宋体"/>
                <w:color w:val="auto"/>
                <w:szCs w:val="21"/>
              </w:rPr>
              <w:t>条款</w:t>
            </w:r>
          </w:p>
        </w:tc>
        <w:tc>
          <w:tcPr>
            <w:tcW w:w="3225" w:type="dxa"/>
            <w:vAlign w:val="center"/>
          </w:tcPr>
          <w:p w14:paraId="398FE821">
            <w:pPr>
              <w:adjustRightInd w:val="0"/>
              <w:snapToGrid w:val="0"/>
              <w:spacing w:line="400" w:lineRule="exact"/>
              <w:jc w:val="center"/>
              <w:outlineLvl w:val="0"/>
              <w:rPr>
                <w:rFonts w:ascii="宋体" w:hAnsi="宋体"/>
                <w:color w:val="auto"/>
                <w:szCs w:val="21"/>
              </w:rPr>
            </w:pPr>
            <w:bookmarkStart w:id="6" w:name="_Toc3147"/>
            <w:bookmarkStart w:id="7" w:name="_Toc22733"/>
            <w:r>
              <w:rPr>
                <w:rFonts w:hint="eastAsia" w:ascii="宋体" w:hAnsi="宋体"/>
                <w:color w:val="auto"/>
                <w:szCs w:val="21"/>
              </w:rPr>
              <w:t>响应文件具体响应</w:t>
            </w:r>
            <w:bookmarkEnd w:id="6"/>
            <w:bookmarkEnd w:id="7"/>
          </w:p>
        </w:tc>
        <w:tc>
          <w:tcPr>
            <w:tcW w:w="1571" w:type="dxa"/>
            <w:vAlign w:val="center"/>
          </w:tcPr>
          <w:p w14:paraId="56DC3AD1">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偏离说明</w:t>
            </w:r>
          </w:p>
        </w:tc>
      </w:tr>
      <w:tr w14:paraId="58CC707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30" w:hRule="atLeast"/>
          <w:jc w:val="center"/>
        </w:trPr>
        <w:tc>
          <w:tcPr>
            <w:tcW w:w="640" w:type="dxa"/>
            <w:vAlign w:val="center"/>
          </w:tcPr>
          <w:p w14:paraId="5D819F6A">
            <w:pPr>
              <w:adjustRightInd w:val="0"/>
              <w:snapToGrid w:val="0"/>
              <w:spacing w:line="400" w:lineRule="exact"/>
              <w:jc w:val="center"/>
              <w:outlineLvl w:val="0"/>
              <w:rPr>
                <w:rFonts w:ascii="宋体" w:hAnsi="宋体"/>
                <w:color w:val="auto"/>
                <w:szCs w:val="21"/>
              </w:rPr>
            </w:pPr>
            <w:bookmarkStart w:id="8" w:name="_Toc16246"/>
            <w:bookmarkStart w:id="9" w:name="_Toc20348"/>
            <w:r>
              <w:rPr>
                <w:rFonts w:hint="eastAsia" w:ascii="宋体" w:hAnsi="宋体"/>
                <w:color w:val="auto"/>
                <w:szCs w:val="21"/>
              </w:rPr>
              <w:t>1</w:t>
            </w:r>
            <w:bookmarkEnd w:id="8"/>
            <w:bookmarkEnd w:id="9"/>
          </w:p>
        </w:tc>
        <w:tc>
          <w:tcPr>
            <w:tcW w:w="3494" w:type="dxa"/>
            <w:vAlign w:val="center"/>
          </w:tcPr>
          <w:p w14:paraId="30221104">
            <w:pPr>
              <w:pStyle w:val="2"/>
              <w:rPr>
                <w:rFonts w:ascii="仿宋" w:hAnsi="仿宋" w:eastAsia="仿宋"/>
                <w:color w:val="auto"/>
                <w:sz w:val="20"/>
                <w:szCs w:val="20"/>
              </w:rPr>
            </w:pPr>
            <w:r>
              <w:rPr>
                <w:rFonts w:hint="eastAsia" w:ascii="宋体" w:hAnsi="宋体" w:eastAsia="宋体"/>
                <w:b/>
                <w:bCs/>
                <w:sz w:val="21"/>
                <w:szCs w:val="21"/>
              </w:rPr>
              <w:t>一、合同签订期：</w:t>
            </w:r>
            <w:r>
              <w:rPr>
                <w:rFonts w:hint="eastAsia" w:ascii="宋体" w:hAnsi="宋体" w:eastAsia="宋体"/>
                <w:sz w:val="21"/>
                <w:szCs w:val="21"/>
              </w:rPr>
              <w:t>自中标通知书发出之日起</w:t>
            </w:r>
            <w:r>
              <w:rPr>
                <w:rFonts w:hint="eastAsia" w:ascii="宋体" w:hAnsi="宋体" w:eastAsia="宋体"/>
                <w:sz w:val="21"/>
                <w:szCs w:val="21"/>
                <w:u w:val="single"/>
              </w:rPr>
              <w:t> 7 </w:t>
            </w:r>
            <w:r>
              <w:rPr>
                <w:rFonts w:hint="eastAsia" w:ascii="宋体" w:hAnsi="宋体" w:eastAsia="宋体"/>
                <w:sz w:val="21"/>
                <w:szCs w:val="21"/>
              </w:rPr>
              <w:t>个工作日内。</w:t>
            </w:r>
          </w:p>
        </w:tc>
        <w:tc>
          <w:tcPr>
            <w:tcW w:w="3225" w:type="dxa"/>
            <w:vAlign w:val="center"/>
          </w:tcPr>
          <w:p w14:paraId="663264D0">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5B8BB3CB">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71504AD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060" w:hRule="atLeast"/>
          <w:jc w:val="center"/>
        </w:trPr>
        <w:tc>
          <w:tcPr>
            <w:tcW w:w="640" w:type="dxa"/>
            <w:vAlign w:val="center"/>
          </w:tcPr>
          <w:p w14:paraId="2D3127A6">
            <w:pPr>
              <w:adjustRightInd w:val="0"/>
              <w:snapToGrid w:val="0"/>
              <w:spacing w:line="400" w:lineRule="exact"/>
              <w:jc w:val="center"/>
              <w:outlineLvl w:val="0"/>
              <w:rPr>
                <w:rFonts w:ascii="宋体" w:hAnsi="宋体"/>
                <w:color w:val="auto"/>
                <w:szCs w:val="21"/>
              </w:rPr>
            </w:pPr>
            <w:bookmarkStart w:id="10" w:name="_Toc14139"/>
            <w:bookmarkStart w:id="11" w:name="_Toc29108"/>
            <w:r>
              <w:rPr>
                <w:rFonts w:hint="eastAsia" w:ascii="宋体" w:hAnsi="宋体"/>
                <w:color w:val="auto"/>
                <w:szCs w:val="21"/>
              </w:rPr>
              <w:t>2</w:t>
            </w:r>
            <w:bookmarkEnd w:id="10"/>
            <w:bookmarkEnd w:id="11"/>
          </w:p>
        </w:tc>
        <w:tc>
          <w:tcPr>
            <w:tcW w:w="3494" w:type="dxa"/>
            <w:vAlign w:val="center"/>
          </w:tcPr>
          <w:p w14:paraId="6B2A77AC">
            <w:pPr>
              <w:pStyle w:val="2"/>
              <w:rPr>
                <w:rFonts w:hint="eastAsia" w:ascii="宋体" w:hAnsi="宋体" w:eastAsia="宋体"/>
                <w:b/>
                <w:bCs/>
                <w:sz w:val="21"/>
                <w:szCs w:val="21"/>
              </w:rPr>
            </w:pPr>
            <w:r>
              <w:rPr>
                <w:rFonts w:hint="eastAsia" w:ascii="宋体" w:hAnsi="宋体" w:eastAsia="宋体"/>
                <w:b/>
                <w:bCs/>
                <w:sz w:val="21"/>
                <w:szCs w:val="21"/>
              </w:rPr>
              <w:t>二、服务期：</w:t>
            </w:r>
          </w:p>
          <w:p w14:paraId="014C66CB">
            <w:pPr>
              <w:pStyle w:val="2"/>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.自合同签订之日起 3 日内提供服务，服务期限 1年。</w:t>
            </w:r>
          </w:p>
          <w:p w14:paraId="0E987535">
            <w:pPr>
              <w:pStyle w:val="2"/>
              <w:rPr>
                <w:rFonts w:ascii="仿宋" w:hAnsi="仿宋" w:eastAsia="仿宋" w:cs="宋体"/>
                <w:color w:val="auto"/>
                <w:sz w:val="20"/>
                <w:szCs w:val="20"/>
              </w:rPr>
            </w:pPr>
            <w:r>
              <w:rPr>
                <w:rFonts w:hint="eastAsia" w:ascii="宋体" w:hAnsi="宋体" w:eastAsia="宋体" w:cs="宋体"/>
                <w:sz w:val="21"/>
                <w:szCs w:val="21"/>
              </w:rPr>
              <w:t>2.合同延续年限、条件和方式:本项目合同履约期到期后，采购人依据本项目的服务履约评</w:t>
            </w:r>
            <w:r>
              <w:rPr>
                <w:rFonts w:hint="eastAsia" w:ascii="宋体" w:hAnsi="宋体" w:eastAsia="宋体"/>
                <w:sz w:val="21"/>
                <w:szCs w:val="21"/>
              </w:rPr>
              <w:t>价情况及实际需求，在年度预算保障的前提下，且采购内容(采购需求)相对固定、连续(延续)性强、经费来源稳定、价格变化幅度小的情况下，可以通过一年签的方式延续合同，最终总期限不得超过三年。</w:t>
            </w:r>
          </w:p>
        </w:tc>
        <w:tc>
          <w:tcPr>
            <w:tcW w:w="3225" w:type="dxa"/>
            <w:vAlign w:val="center"/>
          </w:tcPr>
          <w:p w14:paraId="7984F21B">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2097CEB8">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4FC7927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86" w:hRule="atLeast"/>
          <w:jc w:val="center"/>
        </w:trPr>
        <w:tc>
          <w:tcPr>
            <w:tcW w:w="640" w:type="dxa"/>
            <w:vAlign w:val="center"/>
          </w:tcPr>
          <w:p w14:paraId="600B76D3">
            <w:pPr>
              <w:adjustRightInd w:val="0"/>
              <w:snapToGrid w:val="0"/>
              <w:spacing w:line="400" w:lineRule="exact"/>
              <w:jc w:val="center"/>
              <w:outlineLvl w:val="0"/>
              <w:rPr>
                <w:rFonts w:ascii="宋体" w:hAnsi="宋体"/>
                <w:color w:val="auto"/>
                <w:szCs w:val="21"/>
              </w:rPr>
            </w:pPr>
            <w:bookmarkStart w:id="12" w:name="_Toc5989"/>
            <w:bookmarkStart w:id="13" w:name="_Toc25531"/>
            <w:r>
              <w:rPr>
                <w:rFonts w:hint="eastAsia" w:ascii="宋体" w:hAnsi="宋体"/>
                <w:color w:val="auto"/>
                <w:szCs w:val="21"/>
              </w:rPr>
              <w:t>3</w:t>
            </w:r>
            <w:bookmarkEnd w:id="12"/>
            <w:bookmarkEnd w:id="13"/>
          </w:p>
        </w:tc>
        <w:tc>
          <w:tcPr>
            <w:tcW w:w="3494" w:type="dxa"/>
            <w:vAlign w:val="center"/>
          </w:tcPr>
          <w:p w14:paraId="379693AB">
            <w:pPr>
              <w:pStyle w:val="2"/>
              <w:rPr>
                <w:rFonts w:ascii="仿宋" w:hAnsi="仿宋" w:eastAsia="仿宋"/>
                <w:color w:val="auto"/>
                <w:sz w:val="20"/>
                <w:szCs w:val="20"/>
              </w:rPr>
            </w:pPr>
            <w:r>
              <w:rPr>
                <w:rFonts w:hint="eastAsia" w:ascii="宋体" w:hAnsi="宋体" w:eastAsia="宋体"/>
                <w:b/>
                <w:bCs/>
                <w:sz w:val="21"/>
                <w:szCs w:val="21"/>
              </w:rPr>
              <w:t>三、服务地点：</w:t>
            </w:r>
            <w:r>
              <w:rPr>
                <w:rFonts w:hint="eastAsia" w:ascii="宋体" w:hAnsi="宋体" w:eastAsia="宋体"/>
                <w:sz w:val="21"/>
                <w:szCs w:val="21"/>
              </w:rPr>
              <w:t>由采购人指定地点。</w:t>
            </w:r>
          </w:p>
        </w:tc>
        <w:tc>
          <w:tcPr>
            <w:tcW w:w="3225" w:type="dxa"/>
            <w:vAlign w:val="center"/>
          </w:tcPr>
          <w:p w14:paraId="6263957A">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4E9D0D0F">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4AAE9B5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20" w:hRule="atLeast"/>
          <w:jc w:val="center"/>
        </w:trPr>
        <w:tc>
          <w:tcPr>
            <w:tcW w:w="640" w:type="dxa"/>
            <w:vAlign w:val="center"/>
          </w:tcPr>
          <w:p w14:paraId="67DD286B">
            <w:pPr>
              <w:adjustRightInd w:val="0"/>
              <w:snapToGrid w:val="0"/>
              <w:spacing w:line="400" w:lineRule="exact"/>
              <w:jc w:val="center"/>
              <w:outlineLvl w:val="0"/>
              <w:rPr>
                <w:rFonts w:ascii="宋体" w:hAnsi="宋体"/>
                <w:color w:val="auto"/>
                <w:szCs w:val="21"/>
              </w:rPr>
            </w:pPr>
            <w:bookmarkStart w:id="14" w:name="_Toc29620"/>
            <w:bookmarkStart w:id="15" w:name="_Toc24579"/>
            <w:r>
              <w:rPr>
                <w:rFonts w:hint="eastAsia" w:ascii="宋体" w:hAnsi="宋体"/>
                <w:color w:val="auto"/>
                <w:szCs w:val="21"/>
              </w:rPr>
              <w:t>4</w:t>
            </w:r>
            <w:bookmarkEnd w:id="14"/>
            <w:bookmarkEnd w:id="15"/>
          </w:p>
        </w:tc>
        <w:tc>
          <w:tcPr>
            <w:tcW w:w="3494" w:type="dxa"/>
            <w:vAlign w:val="center"/>
          </w:tcPr>
          <w:p w14:paraId="7DF2A3F7">
            <w:pPr>
              <w:pStyle w:val="2"/>
              <w:rPr>
                <w:rFonts w:ascii="宋体" w:hAnsi="宋体" w:eastAsia="宋体"/>
                <w:b/>
                <w:bCs/>
                <w:sz w:val="21"/>
                <w:szCs w:val="21"/>
              </w:rPr>
            </w:pPr>
            <w:r>
              <w:rPr>
                <w:rFonts w:hint="eastAsia" w:ascii="宋体" w:hAnsi="宋体" w:eastAsia="宋体"/>
                <w:b/>
                <w:bCs/>
                <w:sz w:val="21"/>
                <w:szCs w:val="21"/>
              </w:rPr>
              <w:t>四、售后服务及要求：</w:t>
            </w:r>
          </w:p>
          <w:p w14:paraId="75A44BC8">
            <w:pPr>
              <w:pStyle w:val="2"/>
              <w:rPr>
                <w:rFonts w:ascii="宋体" w:hAnsi="宋体" w:eastAsia="宋体"/>
                <w:sz w:val="21"/>
                <w:szCs w:val="21"/>
              </w:rPr>
            </w:pPr>
            <w:r>
              <w:rPr>
                <w:rFonts w:hint="eastAsia" w:ascii="宋体" w:hAnsi="宋体" w:eastAsia="宋体"/>
                <w:sz w:val="21"/>
                <w:szCs w:val="21"/>
              </w:rPr>
              <w:t>1、按国家有关产品“三包”规定执行“三包”。</w:t>
            </w:r>
          </w:p>
          <w:p w14:paraId="407B1734">
            <w:pPr>
              <w:pStyle w:val="2"/>
              <w:rPr>
                <w:rFonts w:ascii="宋体" w:hAnsi="宋体" w:eastAsia="宋体"/>
                <w:sz w:val="21"/>
                <w:szCs w:val="21"/>
              </w:rPr>
            </w:pPr>
            <w:r>
              <w:rPr>
                <w:rFonts w:hint="eastAsia" w:ascii="宋体" w:hAnsi="宋体" w:eastAsia="宋体"/>
                <w:sz w:val="21"/>
                <w:szCs w:val="21"/>
              </w:rPr>
              <w:t>2、出现故障2小时内做出响应，4小时到达维修现场。一般问题应在24小时内解决。</w:t>
            </w:r>
          </w:p>
          <w:p w14:paraId="148DF853">
            <w:pPr>
              <w:pStyle w:val="2"/>
              <w:rPr>
                <w:rFonts w:ascii="宋体" w:hAnsi="宋体" w:eastAsia="宋体"/>
                <w:sz w:val="21"/>
                <w:szCs w:val="21"/>
              </w:rPr>
            </w:pPr>
            <w:r>
              <w:rPr>
                <w:rFonts w:hint="eastAsia" w:ascii="宋体" w:hAnsi="宋体" w:eastAsia="宋体"/>
                <w:sz w:val="21"/>
                <w:szCs w:val="21"/>
              </w:rPr>
              <w:t>3、定期回访以及对线路进行维护。</w:t>
            </w:r>
          </w:p>
          <w:p w14:paraId="48FB4057">
            <w:pPr>
              <w:pStyle w:val="2"/>
              <w:rPr>
                <w:rFonts w:ascii="仿宋" w:hAnsi="仿宋" w:eastAsia="仿宋"/>
                <w:b/>
                <w:bCs w:val="0"/>
                <w:color w:val="auto"/>
                <w:sz w:val="20"/>
                <w:szCs w:val="20"/>
              </w:rPr>
            </w:pPr>
            <w:r>
              <w:rPr>
                <w:rFonts w:hint="eastAsia" w:ascii="宋体" w:hAnsi="宋体" w:eastAsia="宋体"/>
                <w:sz w:val="21"/>
                <w:szCs w:val="21"/>
              </w:rPr>
              <w:t>4、验收方法：接入移动物联卡的设备能够进入物联专线，能顺利与血站服务器之间进行有效的数据传输。</w:t>
            </w:r>
          </w:p>
        </w:tc>
        <w:tc>
          <w:tcPr>
            <w:tcW w:w="3225" w:type="dxa"/>
            <w:vAlign w:val="center"/>
          </w:tcPr>
          <w:p w14:paraId="16E49A0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6D6F79E3">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7AD053F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2324" w:hRule="atLeast"/>
          <w:jc w:val="center"/>
        </w:trPr>
        <w:tc>
          <w:tcPr>
            <w:tcW w:w="640" w:type="dxa"/>
            <w:vAlign w:val="center"/>
          </w:tcPr>
          <w:p w14:paraId="4D549480">
            <w:pPr>
              <w:adjustRightInd w:val="0"/>
              <w:snapToGrid w:val="0"/>
              <w:spacing w:line="400" w:lineRule="exact"/>
              <w:jc w:val="center"/>
              <w:outlineLvl w:val="0"/>
              <w:rPr>
                <w:rFonts w:ascii="宋体" w:hAnsi="宋体"/>
                <w:color w:val="auto"/>
                <w:szCs w:val="21"/>
              </w:rPr>
            </w:pPr>
            <w:bookmarkStart w:id="16" w:name="_Toc24401"/>
            <w:bookmarkStart w:id="17" w:name="_Toc28228"/>
            <w:r>
              <w:rPr>
                <w:rFonts w:hint="eastAsia" w:ascii="宋体" w:hAnsi="宋体"/>
                <w:color w:val="auto"/>
                <w:szCs w:val="21"/>
              </w:rPr>
              <w:t>5</w:t>
            </w:r>
            <w:bookmarkEnd w:id="16"/>
            <w:bookmarkEnd w:id="17"/>
          </w:p>
        </w:tc>
        <w:tc>
          <w:tcPr>
            <w:tcW w:w="3494" w:type="dxa"/>
            <w:vAlign w:val="center"/>
          </w:tcPr>
          <w:p w14:paraId="7C680C4B">
            <w:pPr>
              <w:pStyle w:val="2"/>
              <w:rPr>
                <w:rFonts w:ascii="宋体" w:hAnsi="宋体" w:eastAsia="宋体"/>
                <w:b/>
                <w:bCs/>
                <w:sz w:val="21"/>
                <w:szCs w:val="21"/>
              </w:rPr>
            </w:pPr>
            <w:r>
              <w:rPr>
                <w:rFonts w:hint="eastAsia" w:ascii="宋体" w:hAnsi="宋体" w:eastAsia="宋体"/>
                <w:b/>
                <w:bCs/>
                <w:sz w:val="21"/>
                <w:szCs w:val="21"/>
              </w:rPr>
              <w:t>五、其他要求：</w:t>
            </w:r>
          </w:p>
          <w:p w14:paraId="5778D749">
            <w:pPr>
              <w:pStyle w:val="2"/>
              <w:rPr>
                <w:rFonts w:ascii="宋体" w:hAnsi="宋体" w:eastAsia="宋体"/>
                <w:sz w:val="21"/>
                <w:szCs w:val="21"/>
              </w:rPr>
            </w:pPr>
            <w:r>
              <w:rPr>
                <w:rFonts w:hint="eastAsia" w:ascii="宋体" w:hAnsi="宋体" w:eastAsia="宋体"/>
                <w:sz w:val="21"/>
                <w:szCs w:val="21"/>
              </w:rPr>
              <w:t>1、报价为采购人指定地点的现场交付价格，包括：</w:t>
            </w:r>
          </w:p>
          <w:p w14:paraId="26B653A8">
            <w:pPr>
              <w:pStyle w:val="2"/>
              <w:rPr>
                <w:rFonts w:ascii="宋体" w:hAnsi="宋体" w:eastAsia="宋体"/>
                <w:sz w:val="21"/>
                <w:szCs w:val="21"/>
              </w:rPr>
            </w:pPr>
            <w:r>
              <w:rPr>
                <w:rFonts w:hint="eastAsia" w:ascii="宋体" w:hAnsi="宋体" w:eastAsia="宋体"/>
                <w:sz w:val="21"/>
                <w:szCs w:val="21"/>
              </w:rPr>
              <w:t>（1）服务的价格；</w:t>
            </w:r>
          </w:p>
          <w:p w14:paraId="0CE2D846">
            <w:pPr>
              <w:pStyle w:val="2"/>
              <w:rPr>
                <w:rFonts w:ascii="宋体" w:hAnsi="宋体" w:eastAsia="宋体"/>
                <w:sz w:val="21"/>
                <w:szCs w:val="21"/>
              </w:rPr>
            </w:pPr>
            <w:r>
              <w:rPr>
                <w:rFonts w:hint="eastAsia" w:ascii="宋体" w:hAnsi="宋体" w:eastAsia="宋体"/>
                <w:sz w:val="21"/>
                <w:szCs w:val="21"/>
              </w:rPr>
              <w:t>（2）必要的保险费用和各项税费；</w:t>
            </w:r>
          </w:p>
          <w:p w14:paraId="6B9176B4">
            <w:pPr>
              <w:pStyle w:val="2"/>
              <w:rPr>
                <w:rFonts w:ascii="宋体" w:hAnsi="宋体" w:eastAsia="宋体"/>
                <w:sz w:val="21"/>
                <w:szCs w:val="21"/>
              </w:rPr>
            </w:pPr>
            <w:r>
              <w:rPr>
                <w:rFonts w:hint="eastAsia" w:ascii="宋体" w:hAnsi="宋体" w:eastAsia="宋体"/>
                <w:sz w:val="21"/>
                <w:szCs w:val="21"/>
              </w:rPr>
              <w:t>（3）服务咨询等费用。</w:t>
            </w:r>
          </w:p>
          <w:p w14:paraId="6A0D61FD">
            <w:pPr>
              <w:spacing w:line="276" w:lineRule="auto"/>
              <w:rPr>
                <w:rFonts w:ascii="仿宋" w:hAnsi="仿宋" w:eastAsia="仿宋"/>
                <w:bCs/>
                <w:color w:val="auto"/>
                <w:sz w:val="20"/>
                <w:szCs w:val="20"/>
              </w:rPr>
            </w:pPr>
            <w:r>
              <w:rPr>
                <w:rFonts w:hint="eastAsia" w:ascii="宋体" w:hAnsi="宋体" w:eastAsia="宋体"/>
                <w:sz w:val="21"/>
                <w:szCs w:val="21"/>
              </w:rPr>
              <w:t>2、付款方式：</w:t>
            </w:r>
            <w:r>
              <w:rPr>
                <w:rFonts w:hint="eastAsia" w:ascii="宋体" w:hAnsi="宋体"/>
                <w:sz w:val="21"/>
                <w:szCs w:val="21"/>
                <w:lang w:val="en-US" w:eastAsia="zh-CN"/>
              </w:rPr>
              <w:t>本项目无预付款，验收合格(验收方法:接入移动物联卡的设备能够进入物联专线，能顺利与血站服务器之间进行有效的数据传输)后一次性支付合同款，转款后中标人需提供等额合规的增值税普通发票。</w:t>
            </w:r>
          </w:p>
        </w:tc>
        <w:tc>
          <w:tcPr>
            <w:tcW w:w="3225" w:type="dxa"/>
            <w:vAlign w:val="center"/>
          </w:tcPr>
          <w:p w14:paraId="6F8F5393">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0D64C908">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bl>
    <w:p w14:paraId="5D1D9BE4">
      <w:pPr>
        <w:pStyle w:val="6"/>
        <w:spacing w:line="400" w:lineRule="exact"/>
        <w:rPr>
          <w:rFonts w:hAnsi="宋体" w:cs="宋体"/>
          <w:color w:val="auto"/>
        </w:rPr>
      </w:pPr>
      <w:r>
        <w:rPr>
          <w:rFonts w:hAnsi="宋体" w:cs="宋体"/>
          <w:color w:val="auto"/>
        </w:rPr>
        <w:t>注：⑴表格内容均需按要求填写并盖章，不得留空，否则按无效</w:t>
      </w:r>
      <w:r>
        <w:rPr>
          <w:rFonts w:hint="eastAsia" w:hAnsi="宋体" w:cs="宋体"/>
          <w:color w:val="auto"/>
        </w:rPr>
        <w:t>响应</w:t>
      </w:r>
      <w:r>
        <w:rPr>
          <w:rFonts w:hAnsi="宋体" w:cs="宋体"/>
          <w:color w:val="auto"/>
        </w:rPr>
        <w:t>处理。</w:t>
      </w:r>
    </w:p>
    <w:p w14:paraId="6B0868D0">
      <w:pPr>
        <w:pStyle w:val="6"/>
        <w:spacing w:line="400" w:lineRule="exact"/>
        <w:ind w:left="689" w:leftChars="228" w:hanging="210" w:hangingChars="100"/>
        <w:rPr>
          <w:rFonts w:hAnsi="宋体" w:cs="宋体"/>
          <w:color w:val="auto"/>
        </w:rPr>
      </w:pPr>
      <w:r>
        <w:rPr>
          <w:rFonts w:hAnsi="宋体" w:cs="宋体"/>
          <w:color w:val="auto"/>
        </w:rPr>
        <w:t>⑵当</w:t>
      </w:r>
      <w:r>
        <w:rPr>
          <w:rFonts w:hint="eastAsia" w:hAnsi="宋体" w:cs="宋体"/>
          <w:color w:val="auto"/>
        </w:rPr>
        <w:t>响应</w:t>
      </w:r>
      <w:r>
        <w:rPr>
          <w:rFonts w:hAnsi="宋体" w:cs="宋体"/>
          <w:color w:val="auto"/>
        </w:rPr>
        <w:t>文件的内容低于</w:t>
      </w:r>
      <w:r>
        <w:rPr>
          <w:rFonts w:hint="eastAsia" w:hAnsi="宋体" w:cs="宋体"/>
          <w:color w:val="auto"/>
        </w:rPr>
        <w:t>附件1“采购需求一览表”中</w:t>
      </w:r>
      <w:r>
        <w:rPr>
          <w:rFonts w:hAnsi="宋体" w:cs="宋体"/>
          <w:color w:val="auto"/>
        </w:rPr>
        <w:t>商务条款的要求时，</w:t>
      </w:r>
      <w:r>
        <w:rPr>
          <w:rFonts w:hint="eastAsia" w:hAnsi="宋体" w:cs="宋体"/>
          <w:color w:val="auto"/>
        </w:rPr>
        <w:t>供应商</w:t>
      </w:r>
      <w:r>
        <w:rPr>
          <w:rFonts w:hAnsi="宋体" w:cs="宋体"/>
          <w:color w:val="auto"/>
        </w:rPr>
        <w:t>应当如实写明“负偏离”，否则视为虚假</w:t>
      </w:r>
      <w:r>
        <w:rPr>
          <w:rFonts w:hint="eastAsia" w:hAnsi="宋体" w:cs="宋体"/>
          <w:color w:val="auto"/>
        </w:rPr>
        <w:t>响应</w:t>
      </w:r>
      <w:r>
        <w:rPr>
          <w:rFonts w:hAnsi="宋体" w:cs="宋体"/>
          <w:color w:val="auto"/>
        </w:rPr>
        <w:t>。</w:t>
      </w:r>
    </w:p>
    <w:p w14:paraId="3EAA5A05">
      <w:pPr>
        <w:pStyle w:val="3"/>
        <w:numPr>
          <w:ilvl w:val="3"/>
          <w:numId w:val="0"/>
        </w:numPr>
      </w:pPr>
    </w:p>
    <w:p w14:paraId="7F80F59B">
      <w:pPr>
        <w:pStyle w:val="6"/>
        <w:spacing w:line="400" w:lineRule="exact"/>
        <w:rPr>
          <w:rFonts w:hAnsi="宋体" w:cs="宋体"/>
          <w:color w:val="auto"/>
        </w:rPr>
      </w:pPr>
      <w:r>
        <w:rPr>
          <w:rFonts w:hint="eastAsia" w:hAnsi="宋体" w:cs="宋体"/>
          <w:color w:val="auto"/>
        </w:rPr>
        <w:t>响应人（盖单位公章）：</w:t>
      </w:r>
    </w:p>
    <w:p w14:paraId="4379BA0A">
      <w:pPr>
        <w:pStyle w:val="6"/>
        <w:spacing w:line="400" w:lineRule="exact"/>
        <w:rPr>
          <w:rFonts w:hAnsi="宋体" w:cs="宋体"/>
          <w:color w:val="auto"/>
        </w:rPr>
      </w:pPr>
      <w:r>
        <w:rPr>
          <w:rFonts w:hint="eastAsia" w:hAnsi="宋体" w:cs="宋体"/>
          <w:color w:val="auto"/>
        </w:rPr>
        <w:t>法定代表人或其委托代理人（签字或盖章）：</w:t>
      </w:r>
    </w:p>
    <w:p w14:paraId="1C158152">
      <w:pPr>
        <w:pStyle w:val="6"/>
        <w:spacing w:line="560" w:lineRule="exact"/>
        <w:rPr>
          <w:rFonts w:hint="eastAsia" w:ascii="仿宋" w:hAnsi="仿宋" w:eastAsia="仿宋" w:cstheme="minorEastAsia"/>
          <w:color w:val="auto"/>
          <w:sz w:val="28"/>
          <w:szCs w:val="28"/>
        </w:rPr>
      </w:pPr>
    </w:p>
    <w:p w14:paraId="317C070C">
      <w:pPr>
        <w:pStyle w:val="6"/>
        <w:spacing w:line="560" w:lineRule="exact"/>
        <w:rPr>
          <w:rFonts w:hint="eastAsia" w:ascii="仿宋" w:hAnsi="仿宋" w:eastAsia="仿宋" w:cstheme="minorEastAsia"/>
          <w:color w:val="auto"/>
          <w:sz w:val="28"/>
          <w:szCs w:val="28"/>
        </w:rPr>
      </w:pPr>
    </w:p>
    <w:p w14:paraId="42526042">
      <w:pPr>
        <w:pStyle w:val="6"/>
        <w:spacing w:line="560" w:lineRule="exact"/>
        <w:rPr>
          <w:rFonts w:hint="eastAsia" w:ascii="仿宋" w:hAnsi="仿宋" w:eastAsia="仿宋" w:cstheme="minorEastAsia"/>
          <w:color w:val="auto"/>
          <w:sz w:val="28"/>
          <w:szCs w:val="28"/>
        </w:rPr>
      </w:pPr>
    </w:p>
    <w:p w14:paraId="20FFD608">
      <w:pPr>
        <w:pStyle w:val="6"/>
        <w:spacing w:line="560" w:lineRule="exact"/>
        <w:rPr>
          <w:rFonts w:hint="eastAsia" w:ascii="仿宋" w:hAnsi="仿宋" w:eastAsia="仿宋" w:cstheme="minorEastAsia"/>
          <w:color w:val="auto"/>
          <w:sz w:val="28"/>
          <w:szCs w:val="28"/>
        </w:rPr>
      </w:pPr>
    </w:p>
    <w:p w14:paraId="1D151D6B">
      <w:pPr>
        <w:pStyle w:val="6"/>
        <w:spacing w:line="560" w:lineRule="exact"/>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7              </w:t>
      </w:r>
    </w:p>
    <w:p w14:paraId="71B9303F">
      <w:pPr>
        <w:pStyle w:val="6"/>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en-US" w:eastAsia="zh-CN"/>
        </w:rPr>
        <w:t>南宁中心血站2025年物联专线服务</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5"/>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6"/>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1DCE1284">
      <w:pPr>
        <w:pStyle w:val="12"/>
        <w:ind w:left="0" w:leftChars="0" w:firstLine="0" w:firstLineChars="0"/>
        <w:jc w:val="left"/>
        <w:rPr>
          <w:rFonts w:hint="eastAsia" w:ascii="宋体" w:hAnsi="宋体" w:eastAsia="仿宋"/>
          <w:color w:val="auto"/>
          <w:kern w:val="44"/>
          <w:sz w:val="44"/>
          <w:szCs w:val="44"/>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8</w:t>
      </w:r>
    </w:p>
    <w:p w14:paraId="66FD8270">
      <w:pPr>
        <w:pStyle w:val="12"/>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1BA65998">
      <w:pPr>
        <w:pStyle w:val="6"/>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418E58E4">
      <w:pPr>
        <w:ind w:firstLine="1807" w:firstLineChars="500"/>
        <w:jc w:val="both"/>
        <w:rPr>
          <w:rFonts w:hint="default" w:ascii="宋体" w:hAnsi="宋体" w:eastAsia="宋体" w:cs="宋体"/>
          <w:sz w:val="44"/>
          <w:u w:val="single"/>
          <w:lang w:val="en-US" w:eastAsia="zh-CN"/>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13E23CA3">
      <w:pPr>
        <w:pStyle w:val="2"/>
        <w:rPr>
          <w:rFonts w:hAnsi="宋体" w:cs="宋体"/>
          <w:sz w:val="44"/>
        </w:rPr>
      </w:pP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12"/>
        <w:rPr>
          <w:rFonts w:hint="eastAsia" w:ascii="宋体" w:hAnsi="宋体" w:cs="宋体"/>
          <w:b/>
          <w:sz w:val="30"/>
          <w:szCs w:val="30"/>
        </w:rPr>
      </w:pPr>
    </w:p>
    <w:p w14:paraId="2B8C9D53">
      <w:pPr>
        <w:pStyle w:val="12"/>
        <w:rPr>
          <w:rFonts w:hint="eastAsia" w:ascii="宋体" w:hAnsi="宋体" w:cs="宋体"/>
          <w:b/>
          <w:sz w:val="30"/>
          <w:szCs w:val="30"/>
        </w:rPr>
      </w:pPr>
    </w:p>
    <w:p w14:paraId="20FF2457">
      <w:pPr>
        <w:spacing w:line="360" w:lineRule="auto"/>
        <w:jc w:val="both"/>
        <w:rPr>
          <w:rFonts w:hint="eastAsia" w:ascii="宋体" w:hAnsi="宋体" w:cs="宋体"/>
          <w:b/>
          <w:sz w:val="30"/>
          <w:szCs w:val="30"/>
        </w:rPr>
      </w:pPr>
    </w:p>
    <w:p w14:paraId="32F3D5A5">
      <w:pPr>
        <w:spacing w:line="360" w:lineRule="auto"/>
        <w:jc w:val="both"/>
        <w:rPr>
          <w:rFonts w:hint="eastAsia" w:ascii="宋体" w:hAnsi="宋体" w:cs="宋体"/>
          <w:b/>
          <w:sz w:val="30"/>
          <w:szCs w:val="30"/>
        </w:r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6"/>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2024</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4.3项目</w:t>
      </w:r>
      <w:r>
        <w:rPr>
          <w:rFonts w:hint="eastAsia" w:ascii="宋体" w:hAnsi="宋体" w:cs="Times New Roman"/>
          <w:color w:val="auto"/>
          <w:szCs w:val="20"/>
          <w:lang w:val="en-US" w:eastAsia="zh-CN"/>
        </w:rPr>
        <w:t>对接过程中</w:t>
      </w:r>
      <w:r>
        <w:rPr>
          <w:rFonts w:hint="eastAsia" w:ascii="宋体" w:hAnsi="宋体" w:eastAsia="宋体" w:cs="Times New Roman"/>
          <w:color w:val="auto"/>
          <w:szCs w:val="20"/>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6.4经甲方验收，乙方提供的服务成果不符合本合同约定的标准，乙方必须应无条件进行整改、修正，直至经甲方验收合格，两次验收不合格的，甲方有权解除合同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7.3甲方应将本合同款项支付至乙方以下指定账户：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在本合同第8.1项约定的质量保证期内，乙方应对服务出现的问题负责处理解决并承担一切费用，如果因服务质量导致甲方损失的，由乙方负责全额赔偿。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6"/>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6"/>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.4乙方应按本合同约定的质量标准完成实施方案，并经甲方验收合格，如验收不合格的，应无条件进行整改、修正，直至通过甲方验收，如因此造成逾期提交相关成果的，则按本合同第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合同生效及其它</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5817443E">
      <w:pPr>
        <w:pStyle w:val="6"/>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u w:val="single"/>
        </w:rPr>
        <w:t>伍</w:t>
      </w:r>
      <w:r>
        <w:rPr>
          <w:rFonts w:hint="eastAsia" w:hAnsi="宋体"/>
        </w:rPr>
        <w:t>份，具有同等法律效力，甲方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 xml:space="preserve">份，自甲乙双方法定代表或被授权代表人签字并加盖单位公章后正式生效。 </w:t>
      </w:r>
    </w:p>
    <w:p w14:paraId="2FE8FF88">
      <w:pPr>
        <w:pStyle w:val="9"/>
        <w:rPr>
          <w:rFonts w:hint="eastAsia" w:hAnsi="宋体"/>
        </w:rPr>
      </w:pPr>
    </w:p>
    <w:p w14:paraId="1B89841F">
      <w:pPr>
        <w:pStyle w:val="6"/>
        <w:spacing w:line="360" w:lineRule="auto"/>
        <w:ind w:firstLine="360"/>
        <w:rPr>
          <w:rFonts w:hAnsi="宋体" w:cs="宋体"/>
        </w:rPr>
      </w:pPr>
    </w:p>
    <w:p w14:paraId="79797D61">
      <w:pPr>
        <w:pStyle w:val="3"/>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3CBA1D83">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DDDAAD1">
      <w:pPr>
        <w:pStyle w:val="9"/>
        <w:rPr>
          <w:rFonts w:hint="eastAsia" w:ascii="宋体" w:hAnsi="宋体" w:cs="宋体"/>
          <w:color w:val="auto"/>
          <w:szCs w:val="20"/>
          <w:u w:val="single"/>
          <w:lang w:val="en-US" w:eastAsia="zh-CN"/>
        </w:rPr>
      </w:pPr>
    </w:p>
    <w:p w14:paraId="2C6CE44A">
      <w:pPr>
        <w:pStyle w:val="9"/>
        <w:rPr>
          <w:rFonts w:hint="eastAsia" w:ascii="宋体" w:hAnsi="宋体" w:cs="宋体"/>
          <w:color w:val="auto"/>
          <w:szCs w:val="20"/>
          <w:u w:val="single"/>
          <w:lang w:val="en-US" w:eastAsia="zh-CN"/>
        </w:rPr>
      </w:pPr>
    </w:p>
    <w:p w14:paraId="237EF53B">
      <w:pPr>
        <w:pStyle w:val="9"/>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470AA34D">
      <w:pPr>
        <w:spacing w:line="360" w:lineRule="auto"/>
        <w:rPr>
          <w:rFonts w:hint="eastAsia" w:ascii="宋体" w:hAnsi="宋体"/>
          <w:color w:val="auto"/>
          <w:kern w:val="44"/>
          <w:sz w:val="44"/>
          <w:szCs w:val="44"/>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sectPr>
      <w:footerReference r:id="rId3"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560D73C-D01C-4DFA-8309-E116351F034A}"/>
  </w:font>
  <w:font w:name="Courier New">
    <w:panose1 w:val="02070309020205020404"/>
    <w:charset w:val="01"/>
    <w:family w:val="modern"/>
    <w:pitch w:val="default"/>
    <w:sig w:usb0="E0002EFF" w:usb1="C0007843" w:usb2="00000009" w:usb3="00000000" w:csb0="400001FF" w:csb1="FFFF0000"/>
    <w:embedRegular r:id="rId2" w:fontKey="{63ABA4CC-2274-4F62-9064-5FEC0062A476}"/>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36BE5832-C3F4-4206-A641-90A06D97D618}"/>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1A7A6A1B-4C50-4446-AD95-0CC75994D17F}"/>
  </w:font>
  <w:font w:name="仿宋_GB2312">
    <w:panose1 w:val="02010609030101010101"/>
    <w:charset w:val="86"/>
    <w:family w:val="modern"/>
    <w:pitch w:val="default"/>
    <w:sig w:usb0="00000001" w:usb1="080E0000" w:usb2="00000000" w:usb3="00000000" w:csb0="00040000" w:csb1="00000000"/>
    <w:embedRegular r:id="rId5" w:fontKey="{A9C94F03-6AE2-4338-A43C-DB42E1474C2E}"/>
  </w:font>
  <w:font w:name="Lucida Sans Unicode">
    <w:panose1 w:val="020B0602030504020204"/>
    <w:charset w:val="00"/>
    <w:family w:val="swiss"/>
    <w:pitch w:val="default"/>
    <w:sig w:usb0="80001AFF" w:usb1="0000396B" w:usb2="00000000" w:usb3="00000000" w:csb0="200000BF" w:csb1="D7F70000"/>
    <w:embedRegular r:id="rId6" w:fontKey="{97E2CAA3-7FA4-4E24-930C-88A66D31E716}"/>
  </w:font>
  <w:font w:name="方正楷体_GB2312">
    <w:panose1 w:val="02000000000000000000"/>
    <w:charset w:val="86"/>
    <w:family w:val="auto"/>
    <w:pitch w:val="default"/>
    <w:sig w:usb0="A00002BF" w:usb1="184F6CFA" w:usb2="00000012" w:usb3="00000000" w:csb0="00040001" w:csb1="00000000"/>
    <w:embedRegular r:id="rId7" w:fontKey="{7691CFED-1655-4699-ABFE-EA0E32D8B504}"/>
  </w:font>
  <w:font w:name="仿宋">
    <w:panose1 w:val="02010609060101010101"/>
    <w:charset w:val="86"/>
    <w:family w:val="modern"/>
    <w:pitch w:val="default"/>
    <w:sig w:usb0="800002BF" w:usb1="38CF7CFA" w:usb2="00000016" w:usb3="00000000" w:csb0="00040001" w:csb1="00000000"/>
    <w:embedRegular r:id="rId8" w:fontKey="{516494E0-A072-4C1B-B915-1907453C2DDC}"/>
  </w:font>
  <w:font w:name="Wingdings 2">
    <w:panose1 w:val="05020102010507070707"/>
    <w:charset w:val="02"/>
    <w:family w:val="roman"/>
    <w:pitch w:val="default"/>
    <w:sig w:usb0="00000000" w:usb1="00000000" w:usb2="00000000" w:usb3="00000000" w:csb0="80000000" w:csb1="00000000"/>
    <w:embedRegular r:id="rId9" w:fontKey="{6CE67536-2E90-4A09-910B-BE78569F99EF}"/>
  </w:font>
  <w:font w:name="方正公文小标宋">
    <w:panose1 w:val="02000500000000000000"/>
    <w:charset w:val="86"/>
    <w:family w:val="auto"/>
    <w:pitch w:val="default"/>
    <w:sig w:usb0="A00002BF" w:usb1="38CF7CFA" w:usb2="00000016" w:usb3="00000000" w:csb0="00040001" w:csb1="00000000"/>
    <w:embedRegular r:id="rId10" w:fontKey="{2EEF1DF7-54C1-4B77-96A6-A0AF4EFEC3F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42BC5E2"/>
    <w:multiLevelType w:val="singleLevel"/>
    <w:tmpl w:val="B42BC5E2"/>
    <w:lvl w:ilvl="0" w:tentative="0">
      <w:start w:val="1"/>
      <w:numFmt w:val="decimal"/>
      <w:suff w:val="nothing"/>
      <w:lvlText w:val="%1．"/>
      <w:lvlJc w:val="left"/>
      <w:pPr>
        <w:ind w:left="20" w:firstLine="400"/>
      </w:pPr>
      <w:rPr>
        <w:rFonts w:hint="default"/>
        <w:color w:val="0C0C0C"/>
      </w:rPr>
    </w:lvl>
  </w:abstractNum>
  <w:abstractNum w:abstractNumId="1">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2">
    <w:nsid w:val="24E0DC2F"/>
    <w:multiLevelType w:val="singleLevel"/>
    <w:tmpl w:val="24E0DC2F"/>
    <w:lvl w:ilvl="0" w:tentative="0">
      <w:start w:val="1"/>
      <w:numFmt w:val="chineseCounting"/>
      <w:suff w:val="nothing"/>
      <w:lvlText w:val="%1、"/>
      <w:lvlJc w:val="left"/>
      <w:rPr>
        <w:rFonts w:hint="eastAsia"/>
      </w:rPr>
    </w:lvl>
  </w:abstractNum>
  <w:abstractNum w:abstractNumId="3">
    <w:nsid w:val="47E37507"/>
    <w:multiLevelType w:val="singleLevel"/>
    <w:tmpl w:val="47E37507"/>
    <w:lvl w:ilvl="0" w:tentative="0">
      <w:start w:val="1"/>
      <w:numFmt w:val="chineseCounting"/>
      <w:suff w:val="nothing"/>
      <w:lvlText w:val="%1、"/>
      <w:lvlJc w:val="left"/>
      <w:rPr>
        <w:rFonts w:hint="eastAsia"/>
      </w:rPr>
    </w:lvl>
  </w:abstractNum>
  <w:abstractNum w:abstractNumId="4">
    <w:nsid w:val="5CA60694"/>
    <w:multiLevelType w:val="singleLevel"/>
    <w:tmpl w:val="5CA60694"/>
    <w:lvl w:ilvl="0" w:tentative="0">
      <w:start w:val="1"/>
      <w:numFmt w:val="decimal"/>
      <w:suff w:val="nothing"/>
      <w:lvlText w:val="%1．"/>
      <w:lvlJc w:val="left"/>
      <w:pPr>
        <w:ind w:left="20" w:firstLine="400"/>
      </w:pPr>
      <w:rPr>
        <w:rFonts w:hint="default"/>
        <w:color w:val="0C0C0C"/>
      </w:rPr>
    </w:lvl>
  </w:abstractNum>
  <w:abstractNum w:abstractNumId="5">
    <w:nsid w:val="6117E795"/>
    <w:multiLevelType w:val="singleLevel"/>
    <w:tmpl w:val="6117E795"/>
    <w:lvl w:ilvl="0" w:tentative="0">
      <w:start w:val="9"/>
      <w:numFmt w:val="decimal"/>
      <w:suff w:val="space"/>
      <w:lvlText w:val="%1."/>
      <w:lvlJc w:val="left"/>
    </w:lvl>
  </w:abstractNum>
  <w:num w:numId="1">
    <w:abstractNumId w:val="1"/>
  </w:num>
  <w:num w:numId="2">
    <w:abstractNumId w:val="3"/>
  </w:num>
  <w:num w:numId="3">
    <w:abstractNumId w:val="4"/>
  </w:num>
  <w:num w:numId="4">
    <w:abstractNumId w:val="0"/>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91B53"/>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ABD"/>
    <w:rsid w:val="0055765F"/>
    <w:rsid w:val="00562656"/>
    <w:rsid w:val="00565ACF"/>
    <w:rsid w:val="0057536C"/>
    <w:rsid w:val="005813E5"/>
    <w:rsid w:val="005A343E"/>
    <w:rsid w:val="005B6067"/>
    <w:rsid w:val="005C034B"/>
    <w:rsid w:val="005C076E"/>
    <w:rsid w:val="005C12E9"/>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C4F7D"/>
    <w:rsid w:val="00DD6004"/>
    <w:rsid w:val="00DD61BF"/>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6B2B"/>
    <w:rsid w:val="00F248D4"/>
    <w:rsid w:val="00F64EB8"/>
    <w:rsid w:val="00F71E79"/>
    <w:rsid w:val="00F91F14"/>
    <w:rsid w:val="00F921FB"/>
    <w:rsid w:val="00F96A21"/>
    <w:rsid w:val="00FA2E18"/>
    <w:rsid w:val="00FB3B95"/>
    <w:rsid w:val="00FD0A1A"/>
    <w:rsid w:val="01D470D9"/>
    <w:rsid w:val="02D74B40"/>
    <w:rsid w:val="031B2C7F"/>
    <w:rsid w:val="0350496E"/>
    <w:rsid w:val="03670C57"/>
    <w:rsid w:val="046C750A"/>
    <w:rsid w:val="08517143"/>
    <w:rsid w:val="0B656E1E"/>
    <w:rsid w:val="0C0A5403"/>
    <w:rsid w:val="0C145497"/>
    <w:rsid w:val="0C1D134F"/>
    <w:rsid w:val="0DBF3613"/>
    <w:rsid w:val="10D74B39"/>
    <w:rsid w:val="12C67FE1"/>
    <w:rsid w:val="14DC1B42"/>
    <w:rsid w:val="15D77522"/>
    <w:rsid w:val="16022C53"/>
    <w:rsid w:val="177D28D5"/>
    <w:rsid w:val="18504D21"/>
    <w:rsid w:val="18ED07C2"/>
    <w:rsid w:val="19A5109C"/>
    <w:rsid w:val="1B1F4E7E"/>
    <w:rsid w:val="1B5C39DD"/>
    <w:rsid w:val="1C9D2311"/>
    <w:rsid w:val="1D1B7434"/>
    <w:rsid w:val="1E4569AA"/>
    <w:rsid w:val="1E4824ED"/>
    <w:rsid w:val="1E6848B0"/>
    <w:rsid w:val="20EC5803"/>
    <w:rsid w:val="23DF7159"/>
    <w:rsid w:val="24880C9A"/>
    <w:rsid w:val="24C95406"/>
    <w:rsid w:val="25030284"/>
    <w:rsid w:val="2A3A75DF"/>
    <w:rsid w:val="2A9B5BE2"/>
    <w:rsid w:val="2BAB4636"/>
    <w:rsid w:val="2BF57C61"/>
    <w:rsid w:val="2CED0939"/>
    <w:rsid w:val="2E620CC5"/>
    <w:rsid w:val="2F4A332F"/>
    <w:rsid w:val="32A86C88"/>
    <w:rsid w:val="34806536"/>
    <w:rsid w:val="35234768"/>
    <w:rsid w:val="35AD02FE"/>
    <w:rsid w:val="35C3060D"/>
    <w:rsid w:val="36323860"/>
    <w:rsid w:val="380D6333"/>
    <w:rsid w:val="38575800"/>
    <w:rsid w:val="388C54AA"/>
    <w:rsid w:val="38DD5D05"/>
    <w:rsid w:val="38E946AA"/>
    <w:rsid w:val="39254A49"/>
    <w:rsid w:val="3A155D47"/>
    <w:rsid w:val="3EC14DCA"/>
    <w:rsid w:val="3EDF7B5A"/>
    <w:rsid w:val="3EF757D7"/>
    <w:rsid w:val="3F794BDA"/>
    <w:rsid w:val="41431D95"/>
    <w:rsid w:val="41717D14"/>
    <w:rsid w:val="444D69AF"/>
    <w:rsid w:val="44942BEF"/>
    <w:rsid w:val="45D636A5"/>
    <w:rsid w:val="495E2059"/>
    <w:rsid w:val="49CF5B75"/>
    <w:rsid w:val="4A2E27D8"/>
    <w:rsid w:val="4B7122DD"/>
    <w:rsid w:val="4BE930B0"/>
    <w:rsid w:val="4DF267BC"/>
    <w:rsid w:val="508825A3"/>
    <w:rsid w:val="50901C87"/>
    <w:rsid w:val="5099641F"/>
    <w:rsid w:val="539011C5"/>
    <w:rsid w:val="53DA23BC"/>
    <w:rsid w:val="53E47AF0"/>
    <w:rsid w:val="541C5F97"/>
    <w:rsid w:val="54714A29"/>
    <w:rsid w:val="55731FB9"/>
    <w:rsid w:val="5745560C"/>
    <w:rsid w:val="57671164"/>
    <w:rsid w:val="59401951"/>
    <w:rsid w:val="5B2D3245"/>
    <w:rsid w:val="5B71396D"/>
    <w:rsid w:val="5DFB7A90"/>
    <w:rsid w:val="5F443AD7"/>
    <w:rsid w:val="60884935"/>
    <w:rsid w:val="61F52ED8"/>
    <w:rsid w:val="6213192F"/>
    <w:rsid w:val="63267838"/>
    <w:rsid w:val="667523D3"/>
    <w:rsid w:val="66F31915"/>
    <w:rsid w:val="674A2C89"/>
    <w:rsid w:val="6996092A"/>
    <w:rsid w:val="6A0A3D2C"/>
    <w:rsid w:val="6AC63F9C"/>
    <w:rsid w:val="6B311A3F"/>
    <w:rsid w:val="6B9644FE"/>
    <w:rsid w:val="7030084F"/>
    <w:rsid w:val="703B4AE4"/>
    <w:rsid w:val="718A5132"/>
    <w:rsid w:val="71C86016"/>
    <w:rsid w:val="71CD28BF"/>
    <w:rsid w:val="726C367A"/>
    <w:rsid w:val="732B5B1E"/>
    <w:rsid w:val="745C607B"/>
    <w:rsid w:val="75CC2D87"/>
    <w:rsid w:val="7877401B"/>
    <w:rsid w:val="78CC1807"/>
    <w:rsid w:val="792579EC"/>
    <w:rsid w:val="7AAD6DF1"/>
    <w:rsid w:val="7B5E6224"/>
    <w:rsid w:val="7C4223E5"/>
    <w:rsid w:val="7C812D3F"/>
    <w:rsid w:val="7D9D65DA"/>
    <w:rsid w:val="7DBF4FA6"/>
    <w:rsid w:val="7F5417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4"/>
    <w:basedOn w:val="1"/>
    <w:next w:val="1"/>
    <w:link w:val="26"/>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20"/>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4">
    <w:name w:val="annotation text"/>
    <w:basedOn w:val="1"/>
    <w:link w:val="24"/>
    <w:qFormat/>
    <w:uiPriority w:val="0"/>
    <w:pPr>
      <w:jc w:val="left"/>
    </w:pPr>
    <w:rPr>
      <w:rFonts w:ascii="Calibri" w:hAnsi="Calibri" w:eastAsia="宋体" w:cs="Times New Roman"/>
    </w:rPr>
  </w:style>
  <w:style w:type="paragraph" w:styleId="5">
    <w:name w:val="Body Text Indent"/>
    <w:basedOn w:val="1"/>
    <w:link w:val="29"/>
    <w:semiHidden/>
    <w:unhideWhenUsed/>
    <w:qFormat/>
    <w:uiPriority w:val="99"/>
    <w:pPr>
      <w:spacing w:after="120"/>
      <w:ind w:left="420" w:leftChars="200"/>
    </w:pPr>
  </w:style>
  <w:style w:type="paragraph" w:styleId="6">
    <w:name w:val="Plain Text"/>
    <w:basedOn w:val="1"/>
    <w:next w:val="3"/>
    <w:link w:val="22"/>
    <w:unhideWhenUsed/>
    <w:qFormat/>
    <w:uiPriority w:val="0"/>
    <w:rPr>
      <w:rFonts w:ascii="宋体" w:hAnsi="Courier New" w:eastAsia="宋体" w:cs="Times New Roman"/>
      <w:szCs w:val="20"/>
    </w:rPr>
  </w:style>
  <w:style w:type="paragraph" w:styleId="7">
    <w:name w:val="Date"/>
    <w:basedOn w:val="1"/>
    <w:next w:val="1"/>
    <w:link w:val="31"/>
    <w:semiHidden/>
    <w:unhideWhenUsed/>
    <w:qFormat/>
    <w:uiPriority w:val="99"/>
    <w:pPr>
      <w:ind w:left="100" w:leftChars="2500"/>
    </w:pPr>
  </w:style>
  <w:style w:type="paragraph" w:styleId="8">
    <w:name w:val="Balloon Text"/>
    <w:basedOn w:val="1"/>
    <w:link w:val="25"/>
    <w:semiHidden/>
    <w:unhideWhenUsed/>
    <w:qFormat/>
    <w:uiPriority w:val="99"/>
    <w:rPr>
      <w:sz w:val="18"/>
      <w:szCs w:val="18"/>
    </w:rPr>
  </w:style>
  <w:style w:type="paragraph" w:styleId="9">
    <w:name w:val="footer"/>
    <w:basedOn w:val="1"/>
    <w:link w:val="23"/>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0">
    <w:name w:val="header"/>
    <w:basedOn w:val="1"/>
    <w:link w:val="34"/>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widowControl/>
      <w:spacing w:before="100" w:beforeAutospacing="1" w:after="100" w:afterAutospacing="1"/>
      <w:jc w:val="left"/>
    </w:pPr>
    <w:rPr>
      <w:rFonts w:hAnsi="宋体" w:cs="宋体"/>
      <w:szCs w:val="24"/>
    </w:rPr>
  </w:style>
  <w:style w:type="paragraph" w:styleId="12">
    <w:name w:val="Body Text First Indent"/>
    <w:basedOn w:val="2"/>
    <w:link w:val="32"/>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13">
    <w:name w:val="Body Text First Indent 2"/>
    <w:basedOn w:val="5"/>
    <w:link w:val="30"/>
    <w:semiHidden/>
    <w:unhideWhenUsed/>
    <w:qFormat/>
    <w:uiPriority w:val="99"/>
    <w:pPr>
      <w:ind w:firstLine="420" w:firstLineChars="200"/>
    </w:p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22"/>
    <w:rPr>
      <w:b/>
      <w:bCs/>
    </w:rPr>
  </w:style>
  <w:style w:type="character" w:styleId="18">
    <w:name w:val="Hyperlink"/>
    <w:basedOn w:val="16"/>
    <w:qFormat/>
    <w:uiPriority w:val="0"/>
    <w:rPr>
      <w:color w:val="0000FF" w:themeColor="hyperlink"/>
      <w:u w:val="single"/>
      <w14:textFill>
        <w14:solidFill>
          <w14:schemeClr w14:val="hlink"/>
        </w14:solidFill>
      </w14:textFill>
    </w:rPr>
  </w:style>
  <w:style w:type="character" w:styleId="19">
    <w:name w:val="annotation reference"/>
    <w:basedOn w:val="16"/>
    <w:qFormat/>
    <w:uiPriority w:val="0"/>
    <w:rPr>
      <w:sz w:val="21"/>
      <w:szCs w:val="21"/>
    </w:rPr>
  </w:style>
  <w:style w:type="character" w:customStyle="1" w:styleId="20">
    <w:name w:val="正文文本 Char"/>
    <w:basedOn w:val="16"/>
    <w:link w:val="2"/>
    <w:semiHidden/>
    <w:qFormat/>
    <w:uiPriority w:val="99"/>
    <w:rPr>
      <w:rFonts w:ascii="宋体" w:hAnsi="宋体" w:eastAsia="宋体" w:cs="宋体"/>
      <w:kern w:val="0"/>
      <w:sz w:val="24"/>
      <w:szCs w:val="24"/>
    </w:rPr>
  </w:style>
  <w:style w:type="paragraph" w:styleId="21">
    <w:name w:val="List Paragraph"/>
    <w:basedOn w:val="1"/>
    <w:qFormat/>
    <w:uiPriority w:val="34"/>
    <w:pPr>
      <w:ind w:firstLine="420" w:firstLineChars="200"/>
    </w:pPr>
  </w:style>
  <w:style w:type="character" w:customStyle="1" w:styleId="22">
    <w:name w:val="纯文本 Char"/>
    <w:basedOn w:val="16"/>
    <w:link w:val="6"/>
    <w:qFormat/>
    <w:uiPriority w:val="99"/>
    <w:rPr>
      <w:rFonts w:ascii="宋体" w:hAnsi="Courier New" w:eastAsia="宋体" w:cs="Times New Roman"/>
      <w:szCs w:val="20"/>
    </w:rPr>
  </w:style>
  <w:style w:type="character" w:customStyle="1" w:styleId="23">
    <w:name w:val="页脚 Char"/>
    <w:basedOn w:val="16"/>
    <w:link w:val="9"/>
    <w:qFormat/>
    <w:uiPriority w:val="0"/>
    <w:rPr>
      <w:rFonts w:ascii="Calibri" w:hAnsi="Calibri" w:eastAsia="宋体" w:cs="Times New Roman"/>
      <w:sz w:val="18"/>
      <w:szCs w:val="18"/>
    </w:rPr>
  </w:style>
  <w:style w:type="character" w:customStyle="1" w:styleId="24">
    <w:name w:val="批注文字 Char"/>
    <w:basedOn w:val="16"/>
    <w:link w:val="4"/>
    <w:qFormat/>
    <w:uiPriority w:val="0"/>
    <w:rPr>
      <w:rFonts w:ascii="Calibri" w:hAnsi="Calibri" w:eastAsia="宋体" w:cs="Times New Roman"/>
    </w:rPr>
  </w:style>
  <w:style w:type="character" w:customStyle="1" w:styleId="25">
    <w:name w:val="批注框文本 Char"/>
    <w:basedOn w:val="16"/>
    <w:link w:val="8"/>
    <w:semiHidden/>
    <w:qFormat/>
    <w:uiPriority w:val="99"/>
    <w:rPr>
      <w:sz w:val="18"/>
      <w:szCs w:val="18"/>
    </w:rPr>
  </w:style>
  <w:style w:type="character" w:customStyle="1" w:styleId="26">
    <w:name w:val="标题 4 Char"/>
    <w:basedOn w:val="16"/>
    <w:link w:val="3"/>
    <w:qFormat/>
    <w:uiPriority w:val="0"/>
    <w:rPr>
      <w:rFonts w:ascii="Arial" w:eastAsia="黑体"/>
      <w:kern w:val="0"/>
      <w:sz w:val="28"/>
      <w:szCs w:val="20"/>
    </w:rPr>
  </w:style>
  <w:style w:type="character" w:customStyle="1" w:styleId="27">
    <w:name w:val="font171"/>
    <w:basedOn w:val="16"/>
    <w:qFormat/>
    <w:uiPriority w:val="0"/>
    <w:rPr>
      <w:rFonts w:ascii="Arial" w:hAnsi="Arial" w:cs="Arial"/>
      <w:color w:val="000000"/>
      <w:sz w:val="16"/>
      <w:szCs w:val="16"/>
      <w:u w:val="none"/>
    </w:rPr>
  </w:style>
  <w:style w:type="character" w:customStyle="1" w:styleId="28">
    <w:name w:val="font191"/>
    <w:basedOn w:val="16"/>
    <w:qFormat/>
    <w:uiPriority w:val="0"/>
    <w:rPr>
      <w:rFonts w:hint="eastAsia" w:ascii="微软雅黑" w:hAnsi="微软雅黑" w:eastAsia="微软雅黑" w:cs="微软雅黑"/>
      <w:color w:val="000000"/>
      <w:sz w:val="16"/>
      <w:szCs w:val="16"/>
      <w:u w:val="none"/>
    </w:rPr>
  </w:style>
  <w:style w:type="character" w:customStyle="1" w:styleId="29">
    <w:name w:val="正文文本缩进 Char"/>
    <w:basedOn w:val="16"/>
    <w:link w:val="5"/>
    <w:semiHidden/>
    <w:qFormat/>
    <w:uiPriority w:val="99"/>
  </w:style>
  <w:style w:type="character" w:customStyle="1" w:styleId="30">
    <w:name w:val="正文首行缩进 2 Char"/>
    <w:basedOn w:val="29"/>
    <w:link w:val="13"/>
    <w:semiHidden/>
    <w:qFormat/>
    <w:uiPriority w:val="99"/>
  </w:style>
  <w:style w:type="character" w:customStyle="1" w:styleId="31">
    <w:name w:val="日期 Char"/>
    <w:basedOn w:val="16"/>
    <w:link w:val="7"/>
    <w:semiHidden/>
    <w:qFormat/>
    <w:uiPriority w:val="99"/>
  </w:style>
  <w:style w:type="character" w:customStyle="1" w:styleId="32">
    <w:name w:val="正文首行缩进 Char"/>
    <w:basedOn w:val="20"/>
    <w:link w:val="12"/>
    <w:qFormat/>
    <w:uiPriority w:val="0"/>
    <w:rPr>
      <w:rFonts w:ascii="Times New Roman" w:hAnsi="Times New Roman" w:eastAsia="宋体" w:cs="宋体"/>
      <w:kern w:val="0"/>
      <w:sz w:val="24"/>
      <w:szCs w:val="24"/>
    </w:rPr>
  </w:style>
  <w:style w:type="paragraph" w:customStyle="1" w:styleId="33">
    <w:name w:val="Table Paragraph"/>
    <w:basedOn w:val="1"/>
    <w:unhideWhenUsed/>
    <w:qFormat/>
    <w:uiPriority w:val="1"/>
    <w:rPr>
      <w:rFonts w:hint="eastAsia"/>
      <w:sz w:val="24"/>
      <w:szCs w:val="24"/>
    </w:rPr>
  </w:style>
  <w:style w:type="character" w:customStyle="1" w:styleId="34">
    <w:name w:val="页眉 Char"/>
    <w:basedOn w:val="16"/>
    <w:link w:val="10"/>
    <w:qFormat/>
    <w:uiPriority w:val="99"/>
    <w:rPr>
      <w:kern w:val="2"/>
      <w:sz w:val="18"/>
      <w:szCs w:val="18"/>
    </w:rPr>
  </w:style>
  <w:style w:type="paragraph" w:customStyle="1" w:styleId="35">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6">
    <w:name w:val="表格文字"/>
    <w:basedOn w:val="1"/>
    <w:qFormat/>
    <w:uiPriority w:val="99"/>
    <w:pPr>
      <w:spacing w:before="25" w:after="25"/>
      <w:jc w:val="left"/>
    </w:pPr>
    <w:rPr>
      <w:bCs/>
      <w:spacing w:val="10"/>
      <w:kern w:val="0"/>
      <w:sz w:val="24"/>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24</Pages>
  <Words>9469</Words>
  <Characters>9957</Characters>
  <Lines>39</Lines>
  <Paragraphs>11</Paragraphs>
  <TotalTime>9</TotalTime>
  <ScaleCrop>false</ScaleCrop>
  <LinksUpToDate>false</LinksUpToDate>
  <CharactersWithSpaces>11311</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WPS</cp:lastModifiedBy>
  <dcterms:modified xsi:type="dcterms:W3CDTF">2025-03-24T08:14:48Z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DBAAD00E7FFC4A1DA3C59792FBC1CCF8_13</vt:lpwstr>
  </property>
  <property fmtid="{D5CDD505-2E9C-101B-9397-08002B2CF9AE}" pid="4" name="KSOTemplateDocerSaveRecord">
    <vt:lpwstr>eyJoZGlkIjoiMTEzZWI4NDMyYWM1NTVmYTViNTkyNDAxYTQ4NmE5OGEiLCJ1c2VySWQiOiIyMjY4OTY5MDYifQ==</vt:lpwstr>
  </property>
</Properties>
</file>