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项目名称：南宁中心血站2025年五一劳动节活动纪念品配送服务</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项目编号：NNBCCG202501</w:t>
      </w:r>
      <w:r>
        <w:rPr>
          <w:rFonts w:hint="eastAsia" w:ascii="仿宋_GB2312" w:hAnsi="Courier New" w:eastAsia="仿宋_GB2312" w:cs="Courier New"/>
          <w:b/>
          <w:bCs/>
          <w:color w:val="000000"/>
          <w:kern w:val="0"/>
          <w:sz w:val="32"/>
          <w:szCs w:val="32"/>
          <w:lang w:val="en-US" w:eastAsia="zh-CN"/>
        </w:rPr>
        <w:t>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16</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南宁中心血站2025年五一劳动节活动纪念品配送服务采购公告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南宁中心血站按照采购计划，对南宁中心血站2025年五一劳动节活动纪念品配送服务进行采购，现就该项目邀请具有资质的单位进行响应，采购信息如下：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项目编号：NNBCCG202501</w:t>
      </w:r>
      <w:r>
        <w:rPr>
          <w:rFonts w:hint="eastAsia" w:ascii="仿宋_GB2312" w:hAnsi="Courier New" w:eastAsia="仿宋_GB2312" w:cs="Courier New"/>
          <w:color w:val="000000"/>
          <w:kern w:val="0"/>
          <w:sz w:val="32"/>
          <w:szCs w:val="32"/>
          <w:lang w:val="en-US" w:eastAsia="zh-CN"/>
        </w:rPr>
        <w:t>8</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项目名称：南宁中心血站2025年五一劳动节活动纪念品配送服务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伍万元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500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伍万元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500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13BDEB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bookmarkStart w:id="18" w:name="_GoBack"/>
      <w:bookmarkEnd w:id="18"/>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5"/>
        <w:jc w:val="center"/>
        <w:rPr>
          <w:rFonts w:hint="eastAsia" w:hAnsi="宋体" w:cs="宋体"/>
          <w:b/>
          <w:sz w:val="36"/>
        </w:rPr>
      </w:pPr>
      <w:r>
        <w:rPr>
          <w:rFonts w:hint="eastAsia" w:hAnsi="宋体" w:cs="宋体"/>
          <w:b/>
          <w:sz w:val="36"/>
        </w:rPr>
        <w:t>采购需求一览表</w:t>
      </w:r>
    </w:p>
    <w:p w14:paraId="57512EAC">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rFonts w:hint="eastAsia" w:hAnsi="宋体" w:cs="宋体"/>
          <w:b/>
          <w:sz w:val="36"/>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eastAsia="宋体" w:cs="宋体"/>
                <w:szCs w:val="21"/>
                <w:highlight w:val="none"/>
                <w:lang w:val="zh-TW" w:eastAsia="zh-TW"/>
              </w:rPr>
              <w:t>南宁中心血站2025年五一劳动节活动纪念品配送服务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1项</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11D4AF73">
            <w:pPr>
              <w:numPr>
                <w:ilvl w:val="0"/>
                <w:numId w:val="0"/>
              </w:numPr>
              <w:spacing w:line="300" w:lineRule="exact"/>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一、项目基本情况：为回馈首府南宁无偿献血者，增强献血者的归属感、幸福感、获得感，营造浓厚的无偿献血社会氛围，结合工作需求，拟于4月26日至5月5日开展五一劳动节无偿献血宣传活动，</w:t>
            </w:r>
            <w:r>
              <w:rPr>
                <w:rFonts w:hint="eastAsia" w:ascii="宋体" w:hAnsi="宋体" w:eastAsia="宋体" w:cs="宋体"/>
                <w:color w:val="auto"/>
                <w:kern w:val="0"/>
                <w:sz w:val="21"/>
                <w:szCs w:val="21"/>
                <w:highlight w:val="none"/>
                <w:lang w:val="en-US" w:eastAsia="zh-CN"/>
              </w:rPr>
              <w:t>采购五一劳动节活动纪念品配送服务。</w:t>
            </w:r>
          </w:p>
          <w:p w14:paraId="2458CE5C">
            <w:pPr>
              <w:numPr>
                <w:ilvl w:val="0"/>
                <w:numId w:val="0"/>
              </w:numPr>
              <w:spacing w:line="300" w:lineRule="exact"/>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二、配送清单</w:t>
            </w:r>
          </w:p>
          <w:tbl>
            <w:tblPr>
              <w:tblStyle w:val="15"/>
              <w:tblW w:w="50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700"/>
              <w:gridCol w:w="3175"/>
              <w:gridCol w:w="700"/>
            </w:tblGrid>
            <w:tr w14:paraId="6C90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noWrap w:val="0"/>
                  <w:vAlign w:val="center"/>
                </w:tcPr>
                <w:p w14:paraId="0AC0B552">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b/>
                      <w:bCs/>
                      <w:sz w:val="24"/>
                      <w:lang w:val="en-US" w:eastAsia="zh-CN"/>
                    </w:rPr>
                    <w:t>序号</w:t>
                  </w:r>
                </w:p>
              </w:tc>
              <w:tc>
                <w:tcPr>
                  <w:tcW w:w="700" w:type="dxa"/>
                  <w:noWrap w:val="0"/>
                  <w:vAlign w:val="center"/>
                </w:tcPr>
                <w:p w14:paraId="01DFDB96">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b/>
                      <w:bCs/>
                      <w:sz w:val="24"/>
                      <w:lang w:val="en-US" w:eastAsia="zh-CN"/>
                    </w:rPr>
                    <w:t>货物</w:t>
                  </w:r>
                  <w:r>
                    <w:rPr>
                      <w:rFonts w:hint="eastAsia" w:ascii="仿宋_GB2312" w:hAnsi="仿宋_GB2312" w:eastAsia="仿宋_GB2312" w:cs="仿宋_GB2312"/>
                      <w:b/>
                      <w:bCs/>
                      <w:sz w:val="24"/>
                    </w:rPr>
                    <w:t>名称</w:t>
                  </w:r>
                </w:p>
              </w:tc>
              <w:tc>
                <w:tcPr>
                  <w:tcW w:w="3175" w:type="dxa"/>
                  <w:noWrap w:val="0"/>
                  <w:vAlign w:val="center"/>
                </w:tcPr>
                <w:p w14:paraId="2175835D">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b/>
                      <w:bCs/>
                      <w:sz w:val="24"/>
                      <w:lang w:val="en-US" w:eastAsia="zh-CN"/>
                    </w:rPr>
                    <w:t>技术</w:t>
                  </w:r>
                  <w:r>
                    <w:rPr>
                      <w:rFonts w:hint="eastAsia" w:ascii="仿宋_GB2312" w:hAnsi="仿宋_GB2312" w:eastAsia="仿宋_GB2312" w:cs="仿宋_GB2312"/>
                      <w:b/>
                      <w:bCs/>
                      <w:sz w:val="24"/>
                    </w:rPr>
                    <w:t>参数</w:t>
                  </w:r>
                </w:p>
              </w:tc>
              <w:tc>
                <w:tcPr>
                  <w:tcW w:w="700" w:type="dxa"/>
                  <w:noWrap w:val="0"/>
                  <w:vAlign w:val="center"/>
                </w:tcPr>
                <w:p w14:paraId="49A4F3EE">
                  <w:pPr>
                    <w:numPr>
                      <w:ilvl w:val="0"/>
                      <w:numId w:val="0"/>
                    </w:numPr>
                    <w:spacing w:line="300" w:lineRule="exact"/>
                    <w:jc w:val="both"/>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数量</w:t>
                  </w:r>
                </w:p>
              </w:tc>
            </w:tr>
            <w:tr w14:paraId="53DB5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noWrap w:val="0"/>
                  <w:vAlign w:val="center"/>
                </w:tcPr>
                <w:p w14:paraId="4E025C31">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4"/>
                      <w:lang w:val="en-US" w:eastAsia="zh-CN"/>
                    </w:rPr>
                    <w:t>1</w:t>
                  </w:r>
                </w:p>
              </w:tc>
              <w:tc>
                <w:tcPr>
                  <w:tcW w:w="700" w:type="dxa"/>
                  <w:noWrap w:val="0"/>
                  <w:vAlign w:val="center"/>
                </w:tcPr>
                <w:p w14:paraId="10EBAFE1">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Times New Roman" w:hAnsi="Times New Roman" w:eastAsia="宋体" w:cs="Times New Roman"/>
                      <w:kern w:val="2"/>
                      <w:sz w:val="21"/>
                      <w:szCs w:val="24"/>
                      <w:lang w:val="en-US" w:eastAsia="zh-CN" w:bidi="ar-SA"/>
                    </w:rPr>
                    <w:t>水牛高钙奶</w:t>
                  </w:r>
                </w:p>
              </w:tc>
              <w:tc>
                <w:tcPr>
                  <w:tcW w:w="3175" w:type="dxa"/>
                  <w:noWrap w:val="0"/>
                  <w:vAlign w:val="center"/>
                </w:tcPr>
                <w:p w14:paraId="0E06B93E">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1、包装规格：≧200ML/盒，≧10盒/件。</w:t>
                  </w:r>
                </w:p>
                <w:p w14:paraId="2F6E311A">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2、保质期：6个月。</w:t>
                  </w:r>
                </w:p>
                <w:p w14:paraId="264A9073">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3、执行标准：GB25191。</w:t>
                  </w:r>
                </w:p>
                <w:p w14:paraId="2BB223C0">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4、配料：生牛乳、水、生水牛乳、白砂糖、碳酸钙等。</w:t>
                  </w:r>
                </w:p>
                <w:p w14:paraId="70A0FED2">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5、营养成分要求：每200ml含蛋白质≧4.8g、脂肪≧5.2g、钙≧240mg。</w:t>
                  </w:r>
                </w:p>
                <w:p w14:paraId="78D888B2">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6、交货时，剩余保质期不少于产品标注保质期的三分之二。</w:t>
                  </w:r>
                </w:p>
                <w:p w14:paraId="28CF59DA">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0" w:leftChars="0" w:firstLineChars="0"/>
                    <w:textAlignment w:val="auto"/>
                    <w:rPr>
                      <w:rFonts w:hint="eastAsia" w:ascii="仿宋_GB2312" w:hAnsi="仿宋_GB2312" w:eastAsia="仿宋_GB2312" w:cs="仿宋_GB2312"/>
                      <w:color w:val="auto"/>
                      <w:sz w:val="28"/>
                      <w:szCs w:val="28"/>
                      <w:vertAlign w:val="baseline"/>
                      <w:lang w:val="en-US" w:eastAsia="zh-CN"/>
                    </w:rPr>
                  </w:pPr>
                  <w:r>
                    <w:rPr>
                      <w:rFonts w:hint="eastAsia" w:ascii="Times New Roman" w:hAnsi="Times New Roman" w:eastAsia="宋体" w:cs="Times New Roman"/>
                      <w:color w:val="auto"/>
                      <w:kern w:val="0"/>
                      <w:sz w:val="21"/>
                      <w:szCs w:val="21"/>
                      <w:highlight w:val="none"/>
                      <w:lang w:val="en-US" w:eastAsia="zh-CN" w:bidi="ar-SA"/>
                    </w:rPr>
                    <w:t>7、响应供应商须提供</w:t>
                  </w:r>
                  <w:r>
                    <w:rPr>
                      <w:rFonts w:hint="eastAsia" w:ascii="Times New Roman" w:hAnsi="Times New Roman" w:eastAsia="宋体" w:cs="Times New Roman"/>
                      <w:b/>
                      <w:bCs/>
                      <w:color w:val="auto"/>
                      <w:kern w:val="0"/>
                      <w:sz w:val="21"/>
                      <w:szCs w:val="21"/>
                      <w:highlight w:val="none"/>
                      <w:lang w:val="en-US" w:eastAsia="zh-CN" w:bidi="ar-SA"/>
                    </w:rPr>
                    <w:t>响应产品图片</w:t>
                  </w:r>
                  <w:r>
                    <w:rPr>
                      <w:rFonts w:hint="eastAsia" w:ascii="Times New Roman" w:hAnsi="Times New Roman" w:eastAsia="宋体" w:cs="Times New Roman"/>
                      <w:color w:val="auto"/>
                      <w:kern w:val="0"/>
                      <w:sz w:val="21"/>
                      <w:szCs w:val="21"/>
                      <w:highlight w:val="none"/>
                      <w:lang w:val="en-US" w:eastAsia="zh-CN" w:bidi="ar-SA"/>
                    </w:rPr>
                    <w:t>，便于于项目评审需要，图片应清晰显示营养成品表及配料表，同时作为最终交货产品</w:t>
                  </w:r>
                  <w:r>
                    <w:rPr>
                      <w:rFonts w:hint="eastAsia" w:cs="Times New Roman"/>
                      <w:color w:val="auto"/>
                      <w:kern w:val="0"/>
                      <w:sz w:val="21"/>
                      <w:szCs w:val="21"/>
                      <w:highlight w:val="none"/>
                      <w:lang w:val="en-US" w:eastAsia="zh-CN" w:bidi="ar-SA"/>
                    </w:rPr>
                    <w:t>参考</w:t>
                  </w:r>
                  <w:r>
                    <w:rPr>
                      <w:rFonts w:hint="eastAsia" w:ascii="Times New Roman" w:hAnsi="Times New Roman" w:eastAsia="宋体" w:cs="Times New Roman"/>
                      <w:color w:val="auto"/>
                      <w:kern w:val="0"/>
                      <w:sz w:val="21"/>
                      <w:szCs w:val="21"/>
                      <w:highlight w:val="none"/>
                      <w:lang w:val="en-US" w:eastAsia="zh-CN" w:bidi="ar-SA"/>
                    </w:rPr>
                    <w:t>。</w:t>
                  </w:r>
                </w:p>
              </w:tc>
              <w:tc>
                <w:tcPr>
                  <w:tcW w:w="700" w:type="dxa"/>
                  <w:noWrap w:val="0"/>
                  <w:vAlign w:val="center"/>
                </w:tcPr>
                <w:p w14:paraId="2D2F6304">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宋体" w:hAnsi="宋体" w:eastAsia="宋体" w:cs="宋体"/>
                      <w:color w:val="auto"/>
                      <w:kern w:val="0"/>
                      <w:sz w:val="21"/>
                      <w:szCs w:val="21"/>
                      <w:highlight w:val="none"/>
                      <w:lang w:val="en-US" w:eastAsia="zh-CN" w:bidi="ar-SA"/>
                    </w:rPr>
                    <w:t>1000件</w:t>
                  </w:r>
                </w:p>
              </w:tc>
            </w:tr>
            <w:tr w14:paraId="28D2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noWrap w:val="0"/>
                  <w:vAlign w:val="center"/>
                </w:tcPr>
                <w:p w14:paraId="1BD8CE93">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firstLineChars="100"/>
                    <w:textAlignment w:val="auto"/>
                    <w:rPr>
                      <w:rFonts w:hint="eastAsia" w:ascii="仿宋_GB2312" w:hAnsi="仿宋_GB2312" w:eastAsia="仿宋_GB2312" w:cs="仿宋_GB2312"/>
                      <w:sz w:val="28"/>
                      <w:szCs w:val="28"/>
                      <w:vertAlign w:val="baseline"/>
                      <w:lang w:val="en-US" w:eastAsia="zh-CN"/>
                    </w:rPr>
                  </w:pPr>
                  <w:r>
                    <w:rPr>
                      <w:rFonts w:hint="eastAsia"/>
                      <w:lang w:val="en-US" w:eastAsia="zh-CN"/>
                    </w:rPr>
                    <w:t>2</w:t>
                  </w:r>
                </w:p>
              </w:tc>
              <w:tc>
                <w:tcPr>
                  <w:tcW w:w="700" w:type="dxa"/>
                  <w:noWrap w:val="0"/>
                  <w:vAlign w:val="center"/>
                </w:tcPr>
                <w:p w14:paraId="614D2F32">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sz w:val="28"/>
                      <w:szCs w:val="28"/>
                      <w:vertAlign w:val="baseline"/>
                      <w:lang w:val="en-US" w:eastAsia="zh-CN"/>
                    </w:rPr>
                  </w:pPr>
                  <w:r>
                    <w:rPr>
                      <w:rFonts w:hint="eastAsia"/>
                      <w:lang w:val="en-US" w:eastAsia="zh-CN"/>
                    </w:rPr>
                    <w:t>酸奶</w:t>
                  </w:r>
                </w:p>
              </w:tc>
              <w:tc>
                <w:tcPr>
                  <w:tcW w:w="3175" w:type="dxa"/>
                  <w:noWrap w:val="0"/>
                  <w:vAlign w:val="center"/>
                </w:tcPr>
                <w:p w14:paraId="0490865E">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1、包装规格：≧200g/盒 ≧12盒/件。</w:t>
                  </w:r>
                </w:p>
                <w:p w14:paraId="4EFDB279">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2、保质期：6个月。</w:t>
                  </w:r>
                </w:p>
                <w:p w14:paraId="32D4AA1B">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3、执行标准：GB/T21732。</w:t>
                  </w:r>
                </w:p>
                <w:p w14:paraId="7D93FB80">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4、配料：水、发酵乳（水、乳粉、德氏乳杆菌保加利亚亚种、唾液链球菌嗜热亚种）、白砂糖、果葡糖浆、食品添加剂等</w:t>
                  </w:r>
                </w:p>
                <w:p w14:paraId="7358FA35">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5、营养成分要求：每200ml含蛋白质≧2.2g、脂肪≧2.4g、钙≧195mg。</w:t>
                  </w:r>
                </w:p>
                <w:p w14:paraId="0ABCA5B2">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6、交货时，剩余保质期不少于产品标注保质期的三分之二。</w:t>
                  </w:r>
                </w:p>
                <w:p w14:paraId="4343A562">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0" w:leftChars="0" w:firstLineChars="0"/>
                    <w:textAlignment w:val="auto"/>
                    <w:rPr>
                      <w:rFonts w:hint="eastAsia" w:ascii="仿宋_GB2312" w:hAnsi="仿宋_GB2312" w:eastAsia="仿宋_GB2312" w:cs="仿宋_GB2312"/>
                      <w:color w:val="auto"/>
                      <w:sz w:val="28"/>
                      <w:szCs w:val="28"/>
                      <w:vertAlign w:val="baseline"/>
                      <w:lang w:val="en-US" w:eastAsia="zh-CN"/>
                    </w:rPr>
                  </w:pPr>
                  <w:r>
                    <w:rPr>
                      <w:rFonts w:hint="eastAsia" w:ascii="Times New Roman" w:hAnsi="Times New Roman" w:eastAsia="宋体" w:cs="Times New Roman"/>
                      <w:color w:val="auto"/>
                      <w:kern w:val="0"/>
                      <w:sz w:val="21"/>
                      <w:szCs w:val="21"/>
                      <w:highlight w:val="none"/>
                      <w:lang w:val="en-US" w:eastAsia="zh-CN" w:bidi="ar-SA"/>
                    </w:rPr>
                    <w:t>7、响应供应商须提供</w:t>
                  </w:r>
                  <w:r>
                    <w:rPr>
                      <w:rFonts w:hint="eastAsia" w:ascii="Times New Roman" w:hAnsi="Times New Roman" w:eastAsia="宋体" w:cs="Times New Roman"/>
                      <w:b/>
                      <w:bCs/>
                      <w:color w:val="auto"/>
                      <w:kern w:val="0"/>
                      <w:sz w:val="21"/>
                      <w:szCs w:val="21"/>
                      <w:highlight w:val="none"/>
                      <w:lang w:val="en-US" w:eastAsia="zh-CN" w:bidi="ar-SA"/>
                    </w:rPr>
                    <w:t>响应产品图片</w:t>
                  </w:r>
                  <w:r>
                    <w:rPr>
                      <w:rFonts w:hint="eastAsia" w:ascii="Times New Roman" w:hAnsi="Times New Roman" w:eastAsia="宋体" w:cs="Times New Roman"/>
                      <w:color w:val="auto"/>
                      <w:kern w:val="0"/>
                      <w:sz w:val="21"/>
                      <w:szCs w:val="21"/>
                      <w:highlight w:val="none"/>
                      <w:lang w:val="en-US" w:eastAsia="zh-CN" w:bidi="ar-SA"/>
                    </w:rPr>
                    <w:t>，便于于项目评审需要，图片应清晰显示营养成品表及配料表，同时作为最终交货产品</w:t>
                  </w:r>
                  <w:r>
                    <w:rPr>
                      <w:rFonts w:hint="eastAsia" w:cs="Times New Roman"/>
                      <w:color w:val="auto"/>
                      <w:kern w:val="0"/>
                      <w:sz w:val="21"/>
                      <w:szCs w:val="21"/>
                      <w:highlight w:val="none"/>
                      <w:lang w:val="en-US" w:eastAsia="zh-CN" w:bidi="ar-SA"/>
                    </w:rPr>
                    <w:t>参考</w:t>
                  </w:r>
                  <w:r>
                    <w:rPr>
                      <w:rFonts w:hint="eastAsia" w:ascii="Times New Roman" w:hAnsi="Times New Roman" w:eastAsia="宋体" w:cs="Times New Roman"/>
                      <w:color w:val="auto"/>
                      <w:kern w:val="0"/>
                      <w:sz w:val="21"/>
                      <w:szCs w:val="21"/>
                      <w:highlight w:val="none"/>
                      <w:lang w:val="en-US" w:eastAsia="zh-CN" w:bidi="ar-SA"/>
                    </w:rPr>
                    <w:t>。</w:t>
                  </w:r>
                </w:p>
              </w:tc>
              <w:tc>
                <w:tcPr>
                  <w:tcW w:w="700" w:type="dxa"/>
                  <w:noWrap w:val="0"/>
                  <w:vAlign w:val="center"/>
                </w:tcPr>
                <w:p w14:paraId="68D5053B">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sz w:val="28"/>
                      <w:szCs w:val="28"/>
                      <w:vertAlign w:val="baseline"/>
                      <w:lang w:val="en-US" w:eastAsia="zh-CN"/>
                    </w:rPr>
                  </w:pPr>
                  <w:r>
                    <w:rPr>
                      <w:rFonts w:hint="eastAsia" w:ascii="宋体" w:hAnsi="宋体" w:eastAsia="宋体" w:cs="宋体"/>
                      <w:color w:val="auto"/>
                      <w:kern w:val="0"/>
                      <w:szCs w:val="21"/>
                      <w:highlight w:val="none"/>
                      <w:lang w:val="en-US" w:eastAsia="zh-CN"/>
                    </w:rPr>
                    <w:t>1000件</w:t>
                  </w:r>
                </w:p>
              </w:tc>
            </w:tr>
          </w:tbl>
          <w:p w14:paraId="4FAD6133">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三、配送要求：响应供应商确保在采购人规定的时间内一次性配送至南宁市区内9个捐血点，暂定配送时间：2025年4月26日送达采购人指定地点（具体时间以采购人最终确认时间为准）。</w:t>
            </w:r>
          </w:p>
          <w:p w14:paraId="4E7AA39D">
            <w:pPr>
              <w:spacing w:line="420" w:lineRule="exact"/>
              <w:rPr>
                <w:rFonts w:hint="eastAsia" w:eastAsia="宋体" w:cs="黑体"/>
                <w:color w:val="auto"/>
                <w:szCs w:val="22"/>
                <w:highlight w:val="none"/>
                <w:lang w:val="en-US" w:eastAsia="zh-CN"/>
              </w:rPr>
            </w:pPr>
            <w:r>
              <w:rPr>
                <w:rFonts w:hint="eastAsia" w:cs="Times New Roman"/>
                <w:color w:val="auto"/>
                <w:kern w:val="0"/>
                <w:sz w:val="21"/>
                <w:szCs w:val="21"/>
                <w:highlight w:val="none"/>
                <w:lang w:val="en-US" w:eastAsia="zh-CN" w:bidi="ar-SA"/>
              </w:rPr>
              <w:t>四、其他要求：响应供应商结合自身服务能力提供响应配送方案、售后服务方案等配送实施方案。（如有请提供）</w:t>
            </w:r>
          </w:p>
          <w:p w14:paraId="527160A1">
            <w:pPr>
              <w:pStyle w:val="2"/>
              <w:rPr>
                <w:rFonts w:hint="eastAsia"/>
                <w:lang w:val="en-US" w:eastAsia="zh-CN"/>
              </w:rPr>
            </w:pP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5"/>
              <w:jc w:val="left"/>
              <w:rPr>
                <w:rFonts w:hint="eastAsia" w:ascii="宋体" w:hAnsi="宋体" w:eastAsia="宋体" w:cs="宋体"/>
                <w:szCs w:val="21"/>
                <w:highlight w:val="none"/>
              </w:rPr>
            </w:pPr>
            <w:r>
              <w:rPr>
                <w:rFonts w:hint="eastAsia" w:asciiTheme="minorEastAsia" w:hAnsiTheme="minorEastAsia" w:eastAsiaTheme="minorEastAsia" w:cstheme="minorEastAsia"/>
                <w:b w:val="0"/>
                <w:bCs w:val="0"/>
                <w:kern w:val="2"/>
                <w:sz w:val="21"/>
                <w:szCs w:val="21"/>
                <w:highlight w:val="none"/>
                <w:lang w:val="en-US" w:eastAsia="zh-CN" w:bidi="ar-SA"/>
              </w:rPr>
              <w:t>50000元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267CABF1">
            <w:pPr>
              <w:widowControl/>
              <w:rPr>
                <w:rFonts w:hint="eastAsia" w:ascii="宋体" w:hAnsi="宋体"/>
                <w:color w:val="auto"/>
                <w:kern w:val="0"/>
                <w:szCs w:val="21"/>
              </w:rPr>
            </w:pPr>
            <w:r>
              <w:rPr>
                <w:rFonts w:hint="eastAsia" w:ascii="宋体" w:hAnsi="宋体"/>
                <w:b/>
                <w:bCs/>
                <w:color w:val="000000"/>
                <w:kern w:val="0"/>
                <w:szCs w:val="21"/>
              </w:rPr>
              <w:t>一、合同签订期</w:t>
            </w:r>
            <w:r>
              <w:rPr>
                <w:rFonts w:hint="eastAsia" w:ascii="宋体" w:hAnsi="宋体"/>
                <w:b/>
                <w:bCs/>
                <w:color w:val="auto"/>
                <w:kern w:val="0"/>
                <w:szCs w:val="21"/>
              </w:rPr>
              <w:t>：</w:t>
            </w:r>
            <w:r>
              <w:rPr>
                <w:rFonts w:hint="eastAsia" w:ascii="宋体" w:hAnsi="宋体"/>
                <w:color w:val="auto"/>
                <w:kern w:val="0"/>
                <w:szCs w:val="21"/>
              </w:rPr>
              <w:t>自成交通知书发出之日起 5个工作日内。</w:t>
            </w:r>
          </w:p>
          <w:p w14:paraId="0FD0266B">
            <w:pPr>
              <w:widowControl/>
              <w:rPr>
                <w:rFonts w:hint="eastAsia" w:ascii="宋体" w:hAnsi="宋体"/>
                <w:color w:val="auto"/>
                <w:kern w:val="0"/>
                <w:szCs w:val="21"/>
              </w:rPr>
            </w:pPr>
            <w:r>
              <w:rPr>
                <w:rFonts w:hint="eastAsia" w:ascii="宋体" w:hAnsi="宋体"/>
                <w:b/>
                <w:bCs/>
                <w:color w:val="auto"/>
                <w:kern w:val="0"/>
                <w:szCs w:val="21"/>
              </w:rPr>
              <w:t>二、交货期：</w:t>
            </w:r>
            <w:r>
              <w:rPr>
                <w:rFonts w:hint="eastAsia" w:cs="Times New Roman"/>
                <w:color w:val="auto"/>
                <w:kern w:val="0"/>
                <w:sz w:val="21"/>
                <w:szCs w:val="21"/>
                <w:highlight w:val="none"/>
                <w:lang w:val="en-US" w:eastAsia="zh-CN" w:bidi="ar-SA"/>
              </w:rPr>
              <w:t>暂定配送时间2025年4月26日具体时间以采购人最终确认时间为准</w:t>
            </w:r>
            <w:r>
              <w:rPr>
                <w:rFonts w:hint="eastAsia" w:ascii="宋体" w:hAnsi="宋体"/>
                <w:color w:val="auto"/>
                <w:kern w:val="0"/>
                <w:szCs w:val="21"/>
              </w:rPr>
              <w:t>。</w:t>
            </w:r>
          </w:p>
          <w:p w14:paraId="0775ED76">
            <w:pPr>
              <w:widowControl/>
              <w:rPr>
                <w:rFonts w:ascii="宋体" w:hAnsi="宋体"/>
                <w:color w:val="auto"/>
                <w:kern w:val="0"/>
                <w:szCs w:val="21"/>
              </w:rPr>
            </w:pPr>
            <w:r>
              <w:rPr>
                <w:rFonts w:hint="eastAsia" w:ascii="宋体" w:hAnsi="宋体"/>
                <w:b/>
                <w:bCs/>
                <w:color w:val="auto"/>
                <w:kern w:val="0"/>
                <w:szCs w:val="21"/>
              </w:rPr>
              <w:t>三、交货地点：</w:t>
            </w:r>
            <w:r>
              <w:rPr>
                <w:rFonts w:hint="eastAsia" w:ascii="宋体" w:hAnsi="宋体"/>
                <w:color w:val="auto"/>
                <w:kern w:val="0"/>
                <w:szCs w:val="21"/>
                <w:lang w:val="en-US" w:eastAsia="zh-CN"/>
              </w:rPr>
              <w:t>按采购人计划配送至南宁市内各采血点</w:t>
            </w:r>
            <w:r>
              <w:rPr>
                <w:rFonts w:hint="eastAsia" w:ascii="宋体" w:hAnsi="宋体"/>
                <w:color w:val="auto"/>
                <w:kern w:val="0"/>
                <w:szCs w:val="21"/>
              </w:rPr>
              <w:t xml:space="preserve">。 </w:t>
            </w:r>
          </w:p>
          <w:p w14:paraId="5C755A9A">
            <w:pPr>
              <w:widowControl/>
              <w:rPr>
                <w:rFonts w:ascii="宋体" w:hAnsi="宋体"/>
                <w:b/>
                <w:bCs/>
                <w:color w:val="000000"/>
                <w:kern w:val="0"/>
                <w:szCs w:val="21"/>
              </w:rPr>
            </w:pPr>
            <w:r>
              <w:rPr>
                <w:rFonts w:hint="eastAsia" w:ascii="宋体" w:hAnsi="宋体"/>
                <w:b/>
                <w:bCs/>
                <w:color w:val="000000"/>
                <w:kern w:val="0"/>
                <w:szCs w:val="21"/>
              </w:rPr>
              <w:t>四、交货方式及要求：</w:t>
            </w:r>
          </w:p>
          <w:p w14:paraId="63A76865">
            <w:pPr>
              <w:widowControl/>
              <w:rPr>
                <w:rFonts w:hint="eastAsia" w:ascii="宋体" w:hAnsi="宋体" w:eastAsia="宋体"/>
                <w:color w:val="000000"/>
                <w:kern w:val="0"/>
                <w:szCs w:val="21"/>
                <w:lang w:eastAsia="zh-CN"/>
              </w:rPr>
            </w:pPr>
            <w:r>
              <w:rPr>
                <w:rFonts w:hint="eastAsia" w:ascii="宋体" w:hAnsi="宋体"/>
                <w:color w:val="000000"/>
                <w:kern w:val="0"/>
                <w:szCs w:val="21"/>
              </w:rPr>
              <w:t>1、交货方式：现场交货</w:t>
            </w:r>
            <w:r>
              <w:rPr>
                <w:rFonts w:hint="eastAsia" w:ascii="宋体" w:hAnsi="宋体"/>
                <w:color w:val="000000"/>
                <w:kern w:val="0"/>
                <w:szCs w:val="21"/>
                <w:lang w:eastAsia="zh-CN"/>
              </w:rPr>
              <w:t>，</w:t>
            </w:r>
            <w:r>
              <w:rPr>
                <w:rFonts w:hint="eastAsia" w:cs="Times New Roman"/>
                <w:color w:val="auto"/>
                <w:kern w:val="0"/>
                <w:sz w:val="21"/>
                <w:szCs w:val="21"/>
                <w:highlight w:val="none"/>
                <w:lang w:val="en-US" w:eastAsia="zh-CN" w:bidi="ar-SA"/>
              </w:rPr>
              <w:t>响应供应商按采购人需求分别配送至南宁市区内9个捐血点。</w:t>
            </w:r>
          </w:p>
          <w:p w14:paraId="4D7FCEE9">
            <w:pPr>
              <w:widowControl/>
              <w:rPr>
                <w:rFonts w:ascii="宋体" w:hAnsi="宋体"/>
                <w:color w:val="000000"/>
                <w:kern w:val="0"/>
                <w:szCs w:val="21"/>
              </w:rPr>
            </w:pPr>
            <w:r>
              <w:rPr>
                <w:rFonts w:hint="eastAsia" w:ascii="宋体" w:hAnsi="宋体"/>
                <w:color w:val="000000"/>
                <w:kern w:val="0"/>
                <w:szCs w:val="21"/>
              </w:rPr>
              <w:t>2、交货要求：成交人向采购人提供的货物必须是全新、完整、未使用过的，货物到达后，成交人和采购人应在现场进行清点，清点过程中如果发现因包装或运输不当引起的产品外观或内部的损坏，成交人应负责更换，若发现错发/漏发情况，成交人应负责更换和补发。</w:t>
            </w:r>
          </w:p>
          <w:p w14:paraId="5C419317">
            <w:pPr>
              <w:widowControl/>
              <w:rPr>
                <w:rFonts w:ascii="宋体" w:hAnsi="宋体"/>
                <w:b/>
                <w:bCs/>
                <w:color w:val="000000"/>
                <w:kern w:val="0"/>
                <w:szCs w:val="21"/>
              </w:rPr>
            </w:pPr>
            <w:r>
              <w:rPr>
                <w:rFonts w:hint="eastAsia" w:ascii="宋体" w:hAnsi="宋体"/>
                <w:b/>
                <w:bCs/>
                <w:color w:val="000000"/>
                <w:kern w:val="0"/>
                <w:szCs w:val="21"/>
              </w:rPr>
              <w:t>五、验收方式及要求：</w:t>
            </w:r>
          </w:p>
          <w:p w14:paraId="70F0BA1B">
            <w:pPr>
              <w:widowControl/>
              <w:jc w:val="left"/>
              <w:rPr>
                <w:rFonts w:ascii="宋体" w:hAnsi="宋体"/>
                <w:color w:val="000000"/>
                <w:kern w:val="0"/>
                <w:szCs w:val="21"/>
              </w:rPr>
            </w:pPr>
            <w:r>
              <w:rPr>
                <w:rFonts w:hint="eastAsia" w:ascii="宋体" w:hAnsi="宋体"/>
                <w:color w:val="000000"/>
                <w:kern w:val="0"/>
                <w:szCs w:val="21"/>
              </w:rPr>
              <w:t>1、交货时，所有产品均严格按采购文件上的技术参数要求，采购人按成交人响应和承诺的技术参数及性能和国家有关标准进行验收，达不到要求的不予验收，视为产品验收不合格，并且保留追究成交人虚假响应的法律责任。</w:t>
            </w:r>
          </w:p>
          <w:p w14:paraId="4C1D9CE1">
            <w:pPr>
              <w:widowControl/>
              <w:jc w:val="left"/>
              <w:rPr>
                <w:rFonts w:ascii="宋体" w:hAnsi="宋体"/>
                <w:color w:val="000000"/>
                <w:kern w:val="0"/>
                <w:szCs w:val="21"/>
              </w:rPr>
            </w:pPr>
            <w:r>
              <w:rPr>
                <w:rFonts w:hint="eastAsia" w:ascii="宋体" w:hAnsi="宋体"/>
                <w:color w:val="000000"/>
                <w:kern w:val="0"/>
                <w:szCs w:val="21"/>
              </w:rPr>
              <w:t>2、按要求供货到现场(包括包装、卸货及搬运)。</w:t>
            </w:r>
          </w:p>
          <w:p w14:paraId="6FE5E835">
            <w:pPr>
              <w:widowControl/>
              <w:jc w:val="left"/>
              <w:rPr>
                <w:rFonts w:ascii="宋体" w:hAnsi="宋体"/>
                <w:b/>
                <w:bCs/>
                <w:color w:val="000000"/>
                <w:kern w:val="0"/>
                <w:szCs w:val="21"/>
              </w:rPr>
            </w:pPr>
            <w:r>
              <w:rPr>
                <w:rFonts w:hint="eastAsia" w:ascii="宋体" w:hAnsi="宋体"/>
                <w:b/>
                <w:bCs/>
                <w:color w:val="000000"/>
                <w:kern w:val="0"/>
                <w:szCs w:val="21"/>
              </w:rPr>
              <w:t>六、售后服务要求：</w:t>
            </w:r>
          </w:p>
          <w:p w14:paraId="009190B5">
            <w:pPr>
              <w:widowControl/>
              <w:jc w:val="left"/>
              <w:rPr>
                <w:rFonts w:ascii="宋体" w:hAnsi="宋体"/>
                <w:color w:val="000000"/>
                <w:kern w:val="0"/>
                <w:szCs w:val="21"/>
              </w:rPr>
            </w:pPr>
            <w:r>
              <w:rPr>
                <w:rFonts w:hint="eastAsia" w:ascii="宋体" w:hAnsi="宋体"/>
                <w:color w:val="000000"/>
                <w:kern w:val="0"/>
                <w:szCs w:val="21"/>
              </w:rPr>
              <w:t>1、质量保证期内按国家有关产品“三包”规定执行“三包”，质量保证期内因产品质量问题发生的相关费用由成交人承担。</w:t>
            </w:r>
          </w:p>
          <w:p w14:paraId="3EE3EE97">
            <w:pPr>
              <w:widowControl/>
              <w:jc w:val="left"/>
              <w:rPr>
                <w:rFonts w:ascii="宋体" w:hAnsi="宋体"/>
                <w:color w:val="000000"/>
                <w:kern w:val="0"/>
                <w:szCs w:val="21"/>
              </w:rPr>
            </w:pPr>
            <w:r>
              <w:rPr>
                <w:rFonts w:hint="eastAsia" w:ascii="宋体" w:hAnsi="宋体"/>
                <w:color w:val="000000"/>
                <w:kern w:val="0"/>
                <w:szCs w:val="21"/>
              </w:rPr>
              <w:t>2、服务响应时间：对于服务请求，须在20分钟内响应；一般问题8小时内解决；对于重大问题不能超过48小时解决且要求4小时内到现场服务。</w:t>
            </w:r>
          </w:p>
          <w:p w14:paraId="3AA8E986">
            <w:pPr>
              <w:widowControl/>
              <w:jc w:val="left"/>
              <w:rPr>
                <w:rFonts w:ascii="宋体" w:hAnsi="宋体"/>
                <w:b/>
                <w:bCs/>
                <w:color w:val="000000"/>
                <w:kern w:val="0"/>
                <w:szCs w:val="21"/>
              </w:rPr>
            </w:pPr>
            <w:r>
              <w:rPr>
                <w:rFonts w:hint="eastAsia" w:ascii="宋体" w:hAnsi="宋体"/>
                <w:b/>
                <w:bCs/>
                <w:color w:val="000000"/>
                <w:kern w:val="0"/>
                <w:szCs w:val="21"/>
              </w:rPr>
              <w:t>七、其他要求：</w:t>
            </w:r>
          </w:p>
          <w:p w14:paraId="5FE3DDD9">
            <w:pPr>
              <w:widowControl/>
              <w:jc w:val="left"/>
              <w:rPr>
                <w:rFonts w:ascii="宋体" w:hAnsi="宋体"/>
                <w:color w:val="000000"/>
                <w:kern w:val="0"/>
                <w:szCs w:val="21"/>
              </w:rPr>
            </w:pPr>
            <w:r>
              <w:rPr>
                <w:rFonts w:hint="eastAsia" w:ascii="宋体" w:hAnsi="宋体"/>
                <w:color w:val="000000"/>
                <w:kern w:val="0"/>
                <w:szCs w:val="21"/>
              </w:rPr>
              <w:t>1、报价为采购人指定地点的现场交货价，包括：</w:t>
            </w:r>
          </w:p>
          <w:p w14:paraId="4610103B">
            <w:pPr>
              <w:widowControl/>
              <w:jc w:val="left"/>
              <w:rPr>
                <w:rFonts w:ascii="宋体" w:hAnsi="宋体"/>
                <w:color w:val="000000"/>
                <w:kern w:val="0"/>
                <w:szCs w:val="21"/>
              </w:rPr>
            </w:pPr>
            <w:r>
              <w:rPr>
                <w:rFonts w:hint="eastAsia" w:ascii="宋体" w:hAnsi="宋体"/>
                <w:color w:val="000000"/>
                <w:kern w:val="0"/>
                <w:szCs w:val="21"/>
              </w:rPr>
              <w:t>（1）货物的价格；</w:t>
            </w:r>
          </w:p>
          <w:p w14:paraId="4A1D4553">
            <w:pPr>
              <w:widowControl/>
              <w:jc w:val="left"/>
              <w:rPr>
                <w:rFonts w:ascii="宋体" w:hAnsi="宋体"/>
                <w:color w:val="000000"/>
                <w:kern w:val="0"/>
                <w:szCs w:val="21"/>
              </w:rPr>
            </w:pPr>
            <w:r>
              <w:rPr>
                <w:rFonts w:hint="eastAsia" w:ascii="宋体" w:hAnsi="宋体"/>
                <w:color w:val="000000"/>
                <w:kern w:val="0"/>
                <w:szCs w:val="21"/>
              </w:rPr>
              <w:t>（2）货物的标准附件配件、备品备件、专用工具的价格；</w:t>
            </w:r>
          </w:p>
          <w:p w14:paraId="3F6286B0">
            <w:pPr>
              <w:widowControl/>
              <w:jc w:val="left"/>
              <w:rPr>
                <w:rFonts w:ascii="宋体" w:hAnsi="宋体"/>
                <w:color w:val="000000"/>
                <w:kern w:val="0"/>
                <w:szCs w:val="21"/>
              </w:rPr>
            </w:pPr>
            <w:r>
              <w:rPr>
                <w:rFonts w:hint="eastAsia" w:ascii="宋体" w:hAnsi="宋体"/>
                <w:color w:val="000000"/>
                <w:kern w:val="0"/>
                <w:szCs w:val="21"/>
              </w:rPr>
              <w:t>（3）运输、装卸、搬运、技术支持、售后服务等费用；</w:t>
            </w:r>
          </w:p>
          <w:p w14:paraId="118CC277">
            <w:pPr>
              <w:widowControl/>
              <w:jc w:val="left"/>
              <w:rPr>
                <w:rFonts w:ascii="宋体" w:hAnsi="宋体"/>
                <w:color w:val="000000"/>
                <w:kern w:val="0"/>
                <w:szCs w:val="21"/>
              </w:rPr>
            </w:pPr>
            <w:r>
              <w:rPr>
                <w:rFonts w:hint="eastAsia" w:ascii="宋体" w:hAnsi="宋体"/>
                <w:color w:val="000000"/>
                <w:kern w:val="0"/>
                <w:szCs w:val="21"/>
              </w:rPr>
              <w:t>（4）必要的保险费用和各项税费。</w:t>
            </w:r>
          </w:p>
          <w:p w14:paraId="1F530F3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宋体" w:hAnsi="宋体"/>
                <w:color w:val="000000"/>
                <w:kern w:val="0"/>
                <w:szCs w:val="21"/>
              </w:rPr>
              <w:t>2、付款方式：货物交货完毕并经采购人验收合格后，采购人一次性支付合同款（付款前成交人需开具等额合规的增值税发票）</w:t>
            </w:r>
          </w:p>
        </w:tc>
      </w:tr>
    </w:tbl>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2"/>
        <w:rPr>
          <w:rFonts w:hint="eastAsia"/>
        </w:rPr>
      </w:pPr>
    </w:p>
    <w:p w14:paraId="319D6280">
      <w:pPr>
        <w:pStyle w:val="12"/>
        <w:rPr>
          <w:rFonts w:hint="eastAsia"/>
        </w:rPr>
      </w:pPr>
    </w:p>
    <w:p w14:paraId="4518D020">
      <w:pPr>
        <w:pStyle w:val="12"/>
        <w:rPr>
          <w:rFonts w:hint="eastAsia"/>
        </w:rPr>
      </w:pPr>
    </w:p>
    <w:p w14:paraId="0B345091">
      <w:pPr>
        <w:pStyle w:val="12"/>
        <w:rPr>
          <w:rFonts w:hint="eastAsia"/>
        </w:rPr>
      </w:pPr>
    </w:p>
    <w:p w14:paraId="08DC55B7">
      <w:pPr>
        <w:pStyle w:val="12"/>
        <w:rPr>
          <w:rFonts w:hint="eastAsia"/>
        </w:rPr>
      </w:pPr>
    </w:p>
    <w:p w14:paraId="38D43820">
      <w:pPr>
        <w:pStyle w:val="12"/>
        <w:rPr>
          <w:rFonts w:hint="eastAsia"/>
        </w:rPr>
      </w:pPr>
    </w:p>
    <w:p w14:paraId="1B817E5B">
      <w:pPr>
        <w:pStyle w:val="12"/>
        <w:rPr>
          <w:rFonts w:hint="eastAsia"/>
        </w:rPr>
      </w:pPr>
    </w:p>
    <w:p w14:paraId="30349169">
      <w:pPr>
        <w:pStyle w:val="12"/>
        <w:rPr>
          <w:rFonts w:hint="eastAsia"/>
        </w:rPr>
      </w:pPr>
    </w:p>
    <w:p w14:paraId="070AC270">
      <w:pPr>
        <w:pStyle w:val="12"/>
        <w:rPr>
          <w:rFonts w:hint="eastAsia"/>
        </w:rPr>
      </w:pPr>
    </w:p>
    <w:p w14:paraId="423AA770">
      <w:pPr>
        <w:pStyle w:val="12"/>
        <w:rPr>
          <w:rFonts w:hint="eastAsia"/>
        </w:rPr>
      </w:pPr>
    </w:p>
    <w:p w14:paraId="44C47E9C">
      <w:pPr>
        <w:pStyle w:val="12"/>
        <w:rPr>
          <w:rFonts w:hint="eastAsia"/>
        </w:rPr>
      </w:pPr>
    </w:p>
    <w:p w14:paraId="467B70D7">
      <w:pPr>
        <w:pStyle w:val="12"/>
        <w:rPr>
          <w:rFonts w:hint="eastAsia"/>
        </w:rPr>
      </w:pPr>
    </w:p>
    <w:p w14:paraId="09289330">
      <w:pPr>
        <w:pStyle w:val="12"/>
        <w:rPr>
          <w:rFonts w:hint="eastAsia"/>
        </w:rPr>
      </w:pPr>
    </w:p>
    <w:p w14:paraId="1D8C8180">
      <w:pPr>
        <w:pStyle w:val="12"/>
        <w:rPr>
          <w:rFonts w:hint="eastAsia"/>
        </w:rPr>
      </w:pPr>
    </w:p>
    <w:p w14:paraId="2B900D7D">
      <w:pPr>
        <w:pStyle w:val="12"/>
        <w:rPr>
          <w:rFonts w:hint="eastAsia"/>
        </w:rPr>
      </w:pPr>
    </w:p>
    <w:p w14:paraId="6CED54C7">
      <w:pPr>
        <w:pStyle w:val="12"/>
        <w:rPr>
          <w:rFonts w:hint="eastAsia"/>
        </w:rPr>
      </w:pPr>
    </w:p>
    <w:p w14:paraId="0476AD3B">
      <w:pPr>
        <w:pStyle w:val="12"/>
        <w:rPr>
          <w:rFonts w:hint="eastAsia"/>
        </w:rPr>
      </w:pPr>
    </w:p>
    <w:p w14:paraId="220C65A0">
      <w:pPr>
        <w:pStyle w:val="12"/>
        <w:rPr>
          <w:rFonts w:hint="eastAsia"/>
        </w:rPr>
      </w:pPr>
    </w:p>
    <w:p w14:paraId="34BDEC92">
      <w:pPr>
        <w:pStyle w:val="12"/>
        <w:rPr>
          <w:rFonts w:hint="eastAsia"/>
        </w:rPr>
      </w:pPr>
    </w:p>
    <w:p w14:paraId="1DDD2D0C">
      <w:pPr>
        <w:pStyle w:val="12"/>
        <w:rPr>
          <w:rFonts w:hint="eastAsia"/>
        </w:rPr>
      </w:pPr>
    </w:p>
    <w:p w14:paraId="3BD09740">
      <w:pPr>
        <w:pStyle w:val="12"/>
        <w:rPr>
          <w:rFonts w:hint="eastAsia"/>
        </w:rPr>
      </w:pPr>
    </w:p>
    <w:p w14:paraId="723FFFCB">
      <w:pPr>
        <w:pStyle w:val="12"/>
        <w:rPr>
          <w:rFonts w:hint="eastAsia"/>
        </w:rPr>
      </w:pPr>
    </w:p>
    <w:p w14:paraId="2C24532A">
      <w:pPr>
        <w:pStyle w:val="12"/>
        <w:rPr>
          <w:rFonts w:hint="eastAsia"/>
        </w:rPr>
      </w:pPr>
    </w:p>
    <w:p w14:paraId="39FCC21C">
      <w:pPr>
        <w:pStyle w:val="12"/>
        <w:rPr>
          <w:rFonts w:hint="eastAsia"/>
        </w:rPr>
      </w:pPr>
    </w:p>
    <w:p w14:paraId="50C129FA">
      <w:pPr>
        <w:pStyle w:val="12"/>
        <w:rPr>
          <w:rFonts w:hint="eastAsia"/>
        </w:rPr>
      </w:pPr>
    </w:p>
    <w:p w14:paraId="1695271D">
      <w:pPr>
        <w:pStyle w:val="12"/>
        <w:ind w:left="0" w:leftChars="0" w:firstLine="0" w:firstLineChars="0"/>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南宁中心血站2025年五一劳动节活动纪念品配送服务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4EB0C0D">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6C99CB0C">
      <w:pPr>
        <w:pStyle w:val="7"/>
        <w:spacing w:line="500" w:lineRule="exact"/>
        <w:jc w:val="left"/>
        <w:rPr>
          <w:rFonts w:hAnsi="宋体"/>
          <w:b/>
          <w:bCs/>
          <w:sz w:val="30"/>
          <w:szCs w:val="30"/>
        </w:rPr>
      </w:pPr>
    </w:p>
    <w:p w14:paraId="45A4673E">
      <w:pPr>
        <w:pStyle w:val="3"/>
        <w:numPr>
          <w:ilvl w:val="3"/>
          <w:numId w:val="0"/>
        </w:numPr>
        <w:ind w:left="1077" w:leftChars="0"/>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A3A51EB">
      <w:pPr>
        <w:snapToGrid w:val="0"/>
        <w:spacing w:before="156" w:beforeLines="50" w:after="50" w:line="560" w:lineRule="exact"/>
        <w:ind w:right="482" w:firstLine="210" w:firstLineChars="100"/>
        <w:jc w:val="cente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7349F6F4">
      <w:pPr>
        <w:rPr>
          <w:rFonts w:hint="eastAsia" w:ascii="仿宋" w:hAnsi="仿宋" w:eastAsia="仿宋"/>
          <w:color w:val="auto"/>
          <w:sz w:val="30"/>
          <w:szCs w:val="30"/>
        </w:rPr>
      </w:pPr>
    </w:p>
    <w:p w14:paraId="267B9C3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3"/>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542"/>
        <w:gridCol w:w="1518"/>
        <w:gridCol w:w="130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7"/>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18" w:type="pct"/>
            <w:vAlign w:val="center"/>
          </w:tcPr>
          <w:p w14:paraId="24CF3423">
            <w:pPr>
              <w:pStyle w:val="7"/>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904" w:type="pct"/>
            <w:vAlign w:val="center"/>
          </w:tcPr>
          <w:p w14:paraId="443FF386">
            <w:pPr>
              <w:pStyle w:val="7"/>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品牌和规格</w:t>
            </w:r>
          </w:p>
        </w:tc>
        <w:tc>
          <w:tcPr>
            <w:tcW w:w="778" w:type="pct"/>
            <w:vAlign w:val="center"/>
          </w:tcPr>
          <w:p w14:paraId="1329B7AA">
            <w:pPr>
              <w:pStyle w:val="7"/>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7"/>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7"/>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7"/>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7"/>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7"/>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7"/>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E04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44B540DC">
            <w:pPr>
              <w:pStyle w:val="7"/>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918" w:type="pct"/>
            <w:vAlign w:val="center"/>
          </w:tcPr>
          <w:p w14:paraId="50CA2AAA">
            <w:pPr>
              <w:spacing w:line="276" w:lineRule="auto"/>
              <w:jc w:val="center"/>
              <w:rPr>
                <w:rFonts w:hint="eastAsia" w:ascii="宋体" w:hAnsi="宋体" w:eastAsia="宋体" w:cs="宋体"/>
                <w:sz w:val="21"/>
                <w:szCs w:val="21"/>
                <w:lang w:val="en-US" w:eastAsia="zh-CN"/>
              </w:rPr>
            </w:pPr>
            <w:r>
              <w:rPr>
                <w:rFonts w:hint="eastAsia" w:ascii="Times New Roman" w:hAnsi="Times New Roman" w:eastAsia="宋体" w:cs="Times New Roman"/>
                <w:kern w:val="2"/>
                <w:sz w:val="21"/>
                <w:szCs w:val="24"/>
                <w:lang w:val="en-US" w:eastAsia="zh-CN" w:bidi="ar-SA"/>
              </w:rPr>
              <w:t>水牛高钙奶</w:t>
            </w:r>
          </w:p>
        </w:tc>
        <w:tc>
          <w:tcPr>
            <w:tcW w:w="904" w:type="pct"/>
            <w:vAlign w:val="center"/>
          </w:tcPr>
          <w:p w14:paraId="2315BD2A">
            <w:pPr>
              <w:pStyle w:val="7"/>
              <w:ind w:firstLine="210" w:firstLineChars="100"/>
              <w:rPr>
                <w:rFonts w:hint="default" w:ascii="宋体" w:hAnsi="宋体" w:eastAsia="宋体" w:cs="宋体"/>
                <w:sz w:val="21"/>
                <w:szCs w:val="21"/>
                <w:lang w:val="en-US" w:eastAsia="zh-CN"/>
              </w:rPr>
            </w:pPr>
          </w:p>
        </w:tc>
        <w:tc>
          <w:tcPr>
            <w:tcW w:w="778" w:type="pct"/>
            <w:vAlign w:val="center"/>
          </w:tcPr>
          <w:p w14:paraId="48DF8E43">
            <w:pPr>
              <w:pStyle w:val="7"/>
              <w:jc w:val="center"/>
              <w:rPr>
                <w:rFonts w:hint="default" w:cs="宋体" w:asciiTheme="minorEastAsia" w:hAnsiTheme="minorEastAsia"/>
                <w:color w:val="000000"/>
                <w:sz w:val="21"/>
                <w:szCs w:val="21"/>
                <w:lang w:val="en-US" w:eastAsia="zh-CN"/>
              </w:rPr>
            </w:pPr>
            <w:r>
              <w:rPr>
                <w:rFonts w:hint="eastAsia" w:cs="宋体" w:asciiTheme="minorEastAsia" w:hAnsiTheme="minorEastAsia"/>
                <w:color w:val="000000"/>
                <w:sz w:val="21"/>
                <w:szCs w:val="21"/>
                <w:lang w:val="en-US" w:eastAsia="zh-CN"/>
              </w:rPr>
              <w:t>1000件</w:t>
            </w:r>
          </w:p>
        </w:tc>
        <w:tc>
          <w:tcPr>
            <w:tcW w:w="849" w:type="pct"/>
            <w:vAlign w:val="center"/>
          </w:tcPr>
          <w:p w14:paraId="049B8413">
            <w:pPr>
              <w:pStyle w:val="7"/>
              <w:rPr>
                <w:rFonts w:hint="eastAsia" w:ascii="宋体" w:hAnsi="宋体" w:eastAsia="宋体" w:cs="宋体"/>
                <w:sz w:val="21"/>
                <w:szCs w:val="21"/>
              </w:rPr>
            </w:pPr>
          </w:p>
        </w:tc>
        <w:tc>
          <w:tcPr>
            <w:tcW w:w="645" w:type="pct"/>
            <w:vAlign w:val="center"/>
          </w:tcPr>
          <w:p w14:paraId="71B25E71">
            <w:pPr>
              <w:pStyle w:val="7"/>
              <w:rPr>
                <w:rFonts w:hint="eastAsia" w:ascii="宋体" w:hAnsi="宋体" w:eastAsia="宋体" w:cs="宋体"/>
                <w:sz w:val="21"/>
                <w:szCs w:val="21"/>
              </w:rPr>
            </w:pPr>
          </w:p>
        </w:tc>
        <w:tc>
          <w:tcPr>
            <w:tcW w:w="519" w:type="pct"/>
            <w:vAlign w:val="center"/>
          </w:tcPr>
          <w:p w14:paraId="0E48F507">
            <w:pPr>
              <w:pStyle w:val="7"/>
              <w:rPr>
                <w:rFonts w:hint="eastAsia" w:ascii="宋体" w:hAnsi="宋体" w:eastAsia="宋体" w:cs="宋体"/>
                <w:sz w:val="21"/>
                <w:szCs w:val="21"/>
              </w:rPr>
            </w:pPr>
          </w:p>
        </w:tc>
      </w:tr>
      <w:tr w14:paraId="0802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19B0D17E">
            <w:pPr>
              <w:pStyle w:val="7"/>
              <w:jc w:val="center"/>
              <w:rPr>
                <w:rFonts w:hint="default" w:ascii="宋体" w:hAnsi="宋体" w:eastAsia="宋体" w:cs="宋体"/>
                <w:sz w:val="21"/>
                <w:szCs w:val="21"/>
                <w:lang w:val="en-US" w:eastAsia="zh-CN"/>
              </w:rPr>
            </w:pPr>
            <w:r>
              <w:rPr>
                <w:rFonts w:hint="eastAsia" w:hAnsi="宋体" w:cs="宋体"/>
                <w:sz w:val="21"/>
                <w:szCs w:val="21"/>
                <w:lang w:val="en-US" w:eastAsia="zh-CN"/>
              </w:rPr>
              <w:t>2</w:t>
            </w:r>
          </w:p>
        </w:tc>
        <w:tc>
          <w:tcPr>
            <w:tcW w:w="918" w:type="pct"/>
            <w:vAlign w:val="center"/>
          </w:tcPr>
          <w:p w14:paraId="19D3A98E">
            <w:pPr>
              <w:spacing w:line="276" w:lineRule="auto"/>
              <w:jc w:val="center"/>
              <w:rPr>
                <w:rFonts w:hint="eastAsia" w:ascii="宋体" w:hAnsi="宋体" w:eastAsia="宋体" w:cs="宋体"/>
                <w:sz w:val="21"/>
                <w:szCs w:val="21"/>
                <w:lang w:val="en-US" w:eastAsia="zh-CN"/>
              </w:rPr>
            </w:pPr>
            <w:r>
              <w:rPr>
                <w:rFonts w:hint="eastAsia"/>
                <w:lang w:val="en-US" w:eastAsia="zh-CN"/>
              </w:rPr>
              <w:t>酸奶</w:t>
            </w:r>
          </w:p>
        </w:tc>
        <w:tc>
          <w:tcPr>
            <w:tcW w:w="904" w:type="pct"/>
            <w:vAlign w:val="center"/>
          </w:tcPr>
          <w:p w14:paraId="27A66F36">
            <w:pPr>
              <w:pStyle w:val="7"/>
              <w:ind w:firstLine="210" w:firstLineChars="100"/>
              <w:rPr>
                <w:rFonts w:hint="default" w:ascii="宋体" w:hAnsi="宋体" w:eastAsia="宋体" w:cs="宋体"/>
                <w:sz w:val="21"/>
                <w:szCs w:val="21"/>
                <w:lang w:val="en-US" w:eastAsia="zh-CN"/>
              </w:rPr>
            </w:pPr>
          </w:p>
        </w:tc>
        <w:tc>
          <w:tcPr>
            <w:tcW w:w="778" w:type="pct"/>
            <w:vAlign w:val="center"/>
          </w:tcPr>
          <w:p w14:paraId="631A2D95">
            <w:pPr>
              <w:pStyle w:val="7"/>
              <w:jc w:val="center"/>
              <w:rPr>
                <w:rFonts w:hint="default" w:cs="宋体" w:asciiTheme="minorEastAsia" w:hAnsiTheme="minorEastAsia"/>
                <w:color w:val="000000"/>
                <w:sz w:val="21"/>
                <w:szCs w:val="21"/>
                <w:lang w:val="en-US" w:eastAsia="zh-CN"/>
              </w:rPr>
            </w:pPr>
            <w:r>
              <w:rPr>
                <w:rFonts w:hint="eastAsia" w:cs="宋体" w:asciiTheme="minorEastAsia" w:hAnsiTheme="minorEastAsia"/>
                <w:color w:val="000000"/>
                <w:sz w:val="21"/>
                <w:szCs w:val="21"/>
                <w:lang w:val="en-US" w:eastAsia="zh-CN"/>
              </w:rPr>
              <w:t>1000件</w:t>
            </w:r>
          </w:p>
        </w:tc>
        <w:tc>
          <w:tcPr>
            <w:tcW w:w="849" w:type="pct"/>
            <w:vAlign w:val="center"/>
          </w:tcPr>
          <w:p w14:paraId="660042C1">
            <w:pPr>
              <w:pStyle w:val="7"/>
              <w:rPr>
                <w:rFonts w:hint="eastAsia" w:ascii="宋体" w:hAnsi="宋体" w:eastAsia="宋体" w:cs="宋体"/>
                <w:sz w:val="21"/>
                <w:szCs w:val="21"/>
              </w:rPr>
            </w:pPr>
          </w:p>
        </w:tc>
        <w:tc>
          <w:tcPr>
            <w:tcW w:w="645" w:type="pct"/>
            <w:vAlign w:val="center"/>
          </w:tcPr>
          <w:p w14:paraId="5D212B76">
            <w:pPr>
              <w:pStyle w:val="7"/>
              <w:rPr>
                <w:rFonts w:hint="eastAsia" w:ascii="宋体" w:hAnsi="宋体" w:eastAsia="宋体" w:cs="宋体"/>
                <w:sz w:val="21"/>
                <w:szCs w:val="21"/>
              </w:rPr>
            </w:pPr>
          </w:p>
        </w:tc>
        <w:tc>
          <w:tcPr>
            <w:tcW w:w="519" w:type="pct"/>
            <w:vAlign w:val="center"/>
          </w:tcPr>
          <w:p w14:paraId="4DA67071">
            <w:pPr>
              <w:pStyle w:val="7"/>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7"/>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7"/>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w:t>
            </w:r>
            <w:r>
              <w:rPr>
                <w:rFonts w:hint="eastAsia" w:asciiTheme="minorEastAsia" w:hAnsiTheme="minorEastAsia"/>
                <w:b/>
                <w:color w:val="0000FF"/>
                <w:sz w:val="21"/>
                <w:szCs w:val="21"/>
                <w:lang w:val="en-US" w:eastAsia="zh-CN"/>
              </w:rPr>
              <w:t>单项</w:t>
            </w:r>
            <w:r>
              <w:rPr>
                <w:rFonts w:hint="eastAsia" w:asciiTheme="minorEastAsia" w:hAnsiTheme="minorEastAsia" w:eastAsiaTheme="minorEastAsia"/>
                <w:b/>
                <w:color w:val="0000FF"/>
                <w:sz w:val="21"/>
                <w:szCs w:val="21"/>
                <w:lang w:val="en-US" w:eastAsia="zh-CN"/>
              </w:rPr>
              <w:t>报价合</w:t>
            </w:r>
            <w:r>
              <w:rPr>
                <w:rFonts w:hint="eastAsia" w:asciiTheme="minorEastAsia" w:hAnsiTheme="minorEastAsia"/>
                <w:b/>
                <w:color w:val="0000FF"/>
                <w:sz w:val="21"/>
                <w:szCs w:val="21"/>
                <w:lang w:val="en-US" w:eastAsia="zh-CN"/>
              </w:rPr>
              <w:t>计</w:t>
            </w:r>
            <w:r>
              <w:rPr>
                <w:rFonts w:hint="eastAsia" w:asciiTheme="minorEastAsia" w:hAnsiTheme="minorEastAsia" w:eastAsiaTheme="minorEastAsia"/>
                <w:b/>
                <w:color w:val="0000FF"/>
                <w:sz w:val="21"/>
                <w:szCs w:val="21"/>
                <w:lang w:val="en-US" w:eastAsia="zh-CN"/>
              </w:rPr>
              <w:t>金额不能超过本</w:t>
            </w:r>
            <w:r>
              <w:rPr>
                <w:rFonts w:hint="eastAsia" w:asciiTheme="minorEastAsia" w:hAnsiTheme="minorEastAsia"/>
                <w:b/>
                <w:color w:val="0000FF"/>
                <w:sz w:val="21"/>
                <w:szCs w:val="21"/>
                <w:lang w:val="en-US" w:eastAsia="zh-CN"/>
              </w:rPr>
              <w:t>分项</w:t>
            </w:r>
            <w:r>
              <w:rPr>
                <w:rFonts w:hint="eastAsia" w:asciiTheme="minorEastAsia" w:hAnsiTheme="minorEastAsia" w:eastAsiaTheme="minorEastAsia"/>
                <w:b/>
                <w:color w:val="0000FF"/>
                <w:sz w:val="21"/>
                <w:szCs w:val="21"/>
                <w:lang w:val="en-US" w:eastAsia="zh-CN"/>
              </w:rPr>
              <w:t>最高限价。</w:t>
            </w:r>
          </w:p>
          <w:p w14:paraId="78E13616">
            <w:pPr>
              <w:pStyle w:val="7"/>
              <w:rPr>
                <w:rFonts w:hint="eastAsia" w:asciiTheme="minorEastAsia" w:hAnsiTheme="minorEastAsia" w:eastAsiaTheme="minorEastAsia"/>
                <w:b/>
                <w:color w:val="0000FF"/>
                <w:sz w:val="21"/>
                <w:szCs w:val="21"/>
              </w:rPr>
            </w:pPr>
          </w:p>
          <w:p w14:paraId="30E65E86">
            <w:pPr>
              <w:pStyle w:val="3"/>
              <w:rPr>
                <w:rFonts w:hint="eastAsia"/>
              </w:rPr>
            </w:pPr>
          </w:p>
        </w:tc>
      </w:tr>
    </w:tbl>
    <w:p w14:paraId="369287A0">
      <w:pPr>
        <w:rPr>
          <w:rFonts w:hint="eastAsia"/>
        </w:rPr>
      </w:pPr>
    </w:p>
    <w:p w14:paraId="031CEA9A">
      <w:pPr>
        <w:pStyle w:val="7"/>
        <w:spacing w:line="560" w:lineRule="exact"/>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4B9610A9">
      <w:pPr>
        <w:rPr>
          <w:rFonts w:hAnsi="宋体"/>
          <w:b/>
          <w:bCs/>
          <w:color w:val="auto"/>
          <w:sz w:val="30"/>
          <w:szCs w:val="30"/>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5               </w:t>
      </w: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24EE3D50">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rFonts w:hint="eastAsia"/>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82"/>
        <w:gridCol w:w="808"/>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13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5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82" w:type="dxa"/>
            <w:vAlign w:val="center"/>
          </w:tcPr>
          <w:p w14:paraId="34BC4A96">
            <w:pPr>
              <w:jc w:val="center"/>
              <w:rPr>
                <w:rFonts w:ascii="宋体"/>
                <w:b/>
                <w:bCs/>
                <w:color w:val="auto"/>
                <w:szCs w:val="21"/>
              </w:rPr>
            </w:pPr>
            <w:r>
              <w:rPr>
                <w:rFonts w:hint="eastAsia" w:ascii="宋体"/>
                <w:b/>
                <w:bCs/>
                <w:color w:val="auto"/>
                <w:szCs w:val="21"/>
              </w:rPr>
              <w:t>技术参数</w:t>
            </w:r>
          </w:p>
        </w:tc>
        <w:tc>
          <w:tcPr>
            <w:tcW w:w="808"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750"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南宁中心血站2025年五一劳动节活动纪念品配送服务</w:t>
            </w:r>
          </w:p>
        </w:tc>
        <w:tc>
          <w:tcPr>
            <w:tcW w:w="3182" w:type="dxa"/>
            <w:vAlign w:val="center"/>
          </w:tcPr>
          <w:p w14:paraId="2D165048">
            <w:pPr>
              <w:numPr>
                <w:ilvl w:val="0"/>
                <w:numId w:val="0"/>
              </w:numPr>
              <w:spacing w:line="300" w:lineRule="exact"/>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一、项目基本情况：为回馈首府南宁无偿献血者，增强献血者的归属感、幸福感、获得感，营造浓厚的无偿献血社会氛围，结合工作需求，拟于4月26日至5月5日开展五一劳动节无偿献血宣传活动，</w:t>
            </w:r>
            <w:r>
              <w:rPr>
                <w:rFonts w:hint="eastAsia" w:ascii="宋体" w:hAnsi="宋体" w:eastAsia="宋体" w:cs="宋体"/>
                <w:color w:val="auto"/>
                <w:kern w:val="0"/>
                <w:sz w:val="21"/>
                <w:szCs w:val="21"/>
                <w:highlight w:val="none"/>
                <w:lang w:val="en-US" w:eastAsia="zh-CN"/>
              </w:rPr>
              <w:t>采购五一劳动节活动纪念品配送服务。</w:t>
            </w:r>
          </w:p>
          <w:p w14:paraId="23D3C68A">
            <w:pPr>
              <w:numPr>
                <w:ilvl w:val="0"/>
                <w:numId w:val="0"/>
              </w:numPr>
              <w:spacing w:line="300" w:lineRule="exact"/>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二、配送清单</w:t>
            </w:r>
          </w:p>
          <w:tbl>
            <w:tblPr>
              <w:tblStyle w:val="15"/>
              <w:tblW w:w="29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700"/>
              <w:gridCol w:w="1287"/>
              <w:gridCol w:w="525"/>
            </w:tblGrid>
            <w:tr w14:paraId="1B8E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noWrap w:val="0"/>
                  <w:vAlign w:val="center"/>
                </w:tcPr>
                <w:p w14:paraId="7F932922">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b/>
                      <w:bCs/>
                      <w:sz w:val="24"/>
                      <w:lang w:val="en-US" w:eastAsia="zh-CN"/>
                    </w:rPr>
                    <w:t>序号</w:t>
                  </w:r>
                </w:p>
              </w:tc>
              <w:tc>
                <w:tcPr>
                  <w:tcW w:w="700" w:type="dxa"/>
                  <w:noWrap w:val="0"/>
                  <w:vAlign w:val="center"/>
                </w:tcPr>
                <w:p w14:paraId="6F56BBC7">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b/>
                      <w:bCs/>
                      <w:sz w:val="24"/>
                      <w:lang w:val="en-US" w:eastAsia="zh-CN"/>
                    </w:rPr>
                    <w:t>货物</w:t>
                  </w:r>
                  <w:r>
                    <w:rPr>
                      <w:rFonts w:hint="eastAsia" w:ascii="仿宋_GB2312" w:hAnsi="仿宋_GB2312" w:eastAsia="仿宋_GB2312" w:cs="仿宋_GB2312"/>
                      <w:b/>
                      <w:bCs/>
                      <w:sz w:val="24"/>
                    </w:rPr>
                    <w:t>名称</w:t>
                  </w:r>
                </w:p>
              </w:tc>
              <w:tc>
                <w:tcPr>
                  <w:tcW w:w="1287" w:type="dxa"/>
                  <w:noWrap w:val="0"/>
                  <w:vAlign w:val="center"/>
                </w:tcPr>
                <w:p w14:paraId="2E4DBBD5">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b/>
                      <w:bCs/>
                      <w:sz w:val="24"/>
                      <w:lang w:val="en-US" w:eastAsia="zh-CN"/>
                    </w:rPr>
                    <w:t>技术</w:t>
                  </w:r>
                  <w:r>
                    <w:rPr>
                      <w:rFonts w:hint="eastAsia" w:ascii="仿宋_GB2312" w:hAnsi="仿宋_GB2312" w:eastAsia="仿宋_GB2312" w:cs="仿宋_GB2312"/>
                      <w:b/>
                      <w:bCs/>
                      <w:sz w:val="24"/>
                    </w:rPr>
                    <w:t>参数</w:t>
                  </w:r>
                </w:p>
              </w:tc>
              <w:tc>
                <w:tcPr>
                  <w:tcW w:w="525" w:type="dxa"/>
                  <w:noWrap w:val="0"/>
                  <w:vAlign w:val="center"/>
                </w:tcPr>
                <w:p w14:paraId="1D2EBF79">
                  <w:pPr>
                    <w:numPr>
                      <w:ilvl w:val="0"/>
                      <w:numId w:val="0"/>
                    </w:numPr>
                    <w:spacing w:line="300" w:lineRule="exact"/>
                    <w:jc w:val="both"/>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数量</w:t>
                  </w:r>
                </w:p>
              </w:tc>
            </w:tr>
            <w:tr w14:paraId="0D4B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noWrap w:val="0"/>
                  <w:vAlign w:val="center"/>
                </w:tcPr>
                <w:p w14:paraId="5C53449F">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4"/>
                      <w:lang w:val="en-US" w:eastAsia="zh-CN"/>
                    </w:rPr>
                    <w:t>1</w:t>
                  </w:r>
                </w:p>
              </w:tc>
              <w:tc>
                <w:tcPr>
                  <w:tcW w:w="700" w:type="dxa"/>
                  <w:noWrap w:val="0"/>
                  <w:vAlign w:val="center"/>
                </w:tcPr>
                <w:p w14:paraId="1B96BE89">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Times New Roman" w:hAnsi="Times New Roman" w:eastAsia="宋体" w:cs="Times New Roman"/>
                      <w:kern w:val="2"/>
                      <w:sz w:val="21"/>
                      <w:szCs w:val="24"/>
                      <w:lang w:val="en-US" w:eastAsia="zh-CN" w:bidi="ar-SA"/>
                    </w:rPr>
                    <w:t>水牛高钙奶</w:t>
                  </w:r>
                </w:p>
              </w:tc>
              <w:tc>
                <w:tcPr>
                  <w:tcW w:w="1287" w:type="dxa"/>
                  <w:noWrap w:val="0"/>
                  <w:vAlign w:val="center"/>
                </w:tcPr>
                <w:p w14:paraId="247D4959">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1、包装规格：≧200ML/盒，≧10盒/件。</w:t>
                  </w:r>
                </w:p>
                <w:p w14:paraId="21A0D900">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2、保质期：6个月。</w:t>
                  </w:r>
                </w:p>
                <w:p w14:paraId="61049CB2">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3、执行标准：GB25191。</w:t>
                  </w:r>
                </w:p>
                <w:p w14:paraId="62378FC7">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4、配料：生牛乳、水、生水牛乳、白砂糖、碳酸钙等。</w:t>
                  </w:r>
                </w:p>
                <w:p w14:paraId="7400E52B">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5、营养成分要求：每200ml含蛋白质≧4.8g、脂肪≧5.2g、钙≧240mg。</w:t>
                  </w:r>
                </w:p>
                <w:p w14:paraId="71C0B77F">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6、交货时，剩余保质期不少于产品标注保质期的三分之二。</w:t>
                  </w:r>
                </w:p>
                <w:p w14:paraId="69C62784">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0" w:leftChars="0" w:firstLineChars="0"/>
                    <w:textAlignment w:val="auto"/>
                    <w:rPr>
                      <w:rFonts w:hint="eastAsia" w:ascii="仿宋_GB2312" w:hAnsi="仿宋_GB2312" w:eastAsia="仿宋_GB2312" w:cs="仿宋_GB2312"/>
                      <w:color w:val="auto"/>
                      <w:sz w:val="28"/>
                      <w:szCs w:val="28"/>
                      <w:vertAlign w:val="baseline"/>
                      <w:lang w:val="en-US" w:eastAsia="zh-CN"/>
                    </w:rPr>
                  </w:pPr>
                  <w:r>
                    <w:rPr>
                      <w:rFonts w:hint="eastAsia" w:ascii="Times New Roman" w:hAnsi="Times New Roman" w:eastAsia="宋体" w:cs="Times New Roman"/>
                      <w:color w:val="auto"/>
                      <w:kern w:val="0"/>
                      <w:sz w:val="21"/>
                      <w:szCs w:val="21"/>
                      <w:highlight w:val="none"/>
                      <w:lang w:val="en-US" w:eastAsia="zh-CN" w:bidi="ar-SA"/>
                    </w:rPr>
                    <w:t>7、响应供应商须提供</w:t>
                  </w:r>
                  <w:r>
                    <w:rPr>
                      <w:rFonts w:hint="eastAsia" w:ascii="Times New Roman" w:hAnsi="Times New Roman" w:eastAsia="宋体" w:cs="Times New Roman"/>
                      <w:b/>
                      <w:bCs/>
                      <w:color w:val="auto"/>
                      <w:kern w:val="0"/>
                      <w:sz w:val="21"/>
                      <w:szCs w:val="21"/>
                      <w:highlight w:val="none"/>
                      <w:lang w:val="en-US" w:eastAsia="zh-CN" w:bidi="ar-SA"/>
                    </w:rPr>
                    <w:t>响应产品图片</w:t>
                  </w:r>
                  <w:r>
                    <w:rPr>
                      <w:rFonts w:hint="eastAsia" w:ascii="Times New Roman" w:hAnsi="Times New Roman" w:eastAsia="宋体" w:cs="Times New Roman"/>
                      <w:color w:val="auto"/>
                      <w:kern w:val="0"/>
                      <w:sz w:val="21"/>
                      <w:szCs w:val="21"/>
                      <w:highlight w:val="none"/>
                      <w:lang w:val="en-US" w:eastAsia="zh-CN" w:bidi="ar-SA"/>
                    </w:rPr>
                    <w:t>，便于于项目评审需要，图片应清晰显示营养成品表及配料表，同时作为最终交货产品</w:t>
                  </w:r>
                  <w:r>
                    <w:rPr>
                      <w:rFonts w:hint="eastAsia" w:cs="Times New Roman"/>
                      <w:color w:val="auto"/>
                      <w:kern w:val="0"/>
                      <w:sz w:val="21"/>
                      <w:szCs w:val="21"/>
                      <w:highlight w:val="none"/>
                      <w:lang w:val="en-US" w:eastAsia="zh-CN" w:bidi="ar-SA"/>
                    </w:rPr>
                    <w:t>参考</w:t>
                  </w:r>
                  <w:r>
                    <w:rPr>
                      <w:rFonts w:hint="eastAsia" w:ascii="Times New Roman" w:hAnsi="Times New Roman" w:eastAsia="宋体" w:cs="Times New Roman"/>
                      <w:color w:val="auto"/>
                      <w:kern w:val="0"/>
                      <w:sz w:val="21"/>
                      <w:szCs w:val="21"/>
                      <w:highlight w:val="none"/>
                      <w:lang w:val="en-US" w:eastAsia="zh-CN" w:bidi="ar-SA"/>
                    </w:rPr>
                    <w:t>。</w:t>
                  </w:r>
                </w:p>
              </w:tc>
              <w:tc>
                <w:tcPr>
                  <w:tcW w:w="525" w:type="dxa"/>
                  <w:noWrap w:val="0"/>
                  <w:vAlign w:val="center"/>
                </w:tcPr>
                <w:p w14:paraId="43E57F23">
                  <w:pPr>
                    <w:numPr>
                      <w:ilvl w:val="0"/>
                      <w:numId w:val="0"/>
                    </w:numPr>
                    <w:spacing w:line="300" w:lineRule="exact"/>
                    <w:jc w:val="both"/>
                    <w:rPr>
                      <w:rFonts w:hint="eastAsia" w:ascii="仿宋_GB2312" w:hAnsi="仿宋_GB2312" w:eastAsia="仿宋_GB2312" w:cs="仿宋_GB2312"/>
                      <w:sz w:val="28"/>
                      <w:szCs w:val="28"/>
                      <w:vertAlign w:val="baseline"/>
                      <w:lang w:val="en-US" w:eastAsia="zh-CN"/>
                    </w:rPr>
                  </w:pPr>
                  <w:r>
                    <w:rPr>
                      <w:rFonts w:hint="eastAsia" w:ascii="宋体" w:hAnsi="宋体" w:eastAsia="宋体" w:cs="宋体"/>
                      <w:color w:val="auto"/>
                      <w:kern w:val="0"/>
                      <w:sz w:val="21"/>
                      <w:szCs w:val="21"/>
                      <w:highlight w:val="none"/>
                      <w:lang w:val="en-US" w:eastAsia="zh-CN" w:bidi="ar-SA"/>
                    </w:rPr>
                    <w:t>1000件</w:t>
                  </w:r>
                </w:p>
              </w:tc>
            </w:tr>
            <w:tr w14:paraId="22F3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noWrap w:val="0"/>
                  <w:vAlign w:val="center"/>
                </w:tcPr>
                <w:p w14:paraId="2B193BA1">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firstLineChars="100"/>
                    <w:textAlignment w:val="auto"/>
                    <w:rPr>
                      <w:rFonts w:hint="eastAsia" w:ascii="仿宋_GB2312" w:hAnsi="仿宋_GB2312" w:eastAsia="仿宋_GB2312" w:cs="仿宋_GB2312"/>
                      <w:sz w:val="28"/>
                      <w:szCs w:val="28"/>
                      <w:vertAlign w:val="baseline"/>
                      <w:lang w:val="en-US" w:eastAsia="zh-CN"/>
                    </w:rPr>
                  </w:pPr>
                  <w:r>
                    <w:rPr>
                      <w:rFonts w:hint="eastAsia"/>
                      <w:lang w:val="en-US" w:eastAsia="zh-CN"/>
                    </w:rPr>
                    <w:t>2</w:t>
                  </w:r>
                </w:p>
              </w:tc>
              <w:tc>
                <w:tcPr>
                  <w:tcW w:w="700" w:type="dxa"/>
                  <w:noWrap w:val="0"/>
                  <w:vAlign w:val="center"/>
                </w:tcPr>
                <w:p w14:paraId="56730C5B">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sz w:val="28"/>
                      <w:szCs w:val="28"/>
                      <w:vertAlign w:val="baseline"/>
                      <w:lang w:val="en-US" w:eastAsia="zh-CN"/>
                    </w:rPr>
                  </w:pPr>
                  <w:r>
                    <w:rPr>
                      <w:rFonts w:hint="eastAsia"/>
                      <w:lang w:val="en-US" w:eastAsia="zh-CN"/>
                    </w:rPr>
                    <w:t>酸奶</w:t>
                  </w:r>
                </w:p>
              </w:tc>
              <w:tc>
                <w:tcPr>
                  <w:tcW w:w="1287" w:type="dxa"/>
                  <w:noWrap w:val="0"/>
                  <w:vAlign w:val="center"/>
                </w:tcPr>
                <w:p w14:paraId="3DF064F5">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1、包装规格：≧200g/盒 ≧12盒/件。</w:t>
                  </w:r>
                </w:p>
                <w:p w14:paraId="1D56E21A">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2、保质期：6个月。</w:t>
                  </w:r>
                </w:p>
                <w:p w14:paraId="15D57F46">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3、执行标准：GB/T21732。</w:t>
                  </w:r>
                </w:p>
                <w:p w14:paraId="0A8B5D9F">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4、配料：水、发酵乳（水、乳粉、德氏乳杆菌保加利亚亚种、唾液链球菌嗜热亚种）、白砂糖、果葡糖浆、食品添加剂等</w:t>
                  </w:r>
                </w:p>
                <w:p w14:paraId="28387408">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5、营养成分要求：每200ml含蛋白质≧2.2g、脂肪≧2.4g、钙≧195mg。</w:t>
                  </w:r>
                </w:p>
                <w:p w14:paraId="505C5362">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6、交货时，剩余保质期不少于产品标注保质期的三分之二。</w:t>
                  </w:r>
                </w:p>
                <w:p w14:paraId="127D02CC">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0" w:leftChars="0" w:firstLineChars="0"/>
                    <w:textAlignment w:val="auto"/>
                    <w:rPr>
                      <w:rFonts w:hint="eastAsia" w:ascii="仿宋_GB2312" w:hAnsi="仿宋_GB2312" w:eastAsia="仿宋_GB2312" w:cs="仿宋_GB2312"/>
                      <w:color w:val="auto"/>
                      <w:sz w:val="28"/>
                      <w:szCs w:val="28"/>
                      <w:vertAlign w:val="baseline"/>
                      <w:lang w:val="en-US" w:eastAsia="zh-CN"/>
                    </w:rPr>
                  </w:pPr>
                  <w:r>
                    <w:rPr>
                      <w:rFonts w:hint="eastAsia" w:ascii="Times New Roman" w:hAnsi="Times New Roman" w:eastAsia="宋体" w:cs="Times New Roman"/>
                      <w:color w:val="auto"/>
                      <w:kern w:val="0"/>
                      <w:sz w:val="21"/>
                      <w:szCs w:val="21"/>
                      <w:highlight w:val="none"/>
                      <w:lang w:val="en-US" w:eastAsia="zh-CN" w:bidi="ar-SA"/>
                    </w:rPr>
                    <w:t>7、响应供应商须提供</w:t>
                  </w:r>
                  <w:r>
                    <w:rPr>
                      <w:rFonts w:hint="eastAsia" w:ascii="Times New Roman" w:hAnsi="Times New Roman" w:eastAsia="宋体" w:cs="Times New Roman"/>
                      <w:b/>
                      <w:bCs/>
                      <w:color w:val="auto"/>
                      <w:kern w:val="0"/>
                      <w:sz w:val="21"/>
                      <w:szCs w:val="21"/>
                      <w:highlight w:val="none"/>
                      <w:lang w:val="en-US" w:eastAsia="zh-CN" w:bidi="ar-SA"/>
                    </w:rPr>
                    <w:t>响应产品图片</w:t>
                  </w:r>
                  <w:r>
                    <w:rPr>
                      <w:rFonts w:hint="eastAsia" w:ascii="Times New Roman" w:hAnsi="Times New Roman" w:eastAsia="宋体" w:cs="Times New Roman"/>
                      <w:color w:val="auto"/>
                      <w:kern w:val="0"/>
                      <w:sz w:val="21"/>
                      <w:szCs w:val="21"/>
                      <w:highlight w:val="none"/>
                      <w:lang w:val="en-US" w:eastAsia="zh-CN" w:bidi="ar-SA"/>
                    </w:rPr>
                    <w:t>，便于于项目评审需要，图片应清晰显示营养成品表及配料表，同时作为最终交货产品</w:t>
                  </w:r>
                  <w:r>
                    <w:rPr>
                      <w:rFonts w:hint="eastAsia" w:cs="Times New Roman"/>
                      <w:color w:val="auto"/>
                      <w:kern w:val="0"/>
                      <w:sz w:val="21"/>
                      <w:szCs w:val="21"/>
                      <w:highlight w:val="none"/>
                      <w:lang w:val="en-US" w:eastAsia="zh-CN" w:bidi="ar-SA"/>
                    </w:rPr>
                    <w:t>参考</w:t>
                  </w:r>
                  <w:r>
                    <w:rPr>
                      <w:rFonts w:hint="eastAsia" w:ascii="Times New Roman" w:hAnsi="Times New Roman" w:eastAsia="宋体" w:cs="Times New Roman"/>
                      <w:color w:val="auto"/>
                      <w:kern w:val="0"/>
                      <w:sz w:val="21"/>
                      <w:szCs w:val="21"/>
                      <w:highlight w:val="none"/>
                      <w:lang w:val="en-US" w:eastAsia="zh-CN" w:bidi="ar-SA"/>
                    </w:rPr>
                    <w:t>。</w:t>
                  </w:r>
                </w:p>
              </w:tc>
              <w:tc>
                <w:tcPr>
                  <w:tcW w:w="525" w:type="dxa"/>
                  <w:noWrap w:val="0"/>
                  <w:vAlign w:val="center"/>
                </w:tcPr>
                <w:p w14:paraId="5CE0A166">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sz w:val="28"/>
                      <w:szCs w:val="28"/>
                      <w:vertAlign w:val="baseline"/>
                      <w:lang w:val="en-US" w:eastAsia="zh-CN"/>
                    </w:rPr>
                  </w:pPr>
                  <w:r>
                    <w:rPr>
                      <w:rFonts w:hint="eastAsia" w:ascii="宋体" w:hAnsi="宋体" w:eastAsia="宋体" w:cs="宋体"/>
                      <w:color w:val="auto"/>
                      <w:kern w:val="0"/>
                      <w:szCs w:val="21"/>
                      <w:highlight w:val="none"/>
                      <w:lang w:val="en-US" w:eastAsia="zh-CN"/>
                    </w:rPr>
                    <w:t>1000件</w:t>
                  </w:r>
                </w:p>
              </w:tc>
            </w:tr>
          </w:tbl>
          <w:p w14:paraId="1D62CA2F">
            <w:pPr>
              <w:keepNext w:val="0"/>
              <w:keepLines w:val="0"/>
              <w:pageBreakBefore w:val="0"/>
              <w:widowControl w:val="0"/>
              <w:numPr>
                <w:ilvl w:val="0"/>
                <w:numId w:val="0"/>
              </w:numPr>
              <w:kinsoku/>
              <w:wordWrap/>
              <w:overflowPunct/>
              <w:topLinePunct w:val="0"/>
              <w:autoSpaceDE/>
              <w:autoSpaceDN/>
              <w:bidi w:val="0"/>
              <w:adjustRightInd/>
              <w:snapToGrid/>
              <w:spacing w:after="0" w:line="300" w:lineRule="exact"/>
              <w:textAlignment w:val="auto"/>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三、配送要求：响应供应商确保在采购人规定的时间内一次性配送至南宁市区内9个捐血点，暂定配送时间：2025年4月26日送达采购人指定地点（具体时间以采购人最终确认时间为准）。</w:t>
            </w:r>
          </w:p>
          <w:p w14:paraId="14AB0610">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0"/>
                <w:sz w:val="21"/>
                <w:szCs w:val="21"/>
                <w:highlight w:val="none"/>
                <w:lang w:val="en-US" w:eastAsia="zh-CN" w:bidi="ar-SA"/>
              </w:rPr>
              <w:t>四、其他要求：响应供应商结合自身服务能力提供响应配送方案、售后服务方案等配送实施方案。（如有请提供）</w:t>
            </w:r>
          </w:p>
        </w:tc>
        <w:tc>
          <w:tcPr>
            <w:tcW w:w="808"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南宁中心血站2025年五一劳动节活动纪念品配送服务</w:t>
            </w:r>
          </w:p>
        </w:tc>
        <w:tc>
          <w:tcPr>
            <w:tcW w:w="2750"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both"/>
        <w:rPr>
          <w:rFonts w:hint="eastAsia" w:ascii="宋体" w:hAnsi="宋体"/>
          <w:b/>
          <w:color w:val="auto"/>
          <w:sz w:val="36"/>
          <w:szCs w:val="36"/>
        </w:rPr>
      </w:pP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48335758">
      <w:pPr>
        <w:pStyle w:val="36"/>
        <w:ind w:firstLine="462" w:firstLineChars="200"/>
      </w:pPr>
      <w:r>
        <w:rPr>
          <w:rFonts w:hint="eastAsia" w:ascii="宋体" w:hAnsi="宋体" w:cs="宋体"/>
          <w:b/>
          <w:sz w:val="21"/>
          <w:szCs w:val="21"/>
        </w:rPr>
        <w:t>本采购</w:t>
      </w:r>
      <w:r>
        <w:rPr>
          <w:rFonts w:hint="eastAsia" w:ascii="宋体" w:hAnsi="宋体" w:cs="宋体"/>
          <w:b/>
          <w:sz w:val="21"/>
          <w:szCs w:val="21"/>
          <w:lang w:val="en-US" w:eastAsia="zh-CN"/>
        </w:rPr>
        <w:t>项目商务</w:t>
      </w:r>
      <w:r>
        <w:rPr>
          <w:rFonts w:hint="eastAsia" w:ascii="宋体" w:hAnsi="宋体" w:cs="宋体"/>
          <w:b/>
          <w:sz w:val="21"/>
          <w:szCs w:val="21"/>
        </w:rPr>
        <w:t>需要全部满足，不允许负偏离，负偏离视为无效响应</w:t>
      </w:r>
      <w:r>
        <w:rPr>
          <w:rFonts w:hint="eastAsia" w:hAnsi="宋体"/>
          <w:b/>
          <w:sz w:val="21"/>
          <w:szCs w:val="21"/>
        </w:rPr>
        <w:t>。</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1AAE637B">
            <w:pPr>
              <w:widowControl/>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color w:val="000000"/>
                <w:kern w:val="0"/>
                <w:szCs w:val="21"/>
              </w:rPr>
              <w:t>一、合同签订期</w:t>
            </w:r>
            <w:r>
              <w:rPr>
                <w:rFonts w:hint="eastAsia" w:ascii="宋体" w:hAnsi="宋体"/>
                <w:b/>
                <w:bCs/>
                <w:color w:val="auto"/>
                <w:kern w:val="0"/>
                <w:szCs w:val="21"/>
              </w:rPr>
              <w:t>：</w:t>
            </w:r>
            <w:r>
              <w:rPr>
                <w:rFonts w:hint="eastAsia" w:ascii="宋体" w:hAnsi="宋体"/>
                <w:color w:val="auto"/>
                <w:kern w:val="0"/>
                <w:szCs w:val="21"/>
              </w:rPr>
              <w:t>自成交通知书发出之日起 5个工作日内。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7E655245">
            <w:pPr>
              <w:widowControl/>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color w:val="auto"/>
                <w:kern w:val="0"/>
                <w:szCs w:val="21"/>
              </w:rPr>
              <w:t>二、交货期：</w:t>
            </w:r>
            <w:r>
              <w:rPr>
                <w:rFonts w:hint="eastAsia" w:cs="Times New Roman"/>
                <w:color w:val="auto"/>
                <w:kern w:val="0"/>
                <w:sz w:val="21"/>
                <w:szCs w:val="21"/>
                <w:highlight w:val="none"/>
                <w:lang w:val="en-US" w:eastAsia="zh-CN" w:bidi="ar-SA"/>
              </w:rPr>
              <w:t>暂定配送时间2025年4月26日具体时间以采购人最终确认时间为准</w:t>
            </w:r>
            <w:r>
              <w:rPr>
                <w:rFonts w:hint="eastAsia" w:ascii="宋体" w:hAnsi="宋体"/>
                <w:color w:val="auto"/>
                <w:kern w:val="0"/>
                <w:szCs w:val="21"/>
              </w:rPr>
              <w:t>。</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2504072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29813D7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color w:val="auto"/>
                <w:kern w:val="0"/>
                <w:szCs w:val="21"/>
              </w:rPr>
              <w:t>三、交货地点：</w:t>
            </w:r>
            <w:r>
              <w:rPr>
                <w:rFonts w:hint="eastAsia" w:ascii="宋体" w:hAnsi="宋体"/>
                <w:color w:val="auto"/>
                <w:kern w:val="0"/>
                <w:szCs w:val="21"/>
                <w:lang w:val="en-US" w:eastAsia="zh-CN"/>
              </w:rPr>
              <w:t>按采购人计划配送至南宁市内各采血点</w:t>
            </w:r>
            <w:r>
              <w:rPr>
                <w:rFonts w:hint="eastAsia" w:ascii="宋体" w:hAnsi="宋体"/>
                <w:color w:val="auto"/>
                <w:kern w:val="0"/>
                <w:szCs w:val="21"/>
              </w:rPr>
              <w:t>。</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29FFF0A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0A311DF3">
            <w:pPr>
              <w:widowControl/>
              <w:rPr>
                <w:rFonts w:ascii="宋体" w:hAnsi="宋体"/>
                <w:b/>
                <w:bCs/>
                <w:color w:val="000000"/>
                <w:kern w:val="0"/>
                <w:szCs w:val="21"/>
              </w:rPr>
            </w:pPr>
            <w:r>
              <w:rPr>
                <w:rFonts w:hint="eastAsia" w:ascii="宋体" w:hAnsi="宋体"/>
                <w:b/>
                <w:bCs/>
                <w:color w:val="000000"/>
                <w:kern w:val="0"/>
                <w:szCs w:val="21"/>
              </w:rPr>
              <w:t>四、交货方式及要求：</w:t>
            </w:r>
          </w:p>
          <w:p w14:paraId="449F3777">
            <w:pPr>
              <w:widowControl/>
              <w:rPr>
                <w:rFonts w:hint="eastAsia" w:ascii="宋体" w:hAnsi="宋体" w:eastAsia="宋体"/>
                <w:color w:val="000000"/>
                <w:kern w:val="0"/>
                <w:szCs w:val="21"/>
                <w:lang w:eastAsia="zh-CN"/>
              </w:rPr>
            </w:pPr>
            <w:r>
              <w:rPr>
                <w:rFonts w:hint="eastAsia" w:ascii="宋体" w:hAnsi="宋体"/>
                <w:color w:val="000000"/>
                <w:kern w:val="0"/>
                <w:szCs w:val="21"/>
              </w:rPr>
              <w:t>1、交货方式：现场交货</w:t>
            </w:r>
            <w:r>
              <w:rPr>
                <w:rFonts w:hint="eastAsia" w:ascii="宋体" w:hAnsi="宋体"/>
                <w:color w:val="000000"/>
                <w:kern w:val="0"/>
                <w:szCs w:val="21"/>
                <w:lang w:eastAsia="zh-CN"/>
              </w:rPr>
              <w:t>，</w:t>
            </w:r>
            <w:r>
              <w:rPr>
                <w:rFonts w:hint="eastAsia" w:cs="Times New Roman"/>
                <w:color w:val="auto"/>
                <w:kern w:val="0"/>
                <w:sz w:val="21"/>
                <w:szCs w:val="21"/>
                <w:highlight w:val="none"/>
                <w:lang w:val="en-US" w:eastAsia="zh-CN" w:bidi="ar-SA"/>
              </w:rPr>
              <w:t>响应供应商按采购人需求分别配送至南宁市区内9个捐血点。</w:t>
            </w:r>
          </w:p>
          <w:p w14:paraId="7F01AE40">
            <w:pPr>
              <w:widowControl/>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000000"/>
                <w:kern w:val="0"/>
                <w:szCs w:val="21"/>
              </w:rPr>
              <w:t>2、交货要求：成交人向采购人提供的货物必须是全新、完整、未使用过的，货物到达后，成交人和采购人应在现场进行清点，清点过程中如果发现因包装或运输不当引起的产品外观或内部的损坏，成交人应负责更换，若发现错发/漏发情况，成交人应负责更换和补发。</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640" w:type="dxa"/>
            <w:vAlign w:val="center"/>
          </w:tcPr>
          <w:p w14:paraId="3A6A8F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70E0BD57">
            <w:pPr>
              <w:widowControl/>
              <w:rPr>
                <w:rFonts w:ascii="宋体" w:hAnsi="宋体"/>
                <w:b/>
                <w:bCs/>
                <w:color w:val="000000"/>
                <w:kern w:val="0"/>
                <w:szCs w:val="21"/>
              </w:rPr>
            </w:pPr>
            <w:r>
              <w:rPr>
                <w:rFonts w:hint="eastAsia" w:ascii="宋体" w:hAnsi="宋体"/>
                <w:b/>
                <w:bCs/>
                <w:color w:val="000000"/>
                <w:kern w:val="0"/>
                <w:szCs w:val="21"/>
              </w:rPr>
              <w:t>五、验收方式及要求：</w:t>
            </w:r>
          </w:p>
          <w:p w14:paraId="56214DFB">
            <w:pPr>
              <w:widowControl/>
              <w:jc w:val="left"/>
              <w:rPr>
                <w:rFonts w:ascii="宋体" w:hAnsi="宋体"/>
                <w:color w:val="000000"/>
                <w:kern w:val="0"/>
                <w:szCs w:val="21"/>
              </w:rPr>
            </w:pPr>
            <w:r>
              <w:rPr>
                <w:rFonts w:hint="eastAsia" w:ascii="宋体" w:hAnsi="宋体"/>
                <w:color w:val="000000"/>
                <w:kern w:val="0"/>
                <w:szCs w:val="21"/>
              </w:rPr>
              <w:t>1、交货时，所有产品均严格按采购文件上的技术参数要求，采购人按成交人响应和承诺的技术参数及性能和国家有关标准进行验收，达不到要求的不予验收，视为产品验收不合格，并且保留追究成交人虚假响应的法律责任。</w:t>
            </w:r>
          </w:p>
          <w:p w14:paraId="7F9A36DC">
            <w:pPr>
              <w:widowControl/>
              <w:jc w:val="lef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000000"/>
                <w:kern w:val="0"/>
                <w:szCs w:val="21"/>
              </w:rPr>
              <w:t>2、按要求供货到现场(包括包装、卸货及搬运)。</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404A9CCD">
            <w:pPr>
              <w:widowControl/>
              <w:jc w:val="left"/>
              <w:rPr>
                <w:rFonts w:ascii="宋体" w:hAnsi="宋体"/>
                <w:b/>
                <w:bCs/>
                <w:color w:val="000000"/>
                <w:kern w:val="0"/>
                <w:szCs w:val="21"/>
              </w:rPr>
            </w:pPr>
            <w:r>
              <w:rPr>
                <w:rFonts w:hint="eastAsia" w:ascii="宋体" w:hAnsi="宋体"/>
                <w:b/>
                <w:bCs/>
                <w:color w:val="000000"/>
                <w:kern w:val="0"/>
                <w:szCs w:val="21"/>
              </w:rPr>
              <w:t>六、售后服务要求：</w:t>
            </w:r>
          </w:p>
          <w:p w14:paraId="41197534">
            <w:pPr>
              <w:widowControl/>
              <w:jc w:val="left"/>
              <w:rPr>
                <w:rFonts w:ascii="宋体" w:hAnsi="宋体"/>
                <w:color w:val="000000"/>
                <w:kern w:val="0"/>
                <w:szCs w:val="21"/>
              </w:rPr>
            </w:pPr>
            <w:r>
              <w:rPr>
                <w:rFonts w:hint="eastAsia" w:ascii="宋体" w:hAnsi="宋体"/>
                <w:color w:val="000000"/>
                <w:kern w:val="0"/>
                <w:szCs w:val="21"/>
              </w:rPr>
              <w:t>1、质量保证期内按国家有关产品“三包”规定执行“三包”，质量保证期内因产品质量问题发生的相关费用由成交人承担。</w:t>
            </w:r>
          </w:p>
          <w:p w14:paraId="1C00CE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000000"/>
                <w:kern w:val="0"/>
                <w:szCs w:val="21"/>
              </w:rPr>
              <w:t>2、服务响应时间：对于服务请求，须在20分钟内响应；一般问题8小时内解决；对于重大问题不能超过48小时解决且要求4小时内到现场服务。</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C829A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338FDB60">
            <w:pPr>
              <w:spacing w:line="420" w:lineRule="exact"/>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7</w:t>
            </w:r>
          </w:p>
        </w:tc>
        <w:tc>
          <w:tcPr>
            <w:tcW w:w="3494" w:type="dxa"/>
            <w:vAlign w:val="center"/>
          </w:tcPr>
          <w:p w14:paraId="0DF82C00">
            <w:pPr>
              <w:widowControl/>
              <w:jc w:val="left"/>
              <w:rPr>
                <w:rFonts w:ascii="宋体" w:hAnsi="宋体"/>
                <w:b/>
                <w:bCs/>
                <w:color w:val="000000"/>
                <w:kern w:val="0"/>
                <w:szCs w:val="21"/>
              </w:rPr>
            </w:pPr>
            <w:r>
              <w:rPr>
                <w:rFonts w:hint="eastAsia" w:ascii="宋体" w:hAnsi="宋体"/>
                <w:b/>
                <w:bCs/>
                <w:color w:val="000000"/>
                <w:kern w:val="0"/>
                <w:szCs w:val="21"/>
              </w:rPr>
              <w:t>七、其他要求：</w:t>
            </w:r>
          </w:p>
          <w:p w14:paraId="38C060FD">
            <w:pPr>
              <w:widowControl/>
              <w:jc w:val="left"/>
              <w:rPr>
                <w:rFonts w:ascii="宋体" w:hAnsi="宋体"/>
                <w:color w:val="000000"/>
                <w:kern w:val="0"/>
                <w:szCs w:val="21"/>
              </w:rPr>
            </w:pPr>
            <w:r>
              <w:rPr>
                <w:rFonts w:hint="eastAsia" w:ascii="宋体" w:hAnsi="宋体"/>
                <w:color w:val="000000"/>
                <w:kern w:val="0"/>
                <w:szCs w:val="21"/>
              </w:rPr>
              <w:t>1、报价为采购人指定地点的现场交货价，包括：</w:t>
            </w:r>
          </w:p>
          <w:p w14:paraId="00C1D9A6">
            <w:pPr>
              <w:widowControl/>
              <w:jc w:val="left"/>
              <w:rPr>
                <w:rFonts w:ascii="宋体" w:hAnsi="宋体"/>
                <w:color w:val="000000"/>
                <w:kern w:val="0"/>
                <w:szCs w:val="21"/>
              </w:rPr>
            </w:pPr>
            <w:r>
              <w:rPr>
                <w:rFonts w:hint="eastAsia" w:ascii="宋体" w:hAnsi="宋体"/>
                <w:color w:val="000000"/>
                <w:kern w:val="0"/>
                <w:szCs w:val="21"/>
              </w:rPr>
              <w:t>（1）货物的价格；</w:t>
            </w:r>
          </w:p>
          <w:p w14:paraId="6D984D89">
            <w:pPr>
              <w:widowControl/>
              <w:jc w:val="left"/>
              <w:rPr>
                <w:rFonts w:ascii="宋体" w:hAnsi="宋体"/>
                <w:color w:val="000000"/>
                <w:kern w:val="0"/>
                <w:szCs w:val="21"/>
              </w:rPr>
            </w:pPr>
            <w:r>
              <w:rPr>
                <w:rFonts w:hint="eastAsia" w:ascii="宋体" w:hAnsi="宋体"/>
                <w:color w:val="000000"/>
                <w:kern w:val="0"/>
                <w:szCs w:val="21"/>
              </w:rPr>
              <w:t>（2）货物的标准附件配件、备品备件、专用工具的价格；</w:t>
            </w:r>
          </w:p>
          <w:p w14:paraId="35BA0075">
            <w:pPr>
              <w:widowControl/>
              <w:jc w:val="left"/>
              <w:rPr>
                <w:rFonts w:ascii="宋体" w:hAnsi="宋体"/>
                <w:color w:val="000000"/>
                <w:kern w:val="0"/>
                <w:szCs w:val="21"/>
              </w:rPr>
            </w:pPr>
            <w:r>
              <w:rPr>
                <w:rFonts w:hint="eastAsia" w:ascii="宋体" w:hAnsi="宋体"/>
                <w:color w:val="000000"/>
                <w:kern w:val="0"/>
                <w:szCs w:val="21"/>
              </w:rPr>
              <w:t>（3）运输、装卸、搬运、技术支持、售后服务等费用；</w:t>
            </w:r>
          </w:p>
          <w:p w14:paraId="5C5010E6">
            <w:pPr>
              <w:widowControl/>
              <w:jc w:val="left"/>
              <w:rPr>
                <w:rFonts w:ascii="宋体" w:hAnsi="宋体"/>
                <w:color w:val="000000"/>
                <w:kern w:val="0"/>
                <w:szCs w:val="21"/>
              </w:rPr>
            </w:pPr>
            <w:r>
              <w:rPr>
                <w:rFonts w:hint="eastAsia" w:ascii="宋体" w:hAnsi="宋体"/>
                <w:color w:val="000000"/>
                <w:kern w:val="0"/>
                <w:szCs w:val="21"/>
              </w:rPr>
              <w:t>（4）必要的保险费用和各项税费。</w:t>
            </w:r>
          </w:p>
          <w:p w14:paraId="4282DE26">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000000"/>
                <w:kern w:val="0"/>
                <w:szCs w:val="21"/>
              </w:rPr>
              <w:t>2、付款方式：货物交货完毕并经采购人验收合格后，采购人一次性支付合同款（付款前成交人需开具等额合规的增值税发票）</w:t>
            </w:r>
          </w:p>
        </w:tc>
        <w:tc>
          <w:tcPr>
            <w:tcW w:w="3225" w:type="dxa"/>
            <w:vAlign w:val="center"/>
          </w:tcPr>
          <w:p w14:paraId="5484E2A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110CE26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0D4E42C">
      <w:pPr>
        <w:pStyle w:val="13"/>
        <w:rPr>
          <w:rFonts w:hint="eastAsia" w:asciiTheme="minorEastAsia" w:hAnsiTheme="minorEastAsia" w:eastAsiaTheme="minorEastAsia" w:cstheme="minorEastAsia"/>
          <w:color w:val="auto"/>
          <w:kern w:val="2"/>
          <w:sz w:val="21"/>
          <w:szCs w:val="21"/>
          <w:lang w:val="en-US" w:eastAsia="zh-CN" w:bidi="ar-SA"/>
        </w:rPr>
      </w:pPr>
    </w:p>
    <w:p w14:paraId="1EEB3AD3">
      <w:pPr>
        <w:pStyle w:val="13"/>
        <w:rPr>
          <w:rFonts w:hint="eastAsia" w:asciiTheme="minorEastAsia" w:hAnsiTheme="minorEastAsia" w:eastAsiaTheme="minorEastAsia" w:cstheme="minorEastAsia"/>
          <w:color w:val="auto"/>
          <w:kern w:val="2"/>
          <w:sz w:val="21"/>
          <w:szCs w:val="21"/>
          <w:lang w:val="en-US" w:eastAsia="zh-CN" w:bidi="ar-SA"/>
        </w:rPr>
      </w:pPr>
    </w:p>
    <w:p w14:paraId="1A44BA80">
      <w:pPr>
        <w:pStyle w:val="13"/>
        <w:ind w:left="0" w:leftChars="0" w:firstLine="0" w:firstLineChars="0"/>
        <w:rPr>
          <w:rFonts w:hint="eastAsia" w:asciiTheme="minorEastAsia" w:hAnsiTheme="minorEastAsia" w:eastAsiaTheme="minorEastAsia" w:cstheme="minorEastAsia"/>
          <w:color w:val="auto"/>
          <w:kern w:val="2"/>
          <w:sz w:val="21"/>
          <w:szCs w:val="21"/>
          <w:lang w:val="en-US" w:eastAsia="zh-CN" w:bidi="ar-SA"/>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南宁中心血站2025年五一劳动节活动纪念品配送服务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2"/>
        <w:rPr>
          <w:rFonts w:hint="eastAsia" w:hAnsi="宋体"/>
        </w:rPr>
      </w:pPr>
    </w:p>
    <w:p w14:paraId="1B89841F">
      <w:pPr>
        <w:pStyle w:val="7"/>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52B66D-37ED-4533-B7DF-E8BDB68FDBB6}"/>
  </w:font>
  <w:font w:name="Courier New">
    <w:panose1 w:val="02070309020205020404"/>
    <w:charset w:val="01"/>
    <w:family w:val="modern"/>
    <w:pitch w:val="default"/>
    <w:sig w:usb0="E0002EFF" w:usb1="C0007843" w:usb2="00000009" w:usb3="00000000" w:csb0="400001FF" w:csb1="FFFF0000"/>
    <w:embedRegular r:id="rId2" w:fontKey="{11CFB5A1-70C4-4B12-9A0E-EEE18EBB1DD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9809E37-0CE5-4E9F-B8E6-0072BA8AEDF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0E968D8A-5510-4555-AFBB-1FA3CAFC987F}"/>
  </w:font>
  <w:font w:name="仿宋_GB2312">
    <w:panose1 w:val="02010609030101010101"/>
    <w:charset w:val="86"/>
    <w:family w:val="modern"/>
    <w:pitch w:val="default"/>
    <w:sig w:usb0="00000001" w:usb1="080E0000" w:usb2="00000000" w:usb3="00000000" w:csb0="00040000" w:csb1="00000000"/>
    <w:embedRegular r:id="rId5" w:fontKey="{C898701D-8368-4530-BA76-6E8DC028D8A4}"/>
  </w:font>
  <w:font w:name="Lucida Sans Unicode">
    <w:panose1 w:val="020B0602030504020204"/>
    <w:charset w:val="00"/>
    <w:family w:val="swiss"/>
    <w:pitch w:val="default"/>
    <w:sig w:usb0="80001AFF" w:usb1="0000396B" w:usb2="00000000" w:usb3="00000000" w:csb0="200000BF" w:csb1="D7F70000"/>
    <w:embedRegular r:id="rId6" w:fontKey="{43A5E1C0-FD5A-4FBA-90DA-DADC502E7647}"/>
  </w:font>
  <w:font w:name="方正楷体_GB2312">
    <w:panose1 w:val="02000000000000000000"/>
    <w:charset w:val="86"/>
    <w:family w:val="auto"/>
    <w:pitch w:val="default"/>
    <w:sig w:usb0="A00002BF" w:usb1="184F6CFA" w:usb2="00000012" w:usb3="00000000" w:csb0="00040001" w:csb1="00000000"/>
    <w:embedRegular r:id="rId7" w:fontKey="{66754D7D-4268-4A16-8C03-A5453E353D00}"/>
  </w:font>
  <w:font w:name="仿宋">
    <w:panose1 w:val="02010609060101010101"/>
    <w:charset w:val="86"/>
    <w:family w:val="modern"/>
    <w:pitch w:val="default"/>
    <w:sig w:usb0="800002BF" w:usb1="38CF7CFA" w:usb2="00000016" w:usb3="00000000" w:csb0="00040001" w:csb1="00000000"/>
    <w:embedRegular r:id="rId8" w:fontKey="{F83E91DB-D9D5-4BBE-B50E-425C3BCA9F90}"/>
  </w:font>
  <w:font w:name="Wingdings 2">
    <w:panose1 w:val="05020102010507070707"/>
    <w:charset w:val="02"/>
    <w:family w:val="roman"/>
    <w:pitch w:val="default"/>
    <w:sig w:usb0="00000000" w:usb1="00000000" w:usb2="00000000" w:usb3="00000000" w:csb0="80000000" w:csb1="00000000"/>
    <w:embedRegular r:id="rId9" w:fontKey="{A7DF8D80-EA6D-4749-ACBC-A4314DB915E5}"/>
  </w:font>
  <w:font w:name="方正公文小标宋">
    <w:panose1 w:val="02000500000000000000"/>
    <w:charset w:val="86"/>
    <w:family w:val="auto"/>
    <w:pitch w:val="default"/>
    <w:sig w:usb0="A00002BF" w:usb1="38CF7CFA" w:usb2="00000016" w:usb3="00000000" w:csb0="00040001" w:csb1="00000000"/>
    <w:embedRegular r:id="rId10" w:fontKey="{4F95F0FE-095B-4426-A43C-0A9643741F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40259"/>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D74B40"/>
    <w:rsid w:val="031B2C7F"/>
    <w:rsid w:val="0350496E"/>
    <w:rsid w:val="03670C57"/>
    <w:rsid w:val="046C750A"/>
    <w:rsid w:val="08517143"/>
    <w:rsid w:val="0B656E1E"/>
    <w:rsid w:val="0C0A5403"/>
    <w:rsid w:val="0C145497"/>
    <w:rsid w:val="0DBF3613"/>
    <w:rsid w:val="0DC81C4F"/>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1EC97AD9"/>
    <w:rsid w:val="1F87299B"/>
    <w:rsid w:val="20EC5803"/>
    <w:rsid w:val="22DC5488"/>
    <w:rsid w:val="23AD4F41"/>
    <w:rsid w:val="23DF7159"/>
    <w:rsid w:val="24880C9A"/>
    <w:rsid w:val="24C95406"/>
    <w:rsid w:val="25030284"/>
    <w:rsid w:val="2A3A75DF"/>
    <w:rsid w:val="2A9B5BE2"/>
    <w:rsid w:val="2BAB4636"/>
    <w:rsid w:val="2BF57C61"/>
    <w:rsid w:val="2CED0939"/>
    <w:rsid w:val="2D7E5110"/>
    <w:rsid w:val="2DA47B54"/>
    <w:rsid w:val="2E620CC5"/>
    <w:rsid w:val="2F4A332F"/>
    <w:rsid w:val="31D13963"/>
    <w:rsid w:val="32A86C88"/>
    <w:rsid w:val="34806536"/>
    <w:rsid w:val="35234768"/>
    <w:rsid w:val="35AD02FE"/>
    <w:rsid w:val="35C3060D"/>
    <w:rsid w:val="35CA2F0A"/>
    <w:rsid w:val="36323860"/>
    <w:rsid w:val="380D6333"/>
    <w:rsid w:val="38575800"/>
    <w:rsid w:val="388C54AA"/>
    <w:rsid w:val="38DD5D05"/>
    <w:rsid w:val="38E946AA"/>
    <w:rsid w:val="39254A49"/>
    <w:rsid w:val="3A155D47"/>
    <w:rsid w:val="3D7A473B"/>
    <w:rsid w:val="3EC14DCA"/>
    <w:rsid w:val="3EDF7B5A"/>
    <w:rsid w:val="3EF757D7"/>
    <w:rsid w:val="3F794BDA"/>
    <w:rsid w:val="41431D95"/>
    <w:rsid w:val="41717D14"/>
    <w:rsid w:val="41A870F1"/>
    <w:rsid w:val="43EB28A9"/>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58821CD"/>
    <w:rsid w:val="5745560C"/>
    <w:rsid w:val="57671164"/>
    <w:rsid w:val="57CE47C7"/>
    <w:rsid w:val="58B629CB"/>
    <w:rsid w:val="59401951"/>
    <w:rsid w:val="594253B7"/>
    <w:rsid w:val="59DB7BE7"/>
    <w:rsid w:val="5B2D3245"/>
    <w:rsid w:val="5B71396D"/>
    <w:rsid w:val="5DFB7A90"/>
    <w:rsid w:val="5F443AD7"/>
    <w:rsid w:val="60884935"/>
    <w:rsid w:val="61F52ED8"/>
    <w:rsid w:val="6213192F"/>
    <w:rsid w:val="63267838"/>
    <w:rsid w:val="64A548F3"/>
    <w:rsid w:val="667523D3"/>
    <w:rsid w:val="66F31915"/>
    <w:rsid w:val="674A2C89"/>
    <w:rsid w:val="6A0A3D2C"/>
    <w:rsid w:val="6AC63F9C"/>
    <w:rsid w:val="6B311A3F"/>
    <w:rsid w:val="7030084F"/>
    <w:rsid w:val="703B4AE4"/>
    <w:rsid w:val="718A5132"/>
    <w:rsid w:val="71A92322"/>
    <w:rsid w:val="71C86016"/>
    <w:rsid w:val="71CD28BF"/>
    <w:rsid w:val="726C367A"/>
    <w:rsid w:val="732B5B1E"/>
    <w:rsid w:val="745C607B"/>
    <w:rsid w:val="75CC2D87"/>
    <w:rsid w:val="7877401B"/>
    <w:rsid w:val="78CC1807"/>
    <w:rsid w:val="792579EC"/>
    <w:rsid w:val="7AAD6DF1"/>
    <w:rsid w:val="7B5E6224"/>
    <w:rsid w:val="7B6F5025"/>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4"/>
    <w:qFormat/>
    <w:uiPriority w:val="0"/>
    <w:pPr>
      <w:jc w:val="left"/>
    </w:pPr>
    <w:rPr>
      <w:rFonts w:ascii="Calibri" w:hAnsi="Calibri" w:eastAsia="宋体" w:cs="Times New Roman"/>
    </w:rPr>
  </w:style>
  <w:style w:type="paragraph" w:styleId="5">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link w:val="29"/>
    <w:semiHidden/>
    <w:unhideWhenUsed/>
    <w:qFormat/>
    <w:uiPriority w:val="99"/>
    <w:pPr>
      <w:spacing w:after="120"/>
      <w:ind w:left="420" w:leftChars="200"/>
    </w:pPr>
  </w:style>
  <w:style w:type="paragraph" w:styleId="7">
    <w:name w:val="Plain Text"/>
    <w:basedOn w:val="1"/>
    <w:next w:val="3"/>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5"/>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6"/>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5"/>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2"/>
    <w:qFormat/>
    <w:uiPriority w:val="0"/>
    <w:rPr>
      <w:rFonts w:ascii="Calibri" w:hAnsi="Calibri" w:eastAsia="宋体" w:cs="Times New Roman"/>
      <w:sz w:val="18"/>
      <w:szCs w:val="18"/>
    </w:rPr>
  </w:style>
  <w:style w:type="character" w:customStyle="1" w:styleId="24">
    <w:name w:val="批注文字 Char"/>
    <w:basedOn w:val="16"/>
    <w:link w:val="4"/>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3"/>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6"/>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3873</Words>
  <Characters>4069</Characters>
  <Lines>39</Lines>
  <Paragraphs>11</Paragraphs>
  <TotalTime>1</TotalTime>
  <ScaleCrop>false</ScaleCrop>
  <LinksUpToDate>false</LinksUpToDate>
  <CharactersWithSpaces>4306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2025-04-16T08:59:31Z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