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项目名称：南宁中心血站2025年血细胞分离机租赁服务</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项目编号：NNBCCG2025017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16</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南宁中心血站2025年血细胞分离机租赁服务采购公告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南宁中心血站按照采购计划，对南宁中心血站2025年血细胞分离机租赁服务进行采购，现就该项目邀请具有资质的单位进行响应，采购信息如下：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项目编号：NNBCCG2025017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项目名称：南宁中心血站2025年血细胞分离机租赁服务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400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400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16</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513BDEB8">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6643256">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6"/>
        <w:jc w:val="center"/>
        <w:rPr>
          <w:rFonts w:hint="eastAsia" w:hAnsi="宋体" w:cs="宋体"/>
          <w:b/>
          <w:sz w:val="36"/>
        </w:rPr>
      </w:pPr>
      <w:r>
        <w:rPr>
          <w:rFonts w:hint="eastAsia" w:hAnsi="宋体" w:cs="宋体"/>
          <w:b/>
          <w:sz w:val="36"/>
        </w:rPr>
        <w:t>采购需求一览表</w:t>
      </w:r>
    </w:p>
    <w:tbl>
      <w:tblPr>
        <w:tblStyle w:val="14"/>
        <w:tblW w:w="87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763"/>
        <w:gridCol w:w="5500"/>
        <w:gridCol w:w="1090"/>
      </w:tblGrid>
      <w:tr w14:paraId="198FD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4FC34">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91C35">
            <w:pPr>
              <w:jc w:val="center"/>
              <w:rPr>
                <w:rFonts w:ascii="宋体" w:hAnsi="宋体"/>
                <w:b/>
                <w:szCs w:val="21"/>
                <w:highlight w:val="none"/>
              </w:rPr>
            </w:pPr>
            <w:r>
              <w:rPr>
                <w:rFonts w:hint="eastAsia" w:ascii="宋体" w:hAnsi="宋体"/>
                <w:b/>
                <w:szCs w:val="21"/>
                <w:highlight w:val="none"/>
              </w:rPr>
              <w:t>采购项目名称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50EDAAF">
            <w:pPr>
              <w:jc w:val="center"/>
              <w:rPr>
                <w:rFonts w:ascii="宋体" w:hAnsi="宋体"/>
                <w:b/>
                <w:szCs w:val="21"/>
                <w:highlight w:val="none"/>
              </w:rPr>
            </w:pPr>
            <w:r>
              <w:rPr>
                <w:rFonts w:hint="eastAsia" w:ascii="宋体" w:hAnsi="宋体"/>
                <w:b/>
                <w:szCs w:val="21"/>
                <w:highlight w:val="none"/>
              </w:rPr>
              <w:t>数量</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43C28C40">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7BDDDC64">
            <w:pPr>
              <w:jc w:val="center"/>
              <w:rPr>
                <w:rFonts w:ascii="宋体" w:hAnsi="宋体"/>
                <w:b/>
                <w:szCs w:val="21"/>
                <w:highlight w:val="none"/>
              </w:rPr>
            </w:pPr>
            <w:r>
              <w:rPr>
                <w:rFonts w:hint="eastAsia" w:ascii="宋体" w:hAnsi="宋体"/>
                <w:b/>
                <w:szCs w:val="21"/>
                <w:highlight w:val="none"/>
                <w:lang w:val="en-US" w:eastAsia="zh-CN"/>
              </w:rPr>
              <w:t>预算限额</w:t>
            </w:r>
          </w:p>
        </w:tc>
      </w:tr>
      <w:tr w14:paraId="2F39A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D72797">
            <w:pPr>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EC5245">
            <w:pPr>
              <w:jc w:val="center"/>
              <w:rPr>
                <w:rFonts w:hint="eastAsia" w:ascii="宋体" w:hAnsi="宋体" w:eastAsia="宋体" w:cs="宋体"/>
                <w:szCs w:val="21"/>
                <w:highlight w:val="none"/>
              </w:rPr>
            </w:pPr>
            <w:r>
              <w:rPr>
                <w:rFonts w:hint="eastAsia" w:asciiTheme="minorEastAsia" w:hAnsiTheme="minorEastAsia" w:eastAsiaTheme="minorEastAsia" w:cstheme="minorEastAsia"/>
                <w:b w:val="0"/>
                <w:bCs w:val="0"/>
                <w:szCs w:val="21"/>
                <w:highlight w:val="none"/>
                <w:lang w:val="zh-TW" w:eastAsia="zh-TW"/>
              </w:rPr>
              <w:t>南宁中心血站2025年血细胞分离机租赁服务</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2A314ABC">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2台</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1254E58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imes New Roman" w:hAnsi="Times New Roman"/>
                <w:lang w:eastAsia="zh-CN"/>
              </w:rPr>
            </w:pPr>
            <w:r>
              <w:rPr>
                <w:rFonts w:hint="eastAsia" w:ascii="Times New Roman" w:hAnsi="Times New Roman" w:eastAsia="宋体" w:cs="Times New Roman"/>
                <w:szCs w:val="21"/>
                <w:lang w:val="en-US" w:eastAsia="zh-CN"/>
              </w:rPr>
              <w:t>根据采血工作需要现需租赁2台</w:t>
            </w:r>
            <w:r>
              <w:rPr>
                <w:rFonts w:hint="eastAsia" w:ascii="Times New Roman" w:hAnsi="Times New Roman" w:eastAsia="宋体" w:cs="Times New Roman"/>
                <w:color w:val="auto"/>
                <w:kern w:val="2"/>
                <w:sz w:val="21"/>
                <w:szCs w:val="24"/>
                <w:highlight w:val="none"/>
                <w:lang w:val="zh-TW" w:eastAsia="zh-TW" w:bidi="ar-SA"/>
              </w:rPr>
              <w:t>血细胞分离机</w:t>
            </w:r>
            <w:r>
              <w:rPr>
                <w:rFonts w:hint="eastAsia" w:ascii="Times New Roman" w:hAnsi="Times New Roman"/>
                <w:lang w:eastAsia="zh-CN"/>
              </w:rPr>
              <w:t>用于采集血小板。</w:t>
            </w:r>
          </w:p>
          <w:p w14:paraId="0DF7123F">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b/>
                <w:bCs/>
                <w:szCs w:val="21"/>
                <w:lang w:val="en-US" w:eastAsia="zh-CN"/>
              </w:rPr>
            </w:pPr>
            <w:r>
              <w:rPr>
                <w:rFonts w:hint="eastAsia" w:ascii="Times New Roman" w:hAnsi="Times New Roman" w:eastAsia="宋体" w:cs="Times New Roman"/>
                <w:b/>
                <w:bCs/>
                <w:szCs w:val="21"/>
                <w:lang w:val="en-US" w:eastAsia="zh-CN"/>
              </w:rPr>
              <w:t>一、</w:t>
            </w:r>
            <w:r>
              <w:rPr>
                <w:rFonts w:hint="eastAsia" w:ascii="Times New Roman" w:hAnsi="Times New Roman"/>
                <w:b/>
                <w:bCs/>
                <w:lang w:val="en-US" w:eastAsia="zh-CN"/>
              </w:rPr>
              <w:t>技术参数要求：</w:t>
            </w:r>
          </w:p>
          <w:p w14:paraId="27A82528">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1、采用连续离心方式分离采集血液成分，用于血站合格献血员进行去白单采血小板的采集。</w:t>
            </w:r>
          </w:p>
          <w:p w14:paraId="6D563D67">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2、符合人体工程学的设计，优化离心机高度让操作者不必弯腰即可完成管路安装。</w:t>
            </w:r>
          </w:p>
          <w:p w14:paraId="5FD5D367">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3、显示器为液晶显示器触摸屏，可在一定范围内调整显示屏前后角度。</w:t>
            </w:r>
          </w:p>
          <w:p w14:paraId="0C25AE8E">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4、中文图标化操作软件，软件可对警示部位明确标注并提供处理建议，简化报警处理流程及提高工作效率。</w:t>
            </w:r>
          </w:p>
          <w:p w14:paraId="0F320A7A">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5、配套提供专利的估算器，可对采后血小板计数、离体血量（如血小板最低采集量设置、最大采集容量等）等进行预估，提高献血者的安全性。</w:t>
            </w:r>
          </w:p>
          <w:p w14:paraId="69202BBC">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6、配套提供智能化献血者管理工具，采集过程中数字化显示进、返血速度，直观明确；系统可智能化调整献血者进血速度，保证献血者的安全性及舒适性。</w:t>
            </w:r>
          </w:p>
          <w:p w14:paraId="00BC209C">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7、配套提供单份</w:t>
            </w:r>
            <w:r>
              <w:rPr>
                <w:rFonts w:hint="eastAsia" w:ascii="Times New Roman" w:hAnsi="Times New Roman" w:cs="Times New Roman"/>
                <w:szCs w:val="21"/>
                <w:lang w:val="en-US" w:eastAsia="zh-CN"/>
              </w:rPr>
              <w:t>或</w:t>
            </w:r>
            <w:r>
              <w:rPr>
                <w:rFonts w:hint="eastAsia" w:ascii="Times New Roman" w:hAnsi="Times New Roman" w:eastAsia="宋体" w:cs="Times New Roman"/>
                <w:szCs w:val="21"/>
              </w:rPr>
              <w:t>双份管路，具有独立全血采样袋，分别提供一个</w:t>
            </w:r>
            <w:r>
              <w:rPr>
                <w:rFonts w:hint="eastAsia" w:ascii="Times New Roman" w:hAnsi="Times New Roman" w:cs="Times New Roman"/>
                <w:szCs w:val="21"/>
                <w:lang w:val="en-US" w:eastAsia="zh-CN"/>
              </w:rPr>
              <w:t>或</w:t>
            </w:r>
            <w:r>
              <w:rPr>
                <w:rFonts w:hint="eastAsia" w:ascii="Times New Roman" w:hAnsi="Times New Roman" w:eastAsia="宋体" w:cs="Times New Roman"/>
                <w:szCs w:val="21"/>
              </w:rPr>
              <w:t>二个五天血小板保存袋。</w:t>
            </w:r>
          </w:p>
          <w:p w14:paraId="416DFFC5">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8、可记录采集过程中的报警和事件，便于溯源和分析。</w:t>
            </w:r>
          </w:p>
          <w:p w14:paraId="2F1B56D7">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9、标配有实时压力监控的自动充放气袖带，保证献血过程的流程和舒适。</w:t>
            </w:r>
          </w:p>
          <w:p w14:paraId="23C082E0">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10、不管采集单份还是双份血小板，均具备盐水初始化及静脉盐水补偿的功能，符合国家《献血相关血管迷走神经预防和处置指南》中对单采过程体外血容量的控制要求。</w:t>
            </w:r>
          </w:p>
          <w:p w14:paraId="72F77D14">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11、具有检测、监视报警系统，开机自检、耗材初始化检测、全程实时压力监控、数字化流量控制、回输空气检测等功能。</w:t>
            </w:r>
          </w:p>
          <w:p w14:paraId="3695C15D">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12、单采血小板产品质量参数要满足GB 18469-2012《全血及成分血质量要求》，其中：血小板含量：单份血小板：≥2.5×10</w:t>
            </w:r>
            <w:r>
              <w:rPr>
                <w:rFonts w:hint="eastAsia" w:ascii="Times New Roman" w:hAnsi="Times New Roman" w:eastAsia="宋体" w:cs="Times New Roman"/>
                <w:szCs w:val="21"/>
                <w:vertAlign w:val="superscript"/>
              </w:rPr>
              <w:t>11</w:t>
            </w:r>
            <w:r>
              <w:rPr>
                <w:rFonts w:hint="eastAsia" w:ascii="Times New Roman" w:hAnsi="Times New Roman" w:eastAsia="宋体" w:cs="Times New Roman"/>
                <w:szCs w:val="21"/>
              </w:rPr>
              <w:t>个/袋；双份血小板：≥5×10</w:t>
            </w:r>
            <w:r>
              <w:rPr>
                <w:rFonts w:hint="eastAsia" w:ascii="Times New Roman" w:hAnsi="Times New Roman" w:eastAsia="宋体" w:cs="Times New Roman"/>
                <w:szCs w:val="21"/>
                <w:vertAlign w:val="superscript"/>
              </w:rPr>
              <w:t>11</w:t>
            </w:r>
            <w:r>
              <w:rPr>
                <w:rFonts w:hint="eastAsia" w:ascii="Times New Roman" w:hAnsi="Times New Roman" w:eastAsia="宋体" w:cs="Times New Roman"/>
                <w:szCs w:val="21"/>
              </w:rPr>
              <w:t>个/袋，采集成品为去除白细胞的血小板（白细胞计数低于1.0×10</w:t>
            </w:r>
            <w:r>
              <w:rPr>
                <w:rFonts w:hint="eastAsia" w:ascii="Times New Roman" w:hAnsi="Times New Roman" w:eastAsia="宋体" w:cs="Times New Roman"/>
                <w:szCs w:val="21"/>
                <w:vertAlign w:val="superscript"/>
              </w:rPr>
              <w:t>6</w:t>
            </w:r>
            <w:r>
              <w:rPr>
                <w:rFonts w:hint="eastAsia" w:ascii="Times New Roman" w:hAnsi="Times New Roman" w:eastAsia="宋体" w:cs="Times New Roman"/>
                <w:szCs w:val="21"/>
              </w:rPr>
              <w:t>（90%置信区间），红细胞混入量≤8.0×10</w:t>
            </w:r>
            <w:r>
              <w:rPr>
                <w:rFonts w:hint="eastAsia" w:ascii="Times New Roman" w:hAnsi="Times New Roman" w:eastAsia="宋体" w:cs="Times New Roman"/>
                <w:szCs w:val="21"/>
                <w:vertAlign w:val="superscript"/>
              </w:rPr>
              <w:t>9</w:t>
            </w:r>
            <w:r>
              <w:rPr>
                <w:rFonts w:hint="eastAsia" w:ascii="Times New Roman" w:hAnsi="Times New Roman" w:eastAsia="宋体" w:cs="Times New Roman"/>
                <w:szCs w:val="21"/>
              </w:rPr>
              <w:t>/袋）。</w:t>
            </w:r>
          </w:p>
          <w:p w14:paraId="1AED6D26">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13、抗凝剂控制及比例范围7</w:t>
            </w:r>
            <w:r>
              <w:rPr>
                <w:rFonts w:hint="eastAsia" w:ascii="Times New Roman" w:hAnsi="Times New Roman" w:cs="Times New Roman"/>
                <w:szCs w:val="21"/>
                <w:lang w:val="en-US" w:eastAsia="zh-CN"/>
              </w:rPr>
              <w:t>~</w:t>
            </w:r>
            <w:r>
              <w:rPr>
                <w:rFonts w:hint="eastAsia" w:ascii="Times New Roman" w:hAnsi="Times New Roman" w:eastAsia="宋体" w:cs="Times New Roman"/>
                <w:szCs w:val="21"/>
              </w:rPr>
              <w:t>12:1，可根据献血员个体差异控制抗凝剂输注速率。</w:t>
            </w:r>
          </w:p>
          <w:p w14:paraId="1635F671">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14、可自行设置血小板产量和体积，满足多种采集需要；可采集高浓缩血小板；可生产标准化血液制品。</w:t>
            </w:r>
          </w:p>
          <w:p w14:paraId="073941FD">
            <w:pPr>
              <w:spacing w:line="420" w:lineRule="exact"/>
              <w:rPr>
                <w:rFonts w:hint="eastAsia" w:asciiTheme="minorEastAsia" w:hAnsiTheme="minorEastAsia" w:cstheme="minorEastAsia"/>
                <w:b/>
                <w:bCs/>
                <w:szCs w:val="21"/>
                <w:highlight w:val="none"/>
                <w:lang w:val="en-US" w:eastAsia="zh-CN"/>
              </w:rPr>
            </w:pPr>
            <w:r>
              <w:rPr>
                <w:rFonts w:hint="eastAsia" w:asciiTheme="minorEastAsia" w:hAnsiTheme="minorEastAsia" w:cstheme="minorEastAsia"/>
                <w:b/>
                <w:bCs/>
                <w:szCs w:val="21"/>
                <w:highlight w:val="none"/>
                <w:lang w:val="en-US" w:eastAsia="zh-CN"/>
              </w:rPr>
              <w:t>二、其他要求：</w:t>
            </w:r>
          </w:p>
          <w:p w14:paraId="6E1D8BA0">
            <w:pPr>
              <w:spacing w:line="420" w:lineRule="exact"/>
              <w:rPr>
                <w:rFonts w:hint="eastAsia" w:asciiTheme="minorEastAsia" w:hAnsiTheme="minorEastAsia" w:cstheme="minorEastAsia"/>
                <w:b w:val="0"/>
                <w:bCs w:val="0"/>
                <w:szCs w:val="21"/>
                <w:highlight w:val="none"/>
                <w:lang w:val="en-US" w:eastAsia="zh-CN"/>
              </w:rPr>
            </w:pPr>
            <w:r>
              <w:rPr>
                <w:rFonts w:hint="eastAsia" w:asciiTheme="minorEastAsia" w:hAnsiTheme="minorEastAsia" w:cstheme="minorEastAsia"/>
                <w:b w:val="0"/>
                <w:bCs w:val="0"/>
                <w:szCs w:val="21"/>
                <w:highlight w:val="none"/>
                <w:lang w:val="en-US" w:eastAsia="zh-CN"/>
              </w:rPr>
              <w:t>1、提供</w:t>
            </w:r>
            <w:r>
              <w:rPr>
                <w:rFonts w:hint="eastAsia" w:ascii="宋体" w:hAnsi="宋体" w:eastAsia="宋体" w:cs="Times New Roman"/>
                <w:bCs/>
                <w:color w:val="auto"/>
                <w:kern w:val="2"/>
                <w:sz w:val="21"/>
                <w:highlight w:val="none"/>
                <w:lang w:val="en-US" w:eastAsia="zh-CN"/>
              </w:rPr>
              <w:t>项目实施进度计划、租赁服务与管理、设备的维护与升级，质量及安全保障措施、等</w:t>
            </w:r>
            <w:r>
              <w:rPr>
                <w:rFonts w:hint="eastAsia" w:asciiTheme="minorEastAsia" w:hAnsiTheme="minorEastAsia" w:eastAsiaTheme="minorEastAsia" w:cstheme="minorEastAsia"/>
                <w:b w:val="0"/>
                <w:bCs w:val="0"/>
                <w:szCs w:val="21"/>
                <w:highlight w:val="none"/>
                <w:lang w:val="en-US" w:eastAsia="zh-CN"/>
              </w:rPr>
              <w:t>响应服务方案（如有请提供）。</w:t>
            </w:r>
          </w:p>
          <w:p w14:paraId="3812BC83">
            <w:pPr>
              <w:spacing w:line="420" w:lineRule="exact"/>
              <w:rPr>
                <w:rFonts w:hint="eastAsia" w:eastAsia="宋体" w:cs="黑体"/>
                <w:szCs w:val="22"/>
                <w:highlight w:val="none"/>
                <w:lang w:val="en-US" w:eastAsia="zh-CN"/>
              </w:rPr>
            </w:pPr>
            <w:r>
              <w:rPr>
                <w:rFonts w:hint="eastAsia" w:asciiTheme="minorEastAsia" w:hAnsiTheme="minorEastAsia" w:cstheme="minorEastAsia"/>
                <w:b w:val="0"/>
                <w:bCs w:val="0"/>
                <w:szCs w:val="21"/>
                <w:highlight w:val="none"/>
                <w:lang w:val="en-US" w:eastAsia="zh-CN"/>
              </w:rPr>
              <w:t>2、提供</w:t>
            </w:r>
            <w:r>
              <w:rPr>
                <w:rFonts w:hint="eastAsia" w:asciiTheme="minorEastAsia" w:hAnsiTheme="minorEastAsia" w:eastAsiaTheme="minorEastAsia" w:cstheme="minorEastAsia"/>
                <w:b w:val="0"/>
                <w:bCs w:val="0"/>
                <w:szCs w:val="21"/>
                <w:highlight w:val="none"/>
                <w:lang w:val="en-US" w:eastAsia="zh-CN"/>
              </w:rPr>
              <w:t>类似业绩及服务能力水平等有关证明材料（如有请提供）。</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47EFFE38">
            <w:pPr>
              <w:pStyle w:val="6"/>
              <w:jc w:val="left"/>
              <w:rPr>
                <w:rFonts w:hint="eastAsia" w:ascii="宋体" w:hAnsi="宋体" w:eastAsia="宋体" w:cs="宋体"/>
                <w:szCs w:val="21"/>
                <w:highlight w:val="none"/>
              </w:rPr>
            </w:pPr>
            <w:r>
              <w:rPr>
                <w:rFonts w:hint="eastAsia" w:asciiTheme="minorEastAsia" w:hAnsiTheme="minorEastAsia" w:eastAsiaTheme="minorEastAsia" w:cstheme="minorEastAsia"/>
                <w:b w:val="0"/>
                <w:bCs w:val="0"/>
                <w:kern w:val="2"/>
                <w:sz w:val="21"/>
                <w:szCs w:val="21"/>
                <w:highlight w:val="none"/>
                <w:lang w:val="en-US" w:eastAsia="zh-CN" w:bidi="ar-SA"/>
              </w:rPr>
              <w:t>40000元</w:t>
            </w:r>
          </w:p>
        </w:tc>
      </w:tr>
      <w:tr w14:paraId="61A09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CF9CB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商务条款</w:t>
            </w:r>
          </w:p>
        </w:tc>
        <w:tc>
          <w:tcPr>
            <w:tcW w:w="8216" w:type="dxa"/>
            <w:gridSpan w:val="4"/>
            <w:tcBorders>
              <w:top w:val="single" w:color="auto" w:sz="4" w:space="0"/>
              <w:left w:val="single" w:color="auto" w:sz="4" w:space="0"/>
              <w:bottom w:val="single" w:color="auto" w:sz="4" w:space="0"/>
              <w:right w:val="single" w:color="auto" w:sz="4" w:space="0"/>
            </w:tcBorders>
            <w:noWrap w:val="0"/>
            <w:vAlign w:val="center"/>
          </w:tcPr>
          <w:p w14:paraId="796757F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一、合同签订期：</w:t>
            </w:r>
            <w:r>
              <w:rPr>
                <w:rFonts w:hint="eastAsia"/>
                <w:color w:val="auto"/>
                <w:sz w:val="21"/>
                <w:szCs w:val="21"/>
                <w:highlight w:val="none"/>
                <w:lang w:val="en-US" w:eastAsia="zh-CN"/>
              </w:rPr>
              <w:t>自成交通知书发出之日起25日内。</w:t>
            </w:r>
          </w:p>
          <w:p w14:paraId="37C522B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二、租赁期限：</w:t>
            </w:r>
            <w:r>
              <w:rPr>
                <w:rFonts w:hint="eastAsia"/>
                <w:color w:val="auto"/>
                <w:sz w:val="21"/>
                <w:szCs w:val="21"/>
                <w:highlight w:val="none"/>
                <w:lang w:val="en-US" w:eastAsia="zh-CN"/>
              </w:rPr>
              <w:t>自交付验收合格之日起1年；自合同签订之日起30个日历日内安装调试完毕并验收合格交付使用。</w:t>
            </w:r>
          </w:p>
          <w:p w14:paraId="27250C8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三、合同延续年限、条件和方式：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w:t>
            </w:r>
            <w:bookmarkStart w:id="18" w:name="_GoBack"/>
            <w:bookmarkEnd w:id="18"/>
            <w:r>
              <w:rPr>
                <w:rFonts w:hint="eastAsia"/>
                <w:color w:val="auto"/>
                <w:sz w:val="21"/>
                <w:szCs w:val="21"/>
                <w:highlight w:val="none"/>
                <w:lang w:val="en-US" w:eastAsia="zh-CN"/>
              </w:rPr>
              <w:t>的前提下，且采购内容(采购需求)相对固定、连续(延续)性强、经费来源稳定、价格变化幅度小的情况下，可以通过一年签的方式延续合同，最终总期限不得超过三年。</w:t>
            </w:r>
          </w:p>
          <w:p w14:paraId="6FE78FB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四、服务地点</w:t>
            </w:r>
            <w:r>
              <w:rPr>
                <w:rFonts w:hint="eastAsia"/>
                <w:color w:val="auto"/>
                <w:sz w:val="21"/>
                <w:szCs w:val="21"/>
                <w:highlight w:val="none"/>
                <w:lang w:val="en-US" w:eastAsia="zh-CN"/>
              </w:rPr>
              <w:t>：南宁中心血站指定地点。</w:t>
            </w:r>
          </w:p>
          <w:p w14:paraId="14B186C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b/>
                <w:bCs/>
                <w:color w:val="auto"/>
                <w:sz w:val="21"/>
                <w:szCs w:val="21"/>
                <w:highlight w:val="none"/>
                <w:lang w:val="en-US" w:eastAsia="zh-CN"/>
              </w:rPr>
            </w:pPr>
            <w:r>
              <w:rPr>
                <w:rFonts w:hint="eastAsia"/>
                <w:b/>
                <w:bCs/>
                <w:color w:val="auto"/>
                <w:sz w:val="21"/>
                <w:szCs w:val="21"/>
                <w:highlight w:val="none"/>
                <w:lang w:val="en-US" w:eastAsia="zh-CN"/>
              </w:rPr>
              <w:t>五、售后服务要求：</w:t>
            </w:r>
          </w:p>
          <w:p w14:paraId="62691F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1、设备租赁期内免费上门安装、维修、更换配件、软件升级、上门校准（含出具检测报告及工程师授权证书）。</w:t>
            </w:r>
          </w:p>
          <w:p w14:paraId="57773B5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2、免费为采购单位提供的完善的设备、操作培训和维修技术人员的培训（不少于一周），确保采购单位有关人员能独立操作使用设备；培训人数由采购单位确定。</w:t>
            </w:r>
          </w:p>
          <w:p w14:paraId="68EFAFB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3、故障响应时间：设备在使用过程中发生质量问题，供应商技术人员在接到用户方通知后2小时响应，24小时内到达用户方现场解决处理。</w:t>
            </w:r>
          </w:p>
          <w:p w14:paraId="3B8F418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4、竞标人应承诺在广西地区设有固定的售后服务点（提供详细地址、技术人员名单、联系电话）。</w:t>
            </w:r>
          </w:p>
          <w:p w14:paraId="7BE2B8A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5、租赁设备如为二、三类医疗器械的，响应文件提供竞标产品的医疗器械注册证复印件或备案证明复印件。                                                                                                                                                                                                                              </w:t>
            </w:r>
            <w:r>
              <w:rPr>
                <w:rFonts w:hint="eastAsia"/>
                <w:b/>
                <w:bCs/>
                <w:color w:val="auto"/>
                <w:sz w:val="21"/>
                <w:szCs w:val="21"/>
                <w:highlight w:val="none"/>
                <w:lang w:val="en-US" w:eastAsia="zh-CN"/>
              </w:rPr>
              <w:t>六、其他要求：</w:t>
            </w:r>
            <w:r>
              <w:rPr>
                <w:rFonts w:hint="eastAsia"/>
                <w:color w:val="auto"/>
                <w:sz w:val="21"/>
                <w:szCs w:val="21"/>
                <w:highlight w:val="none"/>
                <w:lang w:val="en-US" w:eastAsia="zh-CN"/>
              </w:rPr>
              <w:t xml:space="preserve">                                                                                                                                                            </w:t>
            </w:r>
          </w:p>
          <w:p w14:paraId="7771BCD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1、竞标总报价为采购人提供租赁服务的费用，包括：</w:t>
            </w:r>
          </w:p>
          <w:p w14:paraId="27F0517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（1）服务及服务所需货物的费用；</w:t>
            </w:r>
          </w:p>
          <w:p w14:paraId="4091837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（2）服务期内所需货物的标准附件、备品备件、专用工具、数据接口等费用；</w:t>
            </w:r>
          </w:p>
          <w:p w14:paraId="420D2DF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（3）运输、调试、培训、技术支持、售后服务等费用；</w:t>
            </w:r>
          </w:p>
          <w:p w14:paraId="7020B0C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（4）必要的保险费用和各项税费；</w:t>
            </w:r>
          </w:p>
          <w:p w14:paraId="095E838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（5）安装费用。</w:t>
            </w:r>
          </w:p>
          <w:p w14:paraId="70E0B518">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2、付款方式：</w:t>
            </w:r>
            <w:r>
              <w:rPr>
                <w:rFonts w:hint="eastAsia" w:ascii="宋体" w:hAnsi="宋体" w:cs="宋体"/>
                <w:szCs w:val="21"/>
                <w:highlight w:val="none"/>
              </w:rPr>
              <w:t>本项目无预付款，</w:t>
            </w:r>
            <w:r>
              <w:rPr>
                <w:rFonts w:hint="eastAsia" w:ascii="宋体" w:hAnsi="宋体" w:cs="宋体"/>
                <w:szCs w:val="21"/>
                <w:highlight w:val="none"/>
                <w:lang w:val="en-US" w:eastAsia="zh-CN"/>
              </w:rPr>
              <w:t>租赁服务中的设备到货并验收合格后，</w:t>
            </w:r>
            <w:r>
              <w:rPr>
                <w:rFonts w:hint="eastAsia" w:ascii="宋体" w:hAnsi="宋体" w:cs="宋体"/>
                <w:szCs w:val="21"/>
                <w:highlight w:val="none"/>
              </w:rPr>
              <w:t>一次性支付合同款</w:t>
            </w:r>
            <w:r>
              <w:rPr>
                <w:rFonts w:hint="eastAsia" w:ascii="宋体" w:hAnsi="宋体" w:cs="宋体"/>
                <w:szCs w:val="21"/>
                <w:highlight w:val="none"/>
                <w:lang w:val="en-US" w:eastAsia="zh-CN"/>
              </w:rPr>
              <w:t>。</w:t>
            </w:r>
          </w:p>
          <w:p w14:paraId="4BB2E258">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ascii="宋体" w:hAnsi="宋体" w:eastAsia="宋体"/>
                <w:color w:val="auto"/>
                <w:highlight w:val="none"/>
              </w:rPr>
            </w:pPr>
            <w:r>
              <w:rPr>
                <w:rFonts w:hint="eastAsia" w:ascii="宋体" w:hAnsi="宋体" w:cs="宋体"/>
                <w:szCs w:val="21"/>
                <w:highlight w:val="none"/>
                <w:lang w:val="en-US" w:eastAsia="zh-CN"/>
              </w:rPr>
              <w:t>3、</w:t>
            </w:r>
            <w:r>
              <w:rPr>
                <w:rFonts w:hint="eastAsia" w:ascii="宋体" w:hAnsi="宋体" w:cs="宋体"/>
                <w:szCs w:val="21"/>
                <w:highlight w:val="none"/>
              </w:rPr>
              <w:t>本项目不得</w:t>
            </w:r>
            <w:r>
              <w:rPr>
                <w:rFonts w:hint="eastAsia" w:ascii="宋体" w:hAnsi="宋体" w:eastAsia="宋体"/>
                <w:color w:val="auto"/>
                <w:highlight w:val="none"/>
              </w:rPr>
              <w:t>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68B354E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宋体" w:hAnsi="宋体"/>
                <w:color w:val="auto"/>
                <w:highlight w:val="none"/>
                <w:lang w:val="en-US" w:eastAsia="zh-CN"/>
              </w:rPr>
              <w:t>4、</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p>
        </w:tc>
      </w:tr>
    </w:tbl>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3"/>
        <w:rPr>
          <w:rFonts w:hint="eastAsia"/>
        </w:rPr>
      </w:pPr>
    </w:p>
    <w:p w14:paraId="319D6280">
      <w:pPr>
        <w:pStyle w:val="13"/>
        <w:rPr>
          <w:rFonts w:hint="eastAsia"/>
        </w:rPr>
      </w:pPr>
    </w:p>
    <w:p w14:paraId="4518D020">
      <w:pPr>
        <w:pStyle w:val="13"/>
        <w:rPr>
          <w:rFonts w:hint="eastAsia"/>
        </w:rPr>
      </w:pPr>
    </w:p>
    <w:p w14:paraId="0B345091">
      <w:pPr>
        <w:pStyle w:val="13"/>
        <w:rPr>
          <w:rFonts w:hint="eastAsia"/>
        </w:rPr>
      </w:pPr>
    </w:p>
    <w:p w14:paraId="08DC55B7">
      <w:pPr>
        <w:pStyle w:val="13"/>
        <w:rPr>
          <w:rFonts w:hint="eastAsia"/>
        </w:rPr>
      </w:pPr>
    </w:p>
    <w:p w14:paraId="38D43820">
      <w:pPr>
        <w:pStyle w:val="13"/>
        <w:rPr>
          <w:rFonts w:hint="eastAsia"/>
        </w:rPr>
      </w:pPr>
    </w:p>
    <w:p w14:paraId="1B817E5B">
      <w:pPr>
        <w:pStyle w:val="13"/>
        <w:rPr>
          <w:rFonts w:hint="eastAsia"/>
        </w:rPr>
      </w:pPr>
    </w:p>
    <w:p w14:paraId="30349169">
      <w:pPr>
        <w:pStyle w:val="13"/>
        <w:rPr>
          <w:rFonts w:hint="eastAsia"/>
        </w:rPr>
      </w:pPr>
    </w:p>
    <w:p w14:paraId="070AC270">
      <w:pPr>
        <w:pStyle w:val="13"/>
        <w:rPr>
          <w:rFonts w:hint="eastAsia"/>
        </w:rPr>
      </w:pPr>
    </w:p>
    <w:p w14:paraId="423AA770">
      <w:pPr>
        <w:pStyle w:val="13"/>
        <w:rPr>
          <w:rFonts w:hint="eastAsia"/>
        </w:rPr>
      </w:pPr>
    </w:p>
    <w:p w14:paraId="44C47E9C">
      <w:pPr>
        <w:pStyle w:val="13"/>
        <w:rPr>
          <w:rFonts w:hint="eastAsia"/>
        </w:rPr>
      </w:pPr>
    </w:p>
    <w:p w14:paraId="467B70D7">
      <w:pPr>
        <w:pStyle w:val="13"/>
        <w:rPr>
          <w:rFonts w:hint="eastAsia"/>
        </w:rPr>
      </w:pPr>
    </w:p>
    <w:p w14:paraId="0476AD3B">
      <w:pPr>
        <w:pStyle w:val="13"/>
        <w:rPr>
          <w:rFonts w:hint="eastAsia"/>
        </w:rPr>
      </w:pPr>
    </w:p>
    <w:p w14:paraId="39FCC21C">
      <w:pPr>
        <w:pStyle w:val="13"/>
        <w:rPr>
          <w:rFonts w:hint="eastAsia"/>
        </w:rPr>
      </w:pPr>
    </w:p>
    <w:p w14:paraId="50C129FA">
      <w:pPr>
        <w:pStyle w:val="13"/>
        <w:rPr>
          <w:rFonts w:hint="eastAsia"/>
        </w:rPr>
      </w:pPr>
    </w:p>
    <w:p w14:paraId="390964A8">
      <w:pPr>
        <w:pStyle w:val="13"/>
        <w:rPr>
          <w:rFonts w:hint="eastAsia"/>
        </w:rPr>
      </w:pPr>
    </w:p>
    <w:p w14:paraId="1695271D">
      <w:pPr>
        <w:pStyle w:val="13"/>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南宁中心血站2025年血细胞分离机租赁服务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3"/>
        <w:spacing w:line="360" w:lineRule="auto"/>
        <w:ind w:firstLineChars="200"/>
        <w:rPr>
          <w:color w:val="auto"/>
        </w:rPr>
      </w:pPr>
      <w:r>
        <w:rPr>
          <w:rFonts w:hint="eastAsia"/>
          <w:color w:val="auto"/>
        </w:rPr>
        <w:t>我方对委托代理人的签字事项负全部责任。</w:t>
      </w:r>
    </w:p>
    <w:p w14:paraId="4156E484">
      <w:pPr>
        <w:pStyle w:val="13"/>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3"/>
        <w:spacing w:line="360" w:lineRule="auto"/>
        <w:ind w:firstLineChars="200"/>
        <w:rPr>
          <w:color w:val="auto"/>
        </w:rPr>
      </w:pPr>
      <w:r>
        <w:rPr>
          <w:rFonts w:hint="eastAsia"/>
          <w:color w:val="auto"/>
        </w:rPr>
        <w:t>委托代理人无转委托权，特此委托。</w:t>
      </w:r>
    </w:p>
    <w:p w14:paraId="4AAACB6B">
      <w:pPr>
        <w:pStyle w:val="13"/>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3"/>
        <w:spacing w:line="360" w:lineRule="auto"/>
        <w:ind w:firstLineChars="200"/>
        <w:rPr>
          <w:color w:val="auto"/>
        </w:rPr>
      </w:pPr>
    </w:p>
    <w:p w14:paraId="06C42395">
      <w:pPr>
        <w:pStyle w:val="13"/>
        <w:ind w:firstLineChars="200"/>
        <w:rPr>
          <w:color w:val="auto"/>
        </w:rPr>
      </w:pPr>
    </w:p>
    <w:p w14:paraId="310B8657">
      <w:pPr>
        <w:pStyle w:val="13"/>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3"/>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3"/>
        <w:ind w:firstLineChars="200"/>
        <w:rPr>
          <w:rFonts w:hint="default" w:eastAsiaTheme="minorEastAsia"/>
          <w:color w:val="auto"/>
          <w:lang w:val="en-US" w:eastAsia="zh-CN"/>
        </w:rPr>
      </w:pPr>
    </w:p>
    <w:p w14:paraId="26ABD9C4">
      <w:pPr>
        <w:pStyle w:val="13"/>
        <w:ind w:firstLineChars="200"/>
        <w:rPr>
          <w:color w:val="auto"/>
        </w:rPr>
      </w:pPr>
    </w:p>
    <w:p w14:paraId="1A155D87">
      <w:pPr>
        <w:pStyle w:val="13"/>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3"/>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4EB0C0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A3A51EB">
      <w:pPr>
        <w:snapToGrid w:val="0"/>
        <w:spacing w:before="156" w:beforeLines="50" w:after="50" w:line="560" w:lineRule="exact"/>
        <w:ind w:right="482" w:firstLine="210" w:firstLineChars="100"/>
        <w:jc w:val="cente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7349F6F4">
      <w:pPr>
        <w:rPr>
          <w:rFonts w:hint="eastAsia" w:ascii="仿宋" w:hAnsi="仿宋" w:eastAsia="仿宋"/>
          <w:color w:val="auto"/>
          <w:sz w:val="30"/>
          <w:szCs w:val="30"/>
        </w:rPr>
      </w:pPr>
    </w:p>
    <w:p w14:paraId="267B9C3B">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4"/>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542"/>
        <w:gridCol w:w="1518"/>
        <w:gridCol w:w="1306"/>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7"/>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18" w:type="pct"/>
            <w:vAlign w:val="center"/>
          </w:tcPr>
          <w:p w14:paraId="24CF3423">
            <w:pPr>
              <w:pStyle w:val="7"/>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904" w:type="pct"/>
            <w:vAlign w:val="center"/>
          </w:tcPr>
          <w:p w14:paraId="443FF386">
            <w:pPr>
              <w:pStyle w:val="7"/>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品牌和型号</w:t>
            </w:r>
          </w:p>
        </w:tc>
        <w:tc>
          <w:tcPr>
            <w:tcW w:w="778" w:type="pct"/>
            <w:vAlign w:val="center"/>
          </w:tcPr>
          <w:p w14:paraId="1329B7AA">
            <w:pPr>
              <w:pStyle w:val="7"/>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7"/>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49" w:type="pct"/>
            <w:vAlign w:val="center"/>
          </w:tcPr>
          <w:p w14:paraId="12EAC7D2">
            <w:pPr>
              <w:pStyle w:val="7"/>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7"/>
              <w:jc w:val="center"/>
              <w:rPr>
                <w:rFonts w:asciiTheme="minorEastAsia" w:hAnsiTheme="minorEastAsia" w:cstheme="minorEastAsia"/>
                <w:szCs w:val="21"/>
              </w:rPr>
            </w:pPr>
            <w:r>
              <w:rPr>
                <w:rFonts w:hint="eastAsia" w:asciiTheme="minorEastAsia" w:hAnsiTheme="minorEastAsia" w:cstheme="minorEastAsia"/>
                <w:szCs w:val="21"/>
              </w:rPr>
              <w:t>②</w:t>
            </w:r>
          </w:p>
        </w:tc>
        <w:tc>
          <w:tcPr>
            <w:tcW w:w="645" w:type="pct"/>
            <w:vAlign w:val="center"/>
          </w:tcPr>
          <w:p w14:paraId="7C566DE1">
            <w:pPr>
              <w:pStyle w:val="7"/>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7"/>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519" w:type="pct"/>
            <w:vAlign w:val="center"/>
          </w:tcPr>
          <w:p w14:paraId="54AA635D">
            <w:pPr>
              <w:pStyle w:val="7"/>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E04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383" w:type="pct"/>
            <w:vAlign w:val="center"/>
          </w:tcPr>
          <w:p w14:paraId="44B540DC">
            <w:pPr>
              <w:pStyle w:val="7"/>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918" w:type="pct"/>
            <w:vAlign w:val="center"/>
          </w:tcPr>
          <w:p w14:paraId="50CA2AAA">
            <w:pPr>
              <w:spacing w:line="276"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血细胞分离机租赁服务</w:t>
            </w:r>
          </w:p>
        </w:tc>
        <w:tc>
          <w:tcPr>
            <w:tcW w:w="904" w:type="pct"/>
            <w:vAlign w:val="center"/>
          </w:tcPr>
          <w:p w14:paraId="2315BD2A">
            <w:pPr>
              <w:pStyle w:val="7"/>
              <w:ind w:firstLine="210" w:firstLineChars="100"/>
              <w:rPr>
                <w:rFonts w:hint="default" w:ascii="宋体" w:hAnsi="宋体" w:eastAsia="宋体" w:cs="宋体"/>
                <w:sz w:val="21"/>
                <w:szCs w:val="21"/>
                <w:lang w:val="en-US" w:eastAsia="zh-CN"/>
              </w:rPr>
            </w:pPr>
          </w:p>
        </w:tc>
        <w:tc>
          <w:tcPr>
            <w:tcW w:w="778" w:type="pct"/>
            <w:vAlign w:val="center"/>
          </w:tcPr>
          <w:p w14:paraId="48DF8E43">
            <w:pPr>
              <w:pStyle w:val="7"/>
              <w:jc w:val="center"/>
              <w:rPr>
                <w:rFonts w:hint="eastAsia" w:cs="宋体" w:asciiTheme="minorEastAsia" w:hAnsiTheme="minorEastAsia"/>
                <w:color w:val="000000"/>
                <w:sz w:val="21"/>
                <w:szCs w:val="21"/>
                <w:lang w:val="en-US" w:eastAsia="zh-CN"/>
              </w:rPr>
            </w:pPr>
            <w:r>
              <w:rPr>
                <w:rFonts w:hint="eastAsia" w:cs="宋体" w:asciiTheme="minorEastAsia" w:hAnsiTheme="minorEastAsia"/>
                <w:color w:val="000000"/>
                <w:sz w:val="21"/>
                <w:szCs w:val="21"/>
                <w:lang w:val="en-US" w:eastAsia="zh-CN"/>
              </w:rPr>
              <w:t>2台</w:t>
            </w:r>
          </w:p>
        </w:tc>
        <w:tc>
          <w:tcPr>
            <w:tcW w:w="849" w:type="pct"/>
            <w:vAlign w:val="center"/>
          </w:tcPr>
          <w:p w14:paraId="049B8413">
            <w:pPr>
              <w:pStyle w:val="7"/>
              <w:rPr>
                <w:rFonts w:hint="eastAsia" w:ascii="宋体" w:hAnsi="宋体" w:eastAsia="宋体" w:cs="宋体"/>
                <w:sz w:val="21"/>
                <w:szCs w:val="21"/>
              </w:rPr>
            </w:pPr>
          </w:p>
        </w:tc>
        <w:tc>
          <w:tcPr>
            <w:tcW w:w="645" w:type="pct"/>
            <w:vAlign w:val="center"/>
          </w:tcPr>
          <w:p w14:paraId="71B25E71">
            <w:pPr>
              <w:pStyle w:val="7"/>
              <w:rPr>
                <w:rFonts w:hint="eastAsia" w:ascii="宋体" w:hAnsi="宋体" w:eastAsia="宋体" w:cs="宋体"/>
                <w:sz w:val="21"/>
                <w:szCs w:val="21"/>
              </w:rPr>
            </w:pPr>
          </w:p>
        </w:tc>
        <w:tc>
          <w:tcPr>
            <w:tcW w:w="519" w:type="pct"/>
            <w:vAlign w:val="center"/>
          </w:tcPr>
          <w:p w14:paraId="0E48F507">
            <w:pPr>
              <w:pStyle w:val="7"/>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7"/>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7"/>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w:t>
            </w:r>
            <w:r>
              <w:rPr>
                <w:rFonts w:hint="eastAsia" w:asciiTheme="minorEastAsia" w:hAnsiTheme="minorEastAsia"/>
                <w:b/>
                <w:color w:val="0000FF"/>
                <w:sz w:val="21"/>
                <w:szCs w:val="21"/>
                <w:lang w:val="en-US" w:eastAsia="zh-CN"/>
              </w:rPr>
              <w:t>单项</w:t>
            </w:r>
            <w:r>
              <w:rPr>
                <w:rFonts w:hint="eastAsia" w:asciiTheme="minorEastAsia" w:hAnsiTheme="minorEastAsia" w:eastAsiaTheme="minorEastAsia"/>
                <w:b/>
                <w:color w:val="0000FF"/>
                <w:sz w:val="21"/>
                <w:szCs w:val="21"/>
                <w:lang w:val="en-US" w:eastAsia="zh-CN"/>
              </w:rPr>
              <w:t>报价合</w:t>
            </w:r>
            <w:r>
              <w:rPr>
                <w:rFonts w:hint="eastAsia" w:asciiTheme="minorEastAsia" w:hAnsiTheme="minorEastAsia"/>
                <w:b/>
                <w:color w:val="0000FF"/>
                <w:sz w:val="21"/>
                <w:szCs w:val="21"/>
                <w:lang w:val="en-US" w:eastAsia="zh-CN"/>
              </w:rPr>
              <w:t>计</w:t>
            </w:r>
            <w:r>
              <w:rPr>
                <w:rFonts w:hint="eastAsia" w:asciiTheme="minorEastAsia" w:hAnsiTheme="minorEastAsia" w:eastAsiaTheme="minorEastAsia"/>
                <w:b/>
                <w:color w:val="0000FF"/>
                <w:sz w:val="21"/>
                <w:szCs w:val="21"/>
                <w:lang w:val="en-US" w:eastAsia="zh-CN"/>
              </w:rPr>
              <w:t>金额不能超过本</w:t>
            </w:r>
            <w:r>
              <w:rPr>
                <w:rFonts w:hint="eastAsia" w:asciiTheme="minorEastAsia" w:hAnsiTheme="minorEastAsia"/>
                <w:b/>
                <w:color w:val="0000FF"/>
                <w:sz w:val="21"/>
                <w:szCs w:val="21"/>
                <w:lang w:val="en-US" w:eastAsia="zh-CN"/>
              </w:rPr>
              <w:t>分项</w:t>
            </w:r>
            <w:r>
              <w:rPr>
                <w:rFonts w:hint="eastAsia" w:asciiTheme="minorEastAsia" w:hAnsiTheme="minorEastAsia" w:eastAsiaTheme="minorEastAsia"/>
                <w:b/>
                <w:color w:val="0000FF"/>
                <w:sz w:val="21"/>
                <w:szCs w:val="21"/>
                <w:lang w:val="en-US" w:eastAsia="zh-CN"/>
              </w:rPr>
              <w:t>最高限价。</w:t>
            </w:r>
          </w:p>
          <w:p w14:paraId="78E13616">
            <w:pPr>
              <w:pStyle w:val="7"/>
              <w:rPr>
                <w:rFonts w:hint="eastAsia" w:asciiTheme="minorEastAsia" w:hAnsiTheme="minorEastAsia" w:eastAsiaTheme="minorEastAsia"/>
                <w:b/>
                <w:color w:val="0000FF"/>
                <w:sz w:val="21"/>
                <w:szCs w:val="21"/>
              </w:rPr>
            </w:pPr>
          </w:p>
          <w:p w14:paraId="30E65E86">
            <w:pPr>
              <w:pStyle w:val="4"/>
              <w:rPr>
                <w:rFonts w:hint="eastAsia"/>
              </w:rPr>
            </w:pPr>
          </w:p>
        </w:tc>
      </w:tr>
    </w:tbl>
    <w:p w14:paraId="369287A0">
      <w:pPr>
        <w:rPr>
          <w:rFonts w:hint="eastAsia"/>
        </w:rPr>
      </w:pPr>
    </w:p>
    <w:p w14:paraId="031CEA9A">
      <w:pPr>
        <w:pStyle w:val="7"/>
        <w:spacing w:line="560" w:lineRule="exact"/>
        <w:rPr>
          <w:rFonts w:hint="eastAsia" w:asciiTheme="minorEastAsia" w:hAnsiTheme="minorEastAsia" w:cstheme="minorEastAsia"/>
          <w:color w:val="auto"/>
          <w:szCs w:val="21"/>
        </w:rPr>
      </w:pPr>
    </w:p>
    <w:p w14:paraId="757F4053">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7"/>
        <w:spacing w:line="560" w:lineRule="exact"/>
        <w:rPr>
          <w:rFonts w:asciiTheme="minorEastAsia" w:hAnsiTheme="minorEastAsia" w:cstheme="minorEastAsia"/>
          <w:color w:val="auto"/>
          <w:szCs w:val="21"/>
          <w:u w:val="single"/>
        </w:rPr>
      </w:pP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23"/>
        <w:gridCol w:w="967"/>
        <w:gridCol w:w="2750"/>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71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23" w:type="dxa"/>
            <w:vAlign w:val="center"/>
          </w:tcPr>
          <w:p w14:paraId="34BC4A96">
            <w:pPr>
              <w:jc w:val="center"/>
              <w:rPr>
                <w:rFonts w:ascii="宋体"/>
                <w:b/>
                <w:bCs/>
                <w:color w:val="auto"/>
                <w:szCs w:val="21"/>
              </w:rPr>
            </w:pPr>
            <w:r>
              <w:rPr>
                <w:rFonts w:hint="eastAsia" w:ascii="宋体"/>
                <w:b/>
                <w:bCs/>
                <w:color w:val="auto"/>
                <w:szCs w:val="21"/>
              </w:rPr>
              <w:t>技术参数</w:t>
            </w:r>
          </w:p>
        </w:tc>
        <w:tc>
          <w:tcPr>
            <w:tcW w:w="967"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750"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南宁中心血站2025年血细胞分离机租赁服务</w:t>
            </w:r>
          </w:p>
        </w:tc>
        <w:tc>
          <w:tcPr>
            <w:tcW w:w="3023" w:type="dxa"/>
            <w:vAlign w:val="center"/>
          </w:tcPr>
          <w:p w14:paraId="31D80A5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imes New Roman" w:hAnsi="Times New Roman"/>
                <w:lang w:eastAsia="zh-CN"/>
              </w:rPr>
            </w:pPr>
            <w:r>
              <w:rPr>
                <w:rFonts w:hint="eastAsia" w:ascii="Times New Roman" w:hAnsi="Times New Roman" w:eastAsia="宋体" w:cs="Times New Roman"/>
                <w:szCs w:val="21"/>
                <w:lang w:val="en-US" w:eastAsia="zh-CN"/>
              </w:rPr>
              <w:t>根据采血工作需要现需租赁2台</w:t>
            </w:r>
            <w:r>
              <w:rPr>
                <w:rFonts w:hint="eastAsia" w:ascii="Times New Roman" w:hAnsi="Times New Roman" w:eastAsia="宋体" w:cs="Times New Roman"/>
                <w:color w:val="auto"/>
                <w:kern w:val="2"/>
                <w:sz w:val="21"/>
                <w:szCs w:val="24"/>
                <w:highlight w:val="none"/>
                <w:lang w:val="zh-TW" w:eastAsia="zh-TW" w:bidi="ar-SA"/>
              </w:rPr>
              <w:t>血细胞分离机</w:t>
            </w:r>
            <w:r>
              <w:rPr>
                <w:rFonts w:hint="eastAsia" w:ascii="Times New Roman" w:hAnsi="Times New Roman"/>
                <w:lang w:eastAsia="zh-CN"/>
              </w:rPr>
              <w:t>用于采集血小板。</w:t>
            </w:r>
          </w:p>
          <w:p w14:paraId="7A3EEB7B">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b/>
                <w:bCs/>
                <w:szCs w:val="21"/>
                <w:lang w:val="en-US" w:eastAsia="zh-CN"/>
              </w:rPr>
            </w:pPr>
            <w:r>
              <w:rPr>
                <w:rFonts w:hint="eastAsia" w:ascii="Times New Roman" w:hAnsi="Times New Roman" w:eastAsia="宋体" w:cs="Times New Roman"/>
                <w:b/>
                <w:bCs/>
                <w:szCs w:val="21"/>
                <w:lang w:val="en-US" w:eastAsia="zh-CN"/>
              </w:rPr>
              <w:t>一、</w:t>
            </w:r>
            <w:r>
              <w:rPr>
                <w:rFonts w:hint="eastAsia" w:ascii="Times New Roman" w:hAnsi="Times New Roman"/>
                <w:b/>
                <w:bCs/>
                <w:lang w:val="en-US" w:eastAsia="zh-CN"/>
              </w:rPr>
              <w:t>技术参数要求：</w:t>
            </w:r>
          </w:p>
          <w:p w14:paraId="16023BED">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1、采用连续离心方式分离采集血液成分，用于血站合格献血员进行去白单采血小板的采集。</w:t>
            </w:r>
          </w:p>
          <w:p w14:paraId="7879B3E5">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2、符合人体工程学的设计，优化离心机高度让操作者不必弯腰即可完成管路安装。</w:t>
            </w:r>
          </w:p>
          <w:p w14:paraId="5B5C2100">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3、显示器为液晶显示器触摸屏，可在一定范围内调整显示屏前后角度。</w:t>
            </w:r>
          </w:p>
          <w:p w14:paraId="609FA7FB">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4、中文图标化操作软件，软件可对警示部位明确标注并提供处理建议，简化报警处理流程及提高工作效率。</w:t>
            </w:r>
          </w:p>
          <w:p w14:paraId="29820875">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5、配套提供专利的估算器，可对采后血小板计数、离体血量（如血小板最低采集量设置、最大采集容量等）等进行预估，提高献血者的安全性。</w:t>
            </w:r>
          </w:p>
          <w:p w14:paraId="4D7A0358">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6、配套提供智能化献血者管理工具，采集过程中数字化显示进、返血速度，直观明确；系统可智能化调整献血者进血速度，保证献血者的安全性及舒适性。</w:t>
            </w:r>
          </w:p>
          <w:p w14:paraId="39F7E29D">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7、配套提供单份</w:t>
            </w:r>
            <w:r>
              <w:rPr>
                <w:rFonts w:hint="eastAsia" w:ascii="Times New Roman" w:hAnsi="Times New Roman" w:cs="Times New Roman"/>
                <w:szCs w:val="21"/>
                <w:lang w:val="en-US" w:eastAsia="zh-CN"/>
              </w:rPr>
              <w:t>或</w:t>
            </w:r>
            <w:r>
              <w:rPr>
                <w:rFonts w:hint="eastAsia" w:ascii="Times New Roman" w:hAnsi="Times New Roman" w:eastAsia="宋体" w:cs="Times New Roman"/>
                <w:szCs w:val="21"/>
              </w:rPr>
              <w:t>双份管路，具有独立全血采样袋，分别提供一个</w:t>
            </w:r>
            <w:r>
              <w:rPr>
                <w:rFonts w:hint="eastAsia" w:ascii="Times New Roman" w:hAnsi="Times New Roman" w:cs="Times New Roman"/>
                <w:szCs w:val="21"/>
                <w:lang w:val="en-US" w:eastAsia="zh-CN"/>
              </w:rPr>
              <w:t>或</w:t>
            </w:r>
            <w:r>
              <w:rPr>
                <w:rFonts w:hint="eastAsia" w:ascii="Times New Roman" w:hAnsi="Times New Roman" w:eastAsia="宋体" w:cs="Times New Roman"/>
                <w:szCs w:val="21"/>
              </w:rPr>
              <w:t>二个五天血小板保存袋。</w:t>
            </w:r>
          </w:p>
          <w:p w14:paraId="178BCED8">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8、可记录采集过程中的报警和事件，便于溯源和分析。</w:t>
            </w:r>
          </w:p>
          <w:p w14:paraId="414A96FE">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9、标配有实时压力监控的自动充放气袖带，保证献血过程的流程和舒适。</w:t>
            </w:r>
          </w:p>
          <w:p w14:paraId="1A0B34B9">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10、不管采集单份还是双份血小板，均具备盐水初始化及静脉盐水补偿的功能，符合国家《献血相关血管迷走神经预防和处置指南》中对单采过程体外血容量的控制要求。</w:t>
            </w:r>
          </w:p>
          <w:p w14:paraId="595D8BB4">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11、具有检测、监视报警系统，开机自检、耗材初始化检测、全程实时压力监控、数字化流量控制、回输空气检测等功能。</w:t>
            </w:r>
          </w:p>
          <w:p w14:paraId="0CF85B64">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12、单采血小板产品质量参数要满足GB 18469-2012《全血及成分血质量要求》，其中：血小板含量：单份血小板：≥2.5×10</w:t>
            </w:r>
            <w:r>
              <w:rPr>
                <w:rFonts w:hint="eastAsia" w:ascii="Times New Roman" w:hAnsi="Times New Roman" w:eastAsia="宋体" w:cs="Times New Roman"/>
                <w:szCs w:val="21"/>
                <w:vertAlign w:val="superscript"/>
              </w:rPr>
              <w:t>11</w:t>
            </w:r>
            <w:r>
              <w:rPr>
                <w:rFonts w:hint="eastAsia" w:ascii="Times New Roman" w:hAnsi="Times New Roman" w:eastAsia="宋体" w:cs="Times New Roman"/>
                <w:szCs w:val="21"/>
              </w:rPr>
              <w:t>个/袋；双份血小板：≥5×10</w:t>
            </w:r>
            <w:r>
              <w:rPr>
                <w:rFonts w:hint="eastAsia" w:ascii="Times New Roman" w:hAnsi="Times New Roman" w:eastAsia="宋体" w:cs="Times New Roman"/>
                <w:szCs w:val="21"/>
                <w:vertAlign w:val="superscript"/>
              </w:rPr>
              <w:t>11</w:t>
            </w:r>
            <w:r>
              <w:rPr>
                <w:rFonts w:hint="eastAsia" w:ascii="Times New Roman" w:hAnsi="Times New Roman" w:eastAsia="宋体" w:cs="Times New Roman"/>
                <w:szCs w:val="21"/>
              </w:rPr>
              <w:t>个/袋，采集成品为去除白细胞的血小板（白细胞计数低于1.0×10</w:t>
            </w:r>
            <w:r>
              <w:rPr>
                <w:rFonts w:hint="eastAsia" w:ascii="Times New Roman" w:hAnsi="Times New Roman" w:eastAsia="宋体" w:cs="Times New Roman"/>
                <w:szCs w:val="21"/>
                <w:vertAlign w:val="superscript"/>
              </w:rPr>
              <w:t>6</w:t>
            </w:r>
            <w:r>
              <w:rPr>
                <w:rFonts w:hint="eastAsia" w:ascii="Times New Roman" w:hAnsi="Times New Roman" w:eastAsia="宋体" w:cs="Times New Roman"/>
                <w:szCs w:val="21"/>
              </w:rPr>
              <w:t>（90%置信区间），红细胞混入量≤8.0×10</w:t>
            </w:r>
            <w:r>
              <w:rPr>
                <w:rFonts w:hint="eastAsia" w:ascii="Times New Roman" w:hAnsi="Times New Roman" w:eastAsia="宋体" w:cs="Times New Roman"/>
                <w:szCs w:val="21"/>
                <w:vertAlign w:val="superscript"/>
              </w:rPr>
              <w:t>9</w:t>
            </w:r>
            <w:r>
              <w:rPr>
                <w:rFonts w:hint="eastAsia" w:ascii="Times New Roman" w:hAnsi="Times New Roman" w:eastAsia="宋体" w:cs="Times New Roman"/>
                <w:szCs w:val="21"/>
              </w:rPr>
              <w:t>/袋）。</w:t>
            </w:r>
          </w:p>
          <w:p w14:paraId="3E0CB924">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13、抗凝剂控制及比例范围7</w:t>
            </w:r>
            <w:r>
              <w:rPr>
                <w:rFonts w:hint="eastAsia" w:ascii="Times New Roman" w:hAnsi="Times New Roman" w:cs="Times New Roman"/>
                <w:szCs w:val="21"/>
                <w:lang w:val="en-US" w:eastAsia="zh-CN"/>
              </w:rPr>
              <w:t>~</w:t>
            </w:r>
            <w:r>
              <w:rPr>
                <w:rFonts w:hint="eastAsia" w:ascii="Times New Roman" w:hAnsi="Times New Roman" w:eastAsia="宋体" w:cs="Times New Roman"/>
                <w:szCs w:val="21"/>
              </w:rPr>
              <w:t>12:1，可根据献血员个体差异控制抗凝剂输注速率。</w:t>
            </w:r>
          </w:p>
          <w:p w14:paraId="5D7C41AB">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szCs w:val="21"/>
              </w:rPr>
            </w:pPr>
            <w:r>
              <w:rPr>
                <w:rFonts w:hint="eastAsia" w:ascii="Times New Roman" w:hAnsi="Times New Roman" w:eastAsia="宋体" w:cs="Times New Roman"/>
                <w:szCs w:val="21"/>
              </w:rPr>
              <w:t>14、可自行设置血小板产量和体积，满足多种采集需要；可采集高浓缩血小板；可生产标准化血液制品。</w:t>
            </w:r>
          </w:p>
          <w:p w14:paraId="30039E9F">
            <w:pPr>
              <w:spacing w:line="420" w:lineRule="exact"/>
              <w:rPr>
                <w:rFonts w:hint="eastAsia" w:asciiTheme="minorEastAsia" w:hAnsiTheme="minorEastAsia" w:cstheme="minorEastAsia"/>
                <w:b/>
                <w:bCs/>
                <w:szCs w:val="21"/>
                <w:highlight w:val="none"/>
                <w:lang w:val="en-US" w:eastAsia="zh-CN"/>
              </w:rPr>
            </w:pPr>
            <w:r>
              <w:rPr>
                <w:rFonts w:hint="eastAsia" w:asciiTheme="minorEastAsia" w:hAnsiTheme="minorEastAsia" w:cstheme="minorEastAsia"/>
                <w:b/>
                <w:bCs/>
                <w:szCs w:val="21"/>
                <w:highlight w:val="none"/>
                <w:lang w:val="en-US" w:eastAsia="zh-CN"/>
              </w:rPr>
              <w:t>二、其他要求：</w:t>
            </w:r>
          </w:p>
          <w:p w14:paraId="1C843088">
            <w:pPr>
              <w:spacing w:line="420" w:lineRule="exact"/>
              <w:rPr>
                <w:rFonts w:hint="eastAsia" w:asciiTheme="minorEastAsia" w:hAnsiTheme="minorEastAsia" w:cstheme="minorEastAsia"/>
                <w:b w:val="0"/>
                <w:bCs w:val="0"/>
                <w:szCs w:val="21"/>
                <w:highlight w:val="none"/>
                <w:lang w:val="en-US" w:eastAsia="zh-CN"/>
              </w:rPr>
            </w:pPr>
            <w:r>
              <w:rPr>
                <w:rFonts w:hint="eastAsia" w:asciiTheme="minorEastAsia" w:hAnsiTheme="minorEastAsia" w:cstheme="minorEastAsia"/>
                <w:b w:val="0"/>
                <w:bCs w:val="0"/>
                <w:szCs w:val="21"/>
                <w:highlight w:val="none"/>
                <w:lang w:val="en-US" w:eastAsia="zh-CN"/>
              </w:rPr>
              <w:t>1、提供</w:t>
            </w:r>
            <w:r>
              <w:rPr>
                <w:rFonts w:hint="eastAsia" w:ascii="宋体" w:hAnsi="宋体" w:eastAsia="宋体" w:cs="Times New Roman"/>
                <w:bCs/>
                <w:color w:val="auto"/>
                <w:kern w:val="2"/>
                <w:sz w:val="21"/>
                <w:highlight w:val="none"/>
                <w:lang w:val="en-US" w:eastAsia="zh-CN"/>
              </w:rPr>
              <w:t>项目实施进度计划、租赁服务与管理、设备的维护与升级，质量及安全保障措施、等</w:t>
            </w:r>
            <w:r>
              <w:rPr>
                <w:rFonts w:hint="eastAsia" w:asciiTheme="minorEastAsia" w:hAnsiTheme="minorEastAsia" w:eastAsiaTheme="minorEastAsia" w:cstheme="minorEastAsia"/>
                <w:b w:val="0"/>
                <w:bCs w:val="0"/>
                <w:szCs w:val="21"/>
                <w:highlight w:val="none"/>
                <w:lang w:val="en-US" w:eastAsia="zh-CN"/>
              </w:rPr>
              <w:t>响应服务方案（如有请提供）。</w:t>
            </w:r>
          </w:p>
          <w:p w14:paraId="6C1D47D2">
            <w:pPr>
              <w:pStyle w:val="13"/>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heme="minorEastAsia" w:hAnsiTheme="minorEastAsia" w:cstheme="minorEastAsia"/>
                <w:b w:val="0"/>
                <w:bCs w:val="0"/>
                <w:szCs w:val="21"/>
                <w:highlight w:val="none"/>
                <w:lang w:val="en-US" w:eastAsia="zh-CN"/>
              </w:rPr>
              <w:t>2、提供</w:t>
            </w:r>
            <w:r>
              <w:rPr>
                <w:rFonts w:hint="eastAsia" w:asciiTheme="minorEastAsia" w:hAnsiTheme="minorEastAsia" w:eastAsiaTheme="minorEastAsia" w:cstheme="minorEastAsia"/>
                <w:b w:val="0"/>
                <w:bCs w:val="0"/>
                <w:szCs w:val="21"/>
                <w:highlight w:val="none"/>
                <w:lang w:val="en-US" w:eastAsia="zh-CN"/>
              </w:rPr>
              <w:t>类似业绩及服务能力水平等有关证明材料（如有请提供）。</w:t>
            </w:r>
          </w:p>
        </w:tc>
        <w:tc>
          <w:tcPr>
            <w:tcW w:w="967"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南宁中心血站2025年血细胞分离机租赁服务</w:t>
            </w:r>
          </w:p>
        </w:tc>
        <w:tc>
          <w:tcPr>
            <w:tcW w:w="2750"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13"/>
        <w:rPr>
          <w:rFonts w:hint="eastAsia" w:ascii="仿宋" w:hAnsi="仿宋" w:eastAsia="仿宋"/>
          <w:color w:val="auto"/>
          <w:sz w:val="30"/>
          <w:szCs w:val="30"/>
        </w:rPr>
      </w:pPr>
    </w:p>
    <w:p w14:paraId="7C15E020">
      <w:pPr>
        <w:pStyle w:val="13"/>
        <w:rPr>
          <w:rFonts w:hint="eastAsia" w:ascii="仿宋" w:hAnsi="仿宋" w:eastAsia="仿宋"/>
          <w:color w:val="auto"/>
          <w:sz w:val="30"/>
          <w:szCs w:val="30"/>
        </w:rPr>
      </w:pPr>
    </w:p>
    <w:p w14:paraId="50F459C2">
      <w:pPr>
        <w:pStyle w:val="13"/>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both"/>
        <w:rPr>
          <w:rFonts w:hint="eastAsia" w:ascii="宋体" w:hAnsi="宋体"/>
          <w:b/>
          <w:color w:val="auto"/>
          <w:sz w:val="36"/>
          <w:szCs w:val="36"/>
        </w:rPr>
      </w:pPr>
    </w:p>
    <w:p w14:paraId="003F1E03">
      <w:pPr>
        <w:pStyle w:val="7"/>
        <w:ind w:firstLine="420" w:firstLineChars="200"/>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48335758">
      <w:pPr>
        <w:pStyle w:val="36"/>
        <w:ind w:firstLine="462" w:firstLineChars="200"/>
      </w:pPr>
      <w:r>
        <w:rPr>
          <w:rFonts w:hint="eastAsia" w:ascii="宋体" w:hAnsi="宋体" w:cs="宋体"/>
          <w:b/>
          <w:sz w:val="21"/>
          <w:szCs w:val="21"/>
        </w:rPr>
        <w:t>本采购</w:t>
      </w:r>
      <w:r>
        <w:rPr>
          <w:rFonts w:hint="eastAsia" w:ascii="宋体" w:hAnsi="宋体" w:cs="宋体"/>
          <w:b/>
          <w:sz w:val="21"/>
          <w:szCs w:val="21"/>
          <w:lang w:val="en-US" w:eastAsia="zh-CN"/>
        </w:rPr>
        <w:t>项目商务</w:t>
      </w:r>
      <w:r>
        <w:rPr>
          <w:rFonts w:hint="eastAsia" w:ascii="宋体" w:hAnsi="宋体" w:cs="宋体"/>
          <w:b/>
          <w:sz w:val="21"/>
          <w:szCs w:val="21"/>
        </w:rPr>
        <w:t>需要全部满足，不允许负偏离，负偏离视为无效响应</w:t>
      </w:r>
      <w:r>
        <w:rPr>
          <w:rFonts w:hint="eastAsia" w:hAnsi="宋体"/>
          <w:b/>
          <w:sz w:val="21"/>
          <w:szCs w:val="21"/>
        </w:rPr>
        <w:t>。</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21D44D4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一、合同签订期：</w:t>
            </w:r>
            <w:r>
              <w:rPr>
                <w:rFonts w:hint="eastAsia"/>
                <w:color w:val="auto"/>
                <w:sz w:val="21"/>
                <w:szCs w:val="21"/>
                <w:highlight w:val="none"/>
                <w:lang w:val="en-US" w:eastAsia="zh-CN"/>
              </w:rPr>
              <w:t>自成交通知书发出之日起25日内。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54C8BED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二、租赁期限：</w:t>
            </w:r>
            <w:r>
              <w:rPr>
                <w:rFonts w:hint="eastAsia"/>
                <w:color w:val="auto"/>
                <w:sz w:val="21"/>
                <w:szCs w:val="21"/>
                <w:highlight w:val="none"/>
                <w:lang w:val="en-US" w:eastAsia="zh-CN"/>
              </w:rPr>
              <w:t>自交付验收合格之日起1年；自合同签订之日起30个日历日内安装调试完毕并验收合格交付使用。</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25040729">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29813D7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三、合同延续年限、条件和方式：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640" w:type="dxa"/>
            <w:vAlign w:val="center"/>
          </w:tcPr>
          <w:p w14:paraId="29FFF0A2">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357CBB9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四、服务地点</w:t>
            </w:r>
            <w:r>
              <w:rPr>
                <w:rFonts w:hint="eastAsia"/>
                <w:color w:val="auto"/>
                <w:sz w:val="21"/>
                <w:szCs w:val="21"/>
                <w:highlight w:val="none"/>
                <w:lang w:val="en-US" w:eastAsia="zh-CN"/>
              </w:rPr>
              <w:t>：南宁中心血站指定地点。</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640" w:type="dxa"/>
            <w:vAlign w:val="center"/>
          </w:tcPr>
          <w:p w14:paraId="3A6A8FE7">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6" w:name="_Toc24401"/>
            <w:bookmarkStart w:id="17" w:name="_Toc28228"/>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42583D4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b/>
                <w:bCs/>
                <w:color w:val="auto"/>
                <w:sz w:val="21"/>
                <w:szCs w:val="21"/>
                <w:highlight w:val="none"/>
                <w:lang w:val="en-US" w:eastAsia="zh-CN"/>
              </w:rPr>
            </w:pPr>
            <w:r>
              <w:rPr>
                <w:rFonts w:hint="eastAsia"/>
                <w:b/>
                <w:bCs/>
                <w:color w:val="auto"/>
                <w:sz w:val="21"/>
                <w:szCs w:val="21"/>
                <w:highlight w:val="none"/>
                <w:lang w:val="en-US" w:eastAsia="zh-CN"/>
              </w:rPr>
              <w:t>五、售后服务要求：</w:t>
            </w:r>
          </w:p>
          <w:p w14:paraId="6C848E5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1、设备租赁期内免费上门安装、维修、更换配件、软件升级、上门校准（含出具检测报告及工程师授权证书）。</w:t>
            </w:r>
          </w:p>
          <w:p w14:paraId="3F72194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2、免费为采购单位提供的完善的设备、操作培训和维修技术人员的培训（不少于一周），确保采购单位有关人员能独立操作使用设备；培训人数由采购单位确定。</w:t>
            </w:r>
          </w:p>
          <w:p w14:paraId="313934E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3、故障响应时间：设备在使用过程中发生质量问题，供应商技术人员在接到用户方通知后2小时响应，24小时内到达用户方现场解决处理。</w:t>
            </w:r>
          </w:p>
          <w:p w14:paraId="276D2DA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4、竞标人应承诺在广西地区设有固定的售后服务点（提供详细地址、技术人员名单、联系电话）。</w:t>
            </w:r>
          </w:p>
          <w:p w14:paraId="239E021D">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color w:val="auto"/>
                <w:sz w:val="21"/>
                <w:szCs w:val="21"/>
                <w:highlight w:val="none"/>
                <w:lang w:val="en-US" w:eastAsia="zh-CN"/>
              </w:rPr>
              <w:t>5、租赁设备如为二、三类医疗器械的，响应文件提供竞标产品的医疗器械注册证复印件或备案证明复印件。</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60AA8D0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六、其他要求：</w:t>
            </w:r>
            <w:r>
              <w:rPr>
                <w:rFonts w:hint="eastAsia"/>
                <w:color w:val="auto"/>
                <w:sz w:val="21"/>
                <w:szCs w:val="21"/>
                <w:highlight w:val="none"/>
                <w:lang w:val="en-US" w:eastAsia="zh-CN"/>
              </w:rPr>
              <w:t xml:space="preserve">                                                                                                                                                            </w:t>
            </w:r>
          </w:p>
          <w:p w14:paraId="5F9E1CB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1、竞标总报价为采购人提供租赁服务的费用，包括：</w:t>
            </w:r>
          </w:p>
          <w:p w14:paraId="787AFB0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（1）服务及服务所需货物的费用；</w:t>
            </w:r>
          </w:p>
          <w:p w14:paraId="5BEA7FD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（2）服务期内所需货物的标准附件、备品备件、专用工具、数据接口等费用；</w:t>
            </w:r>
          </w:p>
          <w:p w14:paraId="64FC090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（3）运输、调试、培训、技术支持、售后服务等费用；</w:t>
            </w:r>
          </w:p>
          <w:p w14:paraId="01C4D5F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（4）必要的保险费用和各项税费；</w:t>
            </w:r>
          </w:p>
          <w:p w14:paraId="0AF43A1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（5）安装费用。</w:t>
            </w:r>
          </w:p>
          <w:p w14:paraId="30169C0B">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2、付款方式：</w:t>
            </w:r>
            <w:r>
              <w:rPr>
                <w:rFonts w:hint="eastAsia" w:ascii="宋体" w:hAnsi="宋体" w:cs="宋体"/>
                <w:szCs w:val="21"/>
                <w:highlight w:val="none"/>
              </w:rPr>
              <w:t>本项目无预付款，</w:t>
            </w:r>
            <w:r>
              <w:rPr>
                <w:rFonts w:hint="eastAsia" w:ascii="宋体" w:hAnsi="宋体" w:cs="宋体"/>
                <w:szCs w:val="21"/>
                <w:highlight w:val="none"/>
                <w:lang w:val="en-US" w:eastAsia="zh-CN"/>
              </w:rPr>
              <w:t>租赁服务中的设备到货并验收合格后，</w:t>
            </w:r>
            <w:r>
              <w:rPr>
                <w:rFonts w:hint="eastAsia" w:ascii="宋体" w:hAnsi="宋体" w:cs="宋体"/>
                <w:szCs w:val="21"/>
                <w:highlight w:val="none"/>
              </w:rPr>
              <w:t>一次性支付合同款</w:t>
            </w:r>
            <w:r>
              <w:rPr>
                <w:rFonts w:hint="eastAsia" w:ascii="宋体" w:hAnsi="宋体" w:cs="宋体"/>
                <w:szCs w:val="21"/>
                <w:highlight w:val="none"/>
                <w:lang w:val="en-US" w:eastAsia="zh-CN"/>
              </w:rPr>
              <w:t>。</w:t>
            </w:r>
          </w:p>
          <w:p w14:paraId="2A59080E">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ascii="宋体" w:hAnsi="宋体" w:eastAsia="宋体"/>
                <w:color w:val="auto"/>
                <w:highlight w:val="none"/>
              </w:rPr>
            </w:pPr>
            <w:r>
              <w:rPr>
                <w:rFonts w:hint="eastAsia" w:ascii="宋体" w:hAnsi="宋体" w:cs="宋体"/>
                <w:szCs w:val="21"/>
                <w:highlight w:val="none"/>
                <w:lang w:val="en-US" w:eastAsia="zh-CN"/>
              </w:rPr>
              <w:t>3、</w:t>
            </w:r>
            <w:r>
              <w:rPr>
                <w:rFonts w:hint="eastAsia" w:ascii="宋体" w:hAnsi="宋体" w:cs="宋体"/>
                <w:szCs w:val="21"/>
                <w:highlight w:val="none"/>
              </w:rPr>
              <w:t>本项目不得</w:t>
            </w:r>
            <w:r>
              <w:rPr>
                <w:rFonts w:hint="eastAsia" w:ascii="宋体" w:hAnsi="宋体" w:eastAsia="宋体"/>
                <w:color w:val="auto"/>
                <w:highlight w:val="none"/>
              </w:rPr>
              <w:t>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5D62DC21">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olor w:val="auto"/>
                <w:highlight w:val="none"/>
                <w:lang w:val="en-US" w:eastAsia="zh-CN"/>
              </w:rPr>
              <w:t>4、</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0D4E42C">
      <w:pPr>
        <w:pStyle w:val="2"/>
        <w:rPr>
          <w:rFonts w:hint="eastAsia" w:asciiTheme="minorEastAsia" w:hAnsiTheme="minorEastAsia" w:eastAsiaTheme="minorEastAsia" w:cstheme="minorEastAsia"/>
          <w:color w:val="auto"/>
          <w:kern w:val="2"/>
          <w:sz w:val="21"/>
          <w:szCs w:val="21"/>
          <w:lang w:val="en-US" w:eastAsia="zh-CN" w:bidi="ar-SA"/>
        </w:rPr>
      </w:pPr>
    </w:p>
    <w:p w14:paraId="1EEB3AD3">
      <w:pPr>
        <w:pStyle w:val="2"/>
        <w:rPr>
          <w:rFonts w:hint="eastAsia" w:asciiTheme="minorEastAsia" w:hAnsiTheme="minorEastAsia" w:eastAsiaTheme="minorEastAsia" w:cstheme="minorEastAsia"/>
          <w:color w:val="auto"/>
          <w:kern w:val="2"/>
          <w:sz w:val="21"/>
          <w:szCs w:val="21"/>
          <w:lang w:val="en-US" w:eastAsia="zh-CN" w:bidi="ar-SA"/>
        </w:rPr>
      </w:pPr>
    </w:p>
    <w:p w14:paraId="1A1B6023">
      <w:pPr>
        <w:pStyle w:val="2"/>
        <w:rPr>
          <w:rFonts w:hint="eastAsia" w:asciiTheme="minorEastAsia" w:hAnsiTheme="minorEastAsia" w:eastAsiaTheme="minorEastAsia" w:cstheme="minorEastAsia"/>
          <w:color w:val="auto"/>
          <w:kern w:val="2"/>
          <w:sz w:val="21"/>
          <w:szCs w:val="21"/>
          <w:lang w:val="en-US" w:eastAsia="zh-CN" w:bidi="ar-SA"/>
        </w:rPr>
      </w:pPr>
    </w:p>
    <w:p w14:paraId="58F511AB">
      <w:pPr>
        <w:pStyle w:val="2"/>
        <w:rPr>
          <w:rFonts w:hint="eastAsia" w:asciiTheme="minorEastAsia" w:hAnsiTheme="minorEastAsia" w:eastAsiaTheme="minorEastAsia" w:cstheme="minorEastAsia"/>
          <w:color w:val="auto"/>
          <w:kern w:val="2"/>
          <w:sz w:val="21"/>
          <w:szCs w:val="21"/>
          <w:lang w:val="en-US" w:eastAsia="zh-CN" w:bidi="ar-SA"/>
        </w:rPr>
      </w:pPr>
    </w:p>
    <w:p w14:paraId="027B9F15">
      <w:pPr>
        <w:pStyle w:val="2"/>
        <w:rPr>
          <w:rFonts w:hint="eastAsia" w:asciiTheme="minorEastAsia" w:hAnsiTheme="minorEastAsia" w:eastAsiaTheme="minorEastAsia" w:cstheme="minorEastAsia"/>
          <w:color w:val="auto"/>
          <w:kern w:val="2"/>
          <w:sz w:val="21"/>
          <w:szCs w:val="21"/>
          <w:lang w:val="en-US" w:eastAsia="zh-CN" w:bidi="ar-SA"/>
        </w:rPr>
      </w:pPr>
    </w:p>
    <w:p w14:paraId="1EFC464A">
      <w:pPr>
        <w:pStyle w:val="2"/>
        <w:rPr>
          <w:rFonts w:hint="eastAsia" w:asciiTheme="minorEastAsia" w:hAnsiTheme="minorEastAsia" w:eastAsiaTheme="minorEastAsia" w:cstheme="minorEastAsia"/>
          <w:color w:val="auto"/>
          <w:kern w:val="2"/>
          <w:sz w:val="21"/>
          <w:szCs w:val="21"/>
          <w:lang w:val="en-US" w:eastAsia="zh-CN" w:bidi="ar-SA"/>
        </w:rPr>
      </w:pPr>
    </w:p>
    <w:p w14:paraId="61212705">
      <w:pPr>
        <w:pStyle w:val="2"/>
        <w:rPr>
          <w:rFonts w:hint="eastAsia" w:asciiTheme="minorEastAsia" w:hAnsiTheme="minorEastAsia" w:eastAsiaTheme="minorEastAsia" w:cstheme="minorEastAsia"/>
          <w:color w:val="auto"/>
          <w:kern w:val="2"/>
          <w:sz w:val="21"/>
          <w:szCs w:val="21"/>
          <w:lang w:val="en-US" w:eastAsia="zh-CN" w:bidi="ar-SA"/>
        </w:rPr>
      </w:pPr>
    </w:p>
    <w:p w14:paraId="7E57233E">
      <w:pPr>
        <w:pStyle w:val="2"/>
        <w:rPr>
          <w:rFonts w:hint="eastAsia" w:asciiTheme="minorEastAsia" w:hAnsiTheme="minorEastAsia" w:eastAsiaTheme="minorEastAsia" w:cstheme="minorEastAsia"/>
          <w:color w:val="auto"/>
          <w:kern w:val="2"/>
          <w:sz w:val="21"/>
          <w:szCs w:val="21"/>
          <w:lang w:val="en-US" w:eastAsia="zh-CN" w:bidi="ar-SA"/>
        </w:rPr>
      </w:pPr>
    </w:p>
    <w:p w14:paraId="60EA1758">
      <w:pPr>
        <w:pStyle w:val="2"/>
        <w:rPr>
          <w:rFonts w:hint="eastAsia" w:asciiTheme="minorEastAsia" w:hAnsiTheme="minorEastAsia" w:eastAsiaTheme="minorEastAsia" w:cstheme="minorEastAsia"/>
          <w:color w:val="auto"/>
          <w:kern w:val="2"/>
          <w:sz w:val="21"/>
          <w:szCs w:val="21"/>
          <w:lang w:val="en-US" w:eastAsia="zh-CN" w:bidi="ar-SA"/>
        </w:rPr>
      </w:pPr>
    </w:p>
    <w:p w14:paraId="0C914F18">
      <w:pPr>
        <w:pStyle w:val="2"/>
        <w:rPr>
          <w:rFonts w:hint="eastAsia" w:asciiTheme="minorEastAsia" w:hAnsiTheme="minorEastAsia" w:eastAsiaTheme="minorEastAsia" w:cstheme="minorEastAsia"/>
          <w:color w:val="auto"/>
          <w:kern w:val="2"/>
          <w:sz w:val="21"/>
          <w:szCs w:val="21"/>
          <w:lang w:val="en-US" w:eastAsia="zh-CN" w:bidi="ar-SA"/>
        </w:rPr>
      </w:pPr>
    </w:p>
    <w:p w14:paraId="3E6A8E8F">
      <w:pPr>
        <w:pStyle w:val="2"/>
        <w:rPr>
          <w:rFonts w:hint="eastAsia" w:asciiTheme="minorEastAsia" w:hAnsiTheme="minorEastAsia" w:eastAsiaTheme="minorEastAsia" w:cstheme="minorEastAsia"/>
          <w:color w:val="auto"/>
          <w:kern w:val="2"/>
          <w:sz w:val="21"/>
          <w:szCs w:val="21"/>
          <w:lang w:val="en-US" w:eastAsia="zh-CN" w:bidi="ar-SA"/>
        </w:rPr>
      </w:pPr>
    </w:p>
    <w:p w14:paraId="7B2ECD7E">
      <w:pPr>
        <w:pStyle w:val="2"/>
        <w:rPr>
          <w:rFonts w:hint="eastAsia" w:asciiTheme="minorEastAsia" w:hAnsiTheme="minorEastAsia" w:eastAsiaTheme="minorEastAsia" w:cstheme="minorEastAsia"/>
          <w:color w:val="auto"/>
          <w:kern w:val="2"/>
          <w:sz w:val="21"/>
          <w:szCs w:val="21"/>
          <w:lang w:val="en-US" w:eastAsia="zh-CN" w:bidi="ar-SA"/>
        </w:rPr>
      </w:pPr>
    </w:p>
    <w:p w14:paraId="213648E1">
      <w:pPr>
        <w:pStyle w:val="2"/>
        <w:rPr>
          <w:rFonts w:hint="eastAsia" w:asciiTheme="minorEastAsia" w:hAnsiTheme="minorEastAsia" w:eastAsiaTheme="minorEastAsia" w:cstheme="minorEastAsia"/>
          <w:color w:val="auto"/>
          <w:kern w:val="2"/>
          <w:sz w:val="21"/>
          <w:szCs w:val="21"/>
          <w:lang w:val="en-US" w:eastAsia="zh-CN" w:bidi="ar-SA"/>
        </w:rPr>
      </w:pPr>
    </w:p>
    <w:p w14:paraId="24070016">
      <w:pPr>
        <w:pStyle w:val="2"/>
        <w:rPr>
          <w:rFonts w:hint="eastAsia" w:asciiTheme="minorEastAsia" w:hAnsiTheme="minorEastAsia" w:eastAsiaTheme="minorEastAsia" w:cstheme="minorEastAsia"/>
          <w:color w:val="auto"/>
          <w:kern w:val="2"/>
          <w:sz w:val="21"/>
          <w:szCs w:val="21"/>
          <w:lang w:val="en-US" w:eastAsia="zh-CN" w:bidi="ar-SA"/>
        </w:rPr>
      </w:pPr>
    </w:p>
    <w:p w14:paraId="5903D737">
      <w:pPr>
        <w:pStyle w:val="2"/>
        <w:rPr>
          <w:rFonts w:hint="eastAsia" w:asciiTheme="minorEastAsia" w:hAnsiTheme="minorEastAsia" w:eastAsiaTheme="minorEastAsia" w:cstheme="minorEastAsia"/>
          <w:color w:val="auto"/>
          <w:kern w:val="2"/>
          <w:sz w:val="21"/>
          <w:szCs w:val="21"/>
          <w:lang w:val="en-US" w:eastAsia="zh-CN" w:bidi="ar-SA"/>
        </w:rPr>
      </w:pPr>
    </w:p>
    <w:p w14:paraId="157EE09C">
      <w:pPr>
        <w:pStyle w:val="2"/>
        <w:rPr>
          <w:rFonts w:hint="eastAsia" w:asciiTheme="minorEastAsia" w:hAnsiTheme="minorEastAsia" w:eastAsiaTheme="minorEastAsia" w:cstheme="minorEastAsia"/>
          <w:color w:val="auto"/>
          <w:kern w:val="2"/>
          <w:sz w:val="21"/>
          <w:szCs w:val="21"/>
          <w:lang w:val="en-US" w:eastAsia="zh-CN" w:bidi="ar-SA"/>
        </w:rPr>
      </w:pPr>
    </w:p>
    <w:p w14:paraId="528D7A16">
      <w:pPr>
        <w:pStyle w:val="2"/>
        <w:rPr>
          <w:rFonts w:hint="eastAsia" w:asciiTheme="minorEastAsia" w:hAnsiTheme="minorEastAsia" w:eastAsiaTheme="minorEastAsia" w:cstheme="minorEastAsia"/>
          <w:color w:val="auto"/>
          <w:kern w:val="2"/>
          <w:sz w:val="21"/>
          <w:szCs w:val="21"/>
          <w:lang w:val="en-US" w:eastAsia="zh-CN" w:bidi="ar-SA"/>
        </w:rPr>
      </w:pPr>
    </w:p>
    <w:p w14:paraId="47062841">
      <w:pPr>
        <w:pStyle w:val="2"/>
        <w:rPr>
          <w:rFonts w:hint="eastAsia" w:asciiTheme="minorEastAsia" w:hAnsiTheme="minorEastAsia" w:eastAsiaTheme="minorEastAsia" w:cstheme="minorEastAsia"/>
          <w:color w:val="auto"/>
          <w:kern w:val="2"/>
          <w:sz w:val="21"/>
          <w:szCs w:val="21"/>
          <w:lang w:val="en-US" w:eastAsia="zh-CN" w:bidi="ar-SA"/>
        </w:rPr>
      </w:pPr>
    </w:p>
    <w:p w14:paraId="4239F87D">
      <w:pPr>
        <w:pStyle w:val="2"/>
        <w:rPr>
          <w:rFonts w:hint="eastAsia" w:asciiTheme="minorEastAsia" w:hAnsiTheme="minorEastAsia" w:eastAsiaTheme="minorEastAsia" w:cstheme="minorEastAsia"/>
          <w:color w:val="auto"/>
          <w:kern w:val="2"/>
          <w:sz w:val="21"/>
          <w:szCs w:val="21"/>
          <w:lang w:val="en-US" w:eastAsia="zh-CN" w:bidi="ar-SA"/>
        </w:rPr>
      </w:pPr>
    </w:p>
    <w:p w14:paraId="1A44BA80">
      <w:pPr>
        <w:pStyle w:val="2"/>
        <w:rPr>
          <w:rFonts w:hint="eastAsia" w:asciiTheme="minorEastAsia" w:hAnsiTheme="minorEastAsia" w:eastAsiaTheme="minorEastAsia" w:cstheme="minorEastAsia"/>
          <w:color w:val="auto"/>
          <w:kern w:val="2"/>
          <w:sz w:val="21"/>
          <w:szCs w:val="21"/>
          <w:lang w:val="en-US" w:eastAsia="zh-CN" w:bidi="ar-SA"/>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南宁中心血站2025年血细胞分离机租赁服务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3"/>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3"/>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6"/>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3"/>
        <w:rPr>
          <w:rFonts w:hint="eastAsia" w:ascii="宋体" w:hAnsi="宋体" w:cs="宋体"/>
          <w:b/>
          <w:sz w:val="30"/>
          <w:szCs w:val="30"/>
        </w:rPr>
      </w:pPr>
    </w:p>
    <w:p w14:paraId="2B8C9D53">
      <w:pPr>
        <w:pStyle w:val="13"/>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338B1A-EBDC-481C-9A8B-4B223323827A}"/>
  </w:font>
  <w:font w:name="Courier New">
    <w:panose1 w:val="02070309020205020404"/>
    <w:charset w:val="01"/>
    <w:family w:val="modern"/>
    <w:pitch w:val="default"/>
    <w:sig w:usb0="E0002EFF" w:usb1="C0007843" w:usb2="00000009" w:usb3="00000000" w:csb0="400001FF" w:csb1="FFFF0000"/>
    <w:embedRegular r:id="rId2" w:fontKey="{9199C7C8-5415-4761-AC74-96E2B08FE55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77EDD98-EB99-4FFC-950A-5BE726657A22}"/>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1116C709-928A-48A5-B073-1FAD8EB85B80}"/>
  </w:font>
  <w:font w:name="仿宋_GB2312">
    <w:panose1 w:val="02010609030101010101"/>
    <w:charset w:val="86"/>
    <w:family w:val="modern"/>
    <w:pitch w:val="default"/>
    <w:sig w:usb0="00000001" w:usb1="080E0000" w:usb2="00000000" w:usb3="00000000" w:csb0="00040000" w:csb1="00000000"/>
    <w:embedRegular r:id="rId5" w:fontKey="{BBD5DDBC-B712-4A4B-88B5-5E21BE0754B2}"/>
  </w:font>
  <w:font w:name="Lucida Sans Unicode">
    <w:panose1 w:val="020B0602030504020204"/>
    <w:charset w:val="00"/>
    <w:family w:val="swiss"/>
    <w:pitch w:val="default"/>
    <w:sig w:usb0="80001AFF" w:usb1="0000396B" w:usb2="00000000" w:usb3="00000000" w:csb0="200000BF" w:csb1="D7F70000"/>
    <w:embedRegular r:id="rId6" w:fontKey="{FB5D65D7-2AE3-455F-AB9E-ACBB20BC6482}"/>
  </w:font>
  <w:font w:name="方正楷体_GB2312">
    <w:panose1 w:val="02000000000000000000"/>
    <w:charset w:val="86"/>
    <w:family w:val="auto"/>
    <w:pitch w:val="default"/>
    <w:sig w:usb0="A00002BF" w:usb1="184F6CFA" w:usb2="00000012" w:usb3="00000000" w:csb0="00040001" w:csb1="00000000"/>
    <w:embedRegular r:id="rId7" w:fontKey="{36E88EEA-8E88-4421-83A8-5A3024E81FF5}"/>
  </w:font>
  <w:font w:name="仿宋">
    <w:panose1 w:val="02010609060101010101"/>
    <w:charset w:val="86"/>
    <w:family w:val="modern"/>
    <w:pitch w:val="default"/>
    <w:sig w:usb0="800002BF" w:usb1="38CF7CFA" w:usb2="00000016" w:usb3="00000000" w:csb0="00040001" w:csb1="00000000"/>
    <w:embedRegular r:id="rId8" w:fontKey="{B72AC75D-7F15-4518-97EF-FB08BF2A5104}"/>
  </w:font>
  <w:font w:name="Wingdings 2">
    <w:panose1 w:val="05020102010507070707"/>
    <w:charset w:val="02"/>
    <w:family w:val="roman"/>
    <w:pitch w:val="default"/>
    <w:sig w:usb0="00000000" w:usb1="00000000" w:usb2="00000000" w:usb3="00000000" w:csb0="80000000" w:csb1="00000000"/>
    <w:embedRegular r:id="rId9" w:fontKey="{839E31A8-9FC4-40BB-A22D-7D7CEE217730}"/>
  </w:font>
  <w:font w:name="方正公文小标宋">
    <w:panose1 w:val="02000500000000000000"/>
    <w:charset w:val="86"/>
    <w:family w:val="auto"/>
    <w:pitch w:val="default"/>
    <w:sig w:usb0="A00002BF" w:usb1="38CF7CFA" w:usb2="00000016" w:usb3="00000000" w:csb0="00040001" w:csb1="00000000"/>
    <w:embedRegular r:id="rId10" w:fontKey="{33F8118D-990B-4DEE-B485-3DCAF8BD35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D470D9"/>
    <w:rsid w:val="02D74B40"/>
    <w:rsid w:val="031B2C7F"/>
    <w:rsid w:val="0350496E"/>
    <w:rsid w:val="03670C57"/>
    <w:rsid w:val="046C750A"/>
    <w:rsid w:val="08517143"/>
    <w:rsid w:val="0B656E1E"/>
    <w:rsid w:val="0C0A5403"/>
    <w:rsid w:val="0C145497"/>
    <w:rsid w:val="0DBF3613"/>
    <w:rsid w:val="0DC81C4F"/>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1EC97AD9"/>
    <w:rsid w:val="1F87299B"/>
    <w:rsid w:val="20EC5803"/>
    <w:rsid w:val="22DC5488"/>
    <w:rsid w:val="23AD4F41"/>
    <w:rsid w:val="23DF7159"/>
    <w:rsid w:val="24880C9A"/>
    <w:rsid w:val="24C95406"/>
    <w:rsid w:val="25030284"/>
    <w:rsid w:val="2A3A75DF"/>
    <w:rsid w:val="2A9B5BE2"/>
    <w:rsid w:val="2BAB4636"/>
    <w:rsid w:val="2BF57C61"/>
    <w:rsid w:val="2CED0939"/>
    <w:rsid w:val="2D7E5110"/>
    <w:rsid w:val="2DA47B54"/>
    <w:rsid w:val="2E620CC5"/>
    <w:rsid w:val="2F4A332F"/>
    <w:rsid w:val="31D13963"/>
    <w:rsid w:val="32A86C88"/>
    <w:rsid w:val="34806536"/>
    <w:rsid w:val="35234768"/>
    <w:rsid w:val="35AD02FE"/>
    <w:rsid w:val="35C3060D"/>
    <w:rsid w:val="35CA2F0A"/>
    <w:rsid w:val="36323860"/>
    <w:rsid w:val="380D6333"/>
    <w:rsid w:val="38575800"/>
    <w:rsid w:val="388C54AA"/>
    <w:rsid w:val="38DD5D05"/>
    <w:rsid w:val="38E946AA"/>
    <w:rsid w:val="39254A49"/>
    <w:rsid w:val="3A155D47"/>
    <w:rsid w:val="3EC14DCA"/>
    <w:rsid w:val="3EDF7B5A"/>
    <w:rsid w:val="3EF757D7"/>
    <w:rsid w:val="3F794BDA"/>
    <w:rsid w:val="41431D95"/>
    <w:rsid w:val="41717D14"/>
    <w:rsid w:val="41A870F1"/>
    <w:rsid w:val="43EB28A9"/>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1C5F97"/>
    <w:rsid w:val="54714A29"/>
    <w:rsid w:val="55731FB9"/>
    <w:rsid w:val="5745560C"/>
    <w:rsid w:val="57671164"/>
    <w:rsid w:val="58B629CB"/>
    <w:rsid w:val="59401951"/>
    <w:rsid w:val="594253B7"/>
    <w:rsid w:val="59DB7BE7"/>
    <w:rsid w:val="5B2D3245"/>
    <w:rsid w:val="5B71396D"/>
    <w:rsid w:val="5DFB7A90"/>
    <w:rsid w:val="5F443AD7"/>
    <w:rsid w:val="5FCD7586"/>
    <w:rsid w:val="60884935"/>
    <w:rsid w:val="61F52ED8"/>
    <w:rsid w:val="6213192F"/>
    <w:rsid w:val="63267838"/>
    <w:rsid w:val="667523D3"/>
    <w:rsid w:val="66F31915"/>
    <w:rsid w:val="674A2C89"/>
    <w:rsid w:val="6A0A3D2C"/>
    <w:rsid w:val="6AC63F9C"/>
    <w:rsid w:val="6B311A3F"/>
    <w:rsid w:val="7030084F"/>
    <w:rsid w:val="703B4AE4"/>
    <w:rsid w:val="718A5132"/>
    <w:rsid w:val="71A92322"/>
    <w:rsid w:val="71C86016"/>
    <w:rsid w:val="71CD28BF"/>
    <w:rsid w:val="726C367A"/>
    <w:rsid w:val="732B5B1E"/>
    <w:rsid w:val="745C607B"/>
    <w:rsid w:val="75CC2D87"/>
    <w:rsid w:val="7877401B"/>
    <w:rsid w:val="78CC1807"/>
    <w:rsid w:val="792579EC"/>
    <w:rsid w:val="7AAD6DF1"/>
    <w:rsid w:val="7B5E6224"/>
    <w:rsid w:val="7B6F5025"/>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30"/>
    <w:semiHidden/>
    <w:unhideWhenUsed/>
    <w:qFormat/>
    <w:uiPriority w:val="99"/>
    <w:pPr>
      <w:ind w:firstLine="420" w:firstLineChars="200"/>
    </w:pPr>
  </w:style>
  <w:style w:type="paragraph" w:styleId="3">
    <w:name w:val="Body Text Indent"/>
    <w:basedOn w:val="1"/>
    <w:link w:val="29"/>
    <w:semiHidden/>
    <w:unhideWhenUsed/>
    <w:qFormat/>
    <w:uiPriority w:val="99"/>
    <w:pPr>
      <w:spacing w:after="120"/>
      <w:ind w:left="420" w:leftChars="200"/>
    </w:pPr>
  </w:style>
  <w:style w:type="paragraph" w:styleId="5">
    <w:name w:val="annotation text"/>
    <w:basedOn w:val="1"/>
    <w:link w:val="24"/>
    <w:qFormat/>
    <w:uiPriority w:val="0"/>
    <w:pPr>
      <w:jc w:val="left"/>
    </w:pPr>
    <w:rPr>
      <w:rFonts w:ascii="Calibri" w:hAnsi="Calibri" w:eastAsia="宋体" w:cs="Times New Roman"/>
    </w:rPr>
  </w:style>
  <w:style w:type="paragraph" w:styleId="6">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Plain Text"/>
    <w:basedOn w:val="1"/>
    <w:next w:val="4"/>
    <w:link w:val="22"/>
    <w:unhideWhenUsed/>
    <w:qFormat/>
    <w:uiPriority w:val="0"/>
    <w:rPr>
      <w:rFonts w:ascii="宋体" w:hAnsi="Courier New" w:eastAsia="宋体" w:cs="Times New Roman"/>
      <w:szCs w:val="20"/>
    </w:rPr>
  </w:style>
  <w:style w:type="paragraph" w:styleId="8">
    <w:name w:val="Date"/>
    <w:basedOn w:val="1"/>
    <w:next w:val="1"/>
    <w:link w:val="31"/>
    <w:semiHidden/>
    <w:unhideWhenUsed/>
    <w:qFormat/>
    <w:uiPriority w:val="99"/>
    <w:pPr>
      <w:ind w:left="100" w:leftChars="2500"/>
    </w:pPr>
  </w:style>
  <w:style w:type="paragraph" w:styleId="9">
    <w:name w:val="Balloon Text"/>
    <w:basedOn w:val="1"/>
    <w:link w:val="25"/>
    <w:semiHidden/>
    <w:unhideWhenUsed/>
    <w:qFormat/>
    <w:uiPriority w:val="99"/>
    <w:rPr>
      <w:sz w:val="18"/>
      <w:szCs w:val="18"/>
    </w:rPr>
  </w:style>
  <w:style w:type="paragraph" w:styleId="10">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w:basedOn w:val="6"/>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6"/>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7"/>
    <w:qFormat/>
    <w:uiPriority w:val="99"/>
    <w:rPr>
      <w:rFonts w:ascii="宋体" w:hAnsi="Courier New" w:eastAsia="宋体" w:cs="Times New Roman"/>
      <w:szCs w:val="20"/>
    </w:rPr>
  </w:style>
  <w:style w:type="character" w:customStyle="1" w:styleId="23">
    <w:name w:val="页脚 Char"/>
    <w:basedOn w:val="16"/>
    <w:link w:val="10"/>
    <w:qFormat/>
    <w:uiPriority w:val="0"/>
    <w:rPr>
      <w:rFonts w:ascii="Calibri" w:hAnsi="Calibri" w:eastAsia="宋体" w:cs="Times New Roman"/>
      <w:sz w:val="18"/>
      <w:szCs w:val="18"/>
    </w:rPr>
  </w:style>
  <w:style w:type="character" w:customStyle="1" w:styleId="24">
    <w:name w:val="批注文字 Char"/>
    <w:basedOn w:val="16"/>
    <w:link w:val="5"/>
    <w:qFormat/>
    <w:uiPriority w:val="0"/>
    <w:rPr>
      <w:rFonts w:ascii="Calibri" w:hAnsi="Calibri" w:eastAsia="宋体" w:cs="Times New Roman"/>
    </w:rPr>
  </w:style>
  <w:style w:type="character" w:customStyle="1" w:styleId="25">
    <w:name w:val="批注框文本 Char"/>
    <w:basedOn w:val="16"/>
    <w:link w:val="9"/>
    <w:semiHidden/>
    <w:qFormat/>
    <w:uiPriority w:val="99"/>
    <w:rPr>
      <w:sz w:val="18"/>
      <w:szCs w:val="18"/>
    </w:rPr>
  </w:style>
  <w:style w:type="character" w:customStyle="1" w:styleId="26">
    <w:name w:val="标题 4 Char"/>
    <w:basedOn w:val="16"/>
    <w:link w:val="4"/>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3"/>
    <w:semiHidden/>
    <w:qFormat/>
    <w:uiPriority w:val="99"/>
  </w:style>
  <w:style w:type="character" w:customStyle="1" w:styleId="30">
    <w:name w:val="正文首行缩进 2 Char"/>
    <w:basedOn w:val="29"/>
    <w:link w:val="2"/>
    <w:semiHidden/>
    <w:qFormat/>
    <w:uiPriority w:val="99"/>
  </w:style>
  <w:style w:type="character" w:customStyle="1" w:styleId="31">
    <w:name w:val="日期 Char"/>
    <w:basedOn w:val="16"/>
    <w:link w:val="8"/>
    <w:semiHidden/>
    <w:qFormat/>
    <w:uiPriority w:val="99"/>
  </w:style>
  <w:style w:type="character" w:customStyle="1" w:styleId="32">
    <w:name w:val="正文首行缩进 Char"/>
    <w:basedOn w:val="20"/>
    <w:link w:val="13"/>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1"/>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10593</Words>
  <Characters>11093</Characters>
  <Lines>39</Lines>
  <Paragraphs>11</Paragraphs>
  <TotalTime>0</TotalTime>
  <ScaleCrop>false</ScaleCrop>
  <LinksUpToDate>false</LinksUpToDate>
  <CharactersWithSpaces>12968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2025-04-16T09:09:38Z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