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w:t>
      </w:r>
      <w:r>
        <w:rPr>
          <w:rFonts w:hint="eastAsia" w:ascii="仿宋_GB2312" w:hAnsi="Courier New" w:eastAsia="仿宋_GB2312" w:cs="Courier New"/>
          <w:b/>
          <w:bCs/>
          <w:color w:val="000000"/>
          <w:kern w:val="0"/>
          <w:sz w:val="32"/>
          <w:szCs w:val="32"/>
          <w:lang w:val="zh-TW" w:eastAsia="zh-TW"/>
        </w:rPr>
        <w:t>2025年邀请参观“血液的奥秘”科普馆租车服务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14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22</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南宁中心血站2025年邀请参观“血液的奥秘”科普馆租车服务采购公告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南宁中心血站按照采购计划，对南宁中心血站2025年邀请驻邕院校、企事业单位参观“血液的奥秘”科普馆租车服务进行采购，现就该项目邀请具有资质的单位进行响应，采购信息如下：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14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项目名称：南宁中心血站2025年邀请参观“血液的奥秘”科普馆租车服务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壹拾万元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100000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壹拾万元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100000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w:t>
      </w:r>
      <w:r>
        <w:rPr>
          <w:rFonts w:hint="eastAsia" w:ascii="仿宋_GB2312" w:hAnsi="Courier New" w:eastAsia="仿宋_GB2312" w:cs="Courier New"/>
          <w:color w:val="000000"/>
          <w:kern w:val="0"/>
          <w:sz w:val="32"/>
          <w:szCs w:val="32"/>
          <w:lang w:val="en-US" w:eastAsia="zh-CN"/>
        </w:rPr>
        <w:t>水平</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能力、价格水平</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企业规模、服务承诺</w:t>
      </w:r>
      <w:r>
        <w:rPr>
          <w:rFonts w:hint="eastAsia" w:ascii="仿宋_GB2312" w:hAnsi="Courier New" w:eastAsia="仿宋_GB2312" w:cs="Courier New"/>
          <w:color w:val="000000"/>
          <w:kern w:val="0"/>
          <w:sz w:val="32"/>
          <w:szCs w:val="32"/>
          <w:lang w:val="zh-TW" w:eastAsia="zh-TW"/>
        </w:rPr>
        <w:t>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3B254F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响应供应商可结合采购人需求提供响应服务方案、类似业绩、服务能力、服务承诺等有关证明材料（如有请提供）。</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07499BE3">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13BDEB8">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DAB7593">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5"/>
        <w:jc w:val="center"/>
        <w:rPr>
          <w:rFonts w:hint="eastAsia" w:hAnsi="宋体" w:cs="宋体"/>
          <w:b/>
          <w:sz w:val="36"/>
        </w:rPr>
      </w:pPr>
      <w:r>
        <w:rPr>
          <w:rFonts w:hint="eastAsia" w:hAnsi="宋体" w:cs="宋体"/>
          <w:b/>
          <w:sz w:val="36"/>
        </w:rPr>
        <w:t>采购需求一览表</w:t>
      </w:r>
    </w:p>
    <w:tbl>
      <w:tblPr>
        <w:tblStyle w:val="15"/>
        <w:tblW w:w="884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900"/>
        <w:gridCol w:w="771"/>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9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771"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南宁中心血站</w:t>
            </w:r>
            <w:r>
              <w:rPr>
                <w:rFonts w:hint="eastAsia" w:ascii="宋体" w:hAnsi="宋体" w:eastAsia="宋体" w:cs="宋体"/>
                <w:szCs w:val="21"/>
                <w:highlight w:val="none"/>
                <w:lang w:val="zh-TW" w:eastAsia="zh-TW"/>
              </w:rPr>
              <w:t>2025年邀请参观“血液的奥秘”科普馆租车服务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eastAsia" w:ascii="宋体" w:hAnsi="宋体" w:eastAsia="宋体" w:cs="宋体"/>
                <w:szCs w:val="21"/>
                <w:highlight w:val="none"/>
              </w:rPr>
            </w:pPr>
            <w:r>
              <w:rPr>
                <w:rFonts w:hint="eastAsia" w:ascii="宋体" w:hAnsi="宋体" w:eastAsia="宋体" w:cs="宋体"/>
                <w:szCs w:val="21"/>
                <w:highlight w:val="none"/>
              </w:rPr>
              <w:t>1项</w:t>
            </w:r>
          </w:p>
        </w:tc>
        <w:tc>
          <w:tcPr>
            <w:tcW w:w="5900" w:type="dxa"/>
            <w:tcBorders>
              <w:top w:val="single" w:color="auto" w:sz="4" w:space="0"/>
              <w:left w:val="single" w:color="auto" w:sz="4" w:space="0"/>
              <w:bottom w:val="single" w:color="auto" w:sz="4" w:space="0"/>
              <w:right w:val="single" w:color="auto" w:sz="4" w:space="0"/>
            </w:tcBorders>
            <w:noWrap w:val="0"/>
            <w:vAlign w:val="center"/>
          </w:tcPr>
          <w:p w14:paraId="0EBD8C76">
            <w:pPr>
              <w:widowControl/>
              <w:numPr>
                <w:ilvl w:val="0"/>
                <w:numId w:val="0"/>
              </w:numPr>
              <w:shd w:val="clear" w:color="auto" w:fill="FFFFFF"/>
              <w:spacing w:line="360" w:lineRule="auto"/>
              <w:ind w:firstLine="404" w:firstLineChars="200"/>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为了积极响应国家无偿献血的号召，传播无偿献血知识，增强民众的献血意识，2025年邀请驻邕大中专院校、企事业单位等团体单位到南宁中心血站参观“血液的奥秘”科普馆，需包车辆接送。</w:t>
            </w:r>
          </w:p>
          <w:p w14:paraId="66777A3C">
            <w:pPr>
              <w:widowControl/>
              <w:numPr>
                <w:ilvl w:val="0"/>
                <w:numId w:val="3"/>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租车线路及预计使用车次</w:t>
            </w:r>
            <w:r>
              <w:rPr>
                <w:rFonts w:hint="eastAsia" w:ascii="宋体" w:hAnsi="宋体" w:cs="Times New Roman"/>
                <w:spacing w:val="-4"/>
                <w:kern w:val="2"/>
                <w:sz w:val="21"/>
                <w:szCs w:val="21"/>
                <w:lang w:val="en-US" w:eastAsia="zh-CN" w:bidi="ar-SA"/>
              </w:rPr>
              <w:t>：</w:t>
            </w:r>
          </w:p>
          <w:p w14:paraId="77CFCA85">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w:t>
            </w:r>
            <w:r>
              <w:rPr>
                <w:rFonts w:hint="eastAsia" w:ascii="宋体" w:hAnsi="宋体" w:eastAsia="宋体" w:cs="宋体"/>
                <w:i w:val="0"/>
                <w:iCs w:val="0"/>
                <w:color w:val="000000"/>
                <w:kern w:val="0"/>
                <w:sz w:val="21"/>
                <w:szCs w:val="21"/>
                <w:u w:val="none"/>
                <w:lang w:val="en-US" w:eastAsia="zh-CN" w:bidi="ar"/>
              </w:rPr>
              <w:t>租车路线：</w:t>
            </w:r>
            <w:r>
              <w:rPr>
                <w:rFonts w:hint="eastAsia" w:ascii="宋体" w:hAnsi="宋体" w:cs="宋体"/>
                <w:i w:val="0"/>
                <w:iCs w:val="0"/>
                <w:color w:val="000000"/>
                <w:kern w:val="0"/>
                <w:sz w:val="21"/>
                <w:szCs w:val="21"/>
                <w:u w:val="none"/>
                <w:lang w:val="en-US" w:eastAsia="zh-CN" w:bidi="ar"/>
              </w:rPr>
              <w:t>南宁市主城区、</w:t>
            </w:r>
            <w:r>
              <w:rPr>
                <w:rFonts w:hint="eastAsia" w:ascii="宋体" w:hAnsi="宋体" w:eastAsia="宋体" w:cs="宋体"/>
                <w:i w:val="0"/>
                <w:iCs w:val="0"/>
                <w:color w:val="000000"/>
                <w:kern w:val="0"/>
                <w:sz w:val="21"/>
                <w:szCs w:val="21"/>
                <w:u w:val="none"/>
                <w:lang w:val="en-US" w:eastAsia="zh-CN" w:bidi="ar"/>
              </w:rPr>
              <w:t>明阳片区周边院校、五合片区周边院校、武鸣片区周边院校</w:t>
            </w:r>
            <w:r>
              <w:rPr>
                <w:rFonts w:hint="eastAsia" w:ascii="宋体" w:hAnsi="宋体" w:cs="宋体"/>
                <w:i w:val="0"/>
                <w:iCs w:val="0"/>
                <w:color w:val="000000"/>
                <w:kern w:val="0"/>
                <w:sz w:val="21"/>
                <w:szCs w:val="21"/>
                <w:u w:val="none"/>
                <w:lang w:val="en-US" w:eastAsia="zh-CN" w:bidi="ar"/>
              </w:rPr>
              <w:t>到血站往返路线。</w:t>
            </w:r>
          </w:p>
          <w:p w14:paraId="1F0A2763">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w:t>
            </w:r>
            <w:r>
              <w:rPr>
                <w:rFonts w:hint="eastAsia" w:ascii="宋体" w:hAnsi="宋体" w:cs="Times New Roman"/>
                <w:b w:val="0"/>
                <w:bCs w:val="0"/>
                <w:spacing w:val="-4"/>
                <w:kern w:val="2"/>
                <w:sz w:val="21"/>
                <w:szCs w:val="21"/>
                <w:lang w:val="en-US" w:eastAsia="zh-CN" w:bidi="ar-SA"/>
              </w:rPr>
              <w:t>.预计使用车次：100</w:t>
            </w:r>
            <w:r>
              <w:rPr>
                <w:rFonts w:hint="eastAsia" w:ascii="宋体" w:hAnsi="宋体" w:cs="Times New Roman"/>
                <w:spacing w:val="-4"/>
                <w:kern w:val="2"/>
                <w:sz w:val="21"/>
                <w:szCs w:val="21"/>
                <w:lang w:val="en-US" w:eastAsia="zh-CN" w:bidi="ar-SA"/>
              </w:rPr>
              <w:t>车次。</w:t>
            </w:r>
          </w:p>
          <w:p w14:paraId="2A941255">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二、租车</w:t>
            </w:r>
            <w:r>
              <w:rPr>
                <w:rFonts w:hint="default" w:ascii="宋体" w:hAnsi="宋体" w:cs="Times New Roman"/>
                <w:b/>
                <w:bCs/>
                <w:spacing w:val="-4"/>
                <w:kern w:val="2"/>
                <w:sz w:val="21"/>
                <w:szCs w:val="21"/>
                <w:lang w:val="en-US" w:eastAsia="zh-CN" w:bidi="ar-SA"/>
              </w:rPr>
              <w:t>车型</w:t>
            </w:r>
            <w:r>
              <w:rPr>
                <w:rFonts w:hint="eastAsia" w:ascii="宋体" w:hAnsi="宋体" w:cs="Times New Roman"/>
                <w:b/>
                <w:bCs/>
                <w:spacing w:val="-4"/>
                <w:kern w:val="2"/>
                <w:sz w:val="21"/>
                <w:szCs w:val="21"/>
                <w:lang w:val="en-US" w:eastAsia="zh-CN" w:bidi="ar-SA"/>
              </w:rPr>
              <w:t>及车况要求</w:t>
            </w:r>
          </w:p>
          <w:p w14:paraId="1AD8FC43">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1.车型：提供南宁市运营</w:t>
            </w:r>
            <w:r>
              <w:rPr>
                <w:rFonts w:hint="default" w:ascii="宋体" w:hAnsi="宋体" w:cs="Times New Roman"/>
                <w:spacing w:val="-4"/>
                <w:kern w:val="2"/>
                <w:sz w:val="21"/>
                <w:szCs w:val="21"/>
                <w:lang w:val="en-US" w:eastAsia="zh-CN" w:bidi="ar-SA"/>
              </w:rPr>
              <w:t>公交车</w:t>
            </w:r>
            <w:r>
              <w:rPr>
                <w:rFonts w:hint="eastAsia" w:ascii="宋体" w:hAnsi="宋体" w:cs="Times New Roman"/>
                <w:spacing w:val="-4"/>
                <w:kern w:val="2"/>
                <w:sz w:val="21"/>
                <w:szCs w:val="21"/>
                <w:lang w:val="en-US" w:eastAsia="zh-CN" w:bidi="ar-SA"/>
              </w:rPr>
              <w:t>（座位数根据参与活动人员实际调整，分为大、中、小型公交车）。</w:t>
            </w:r>
          </w:p>
          <w:p w14:paraId="0EF90A3A">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2.车况良好、卫生整洁，</w:t>
            </w:r>
            <w:r>
              <w:rPr>
                <w:rFonts w:hint="eastAsia" w:ascii="宋体" w:hAnsi="宋体" w:cs="宋体"/>
                <w:bCs w:val="0"/>
                <w:spacing w:val="0"/>
                <w:kern w:val="2"/>
                <w:szCs w:val="24"/>
                <w:lang w:val="en-US" w:eastAsia="zh-CN"/>
              </w:rPr>
              <w:t>车辆保险齐全，</w:t>
            </w:r>
            <w:r>
              <w:rPr>
                <w:rFonts w:hint="eastAsia" w:ascii="宋体" w:hAnsi="宋体" w:eastAsia="宋体" w:cs="宋体"/>
                <w:sz w:val="21"/>
                <w:szCs w:val="21"/>
              </w:rPr>
              <w:t>车辆安全设施符合国家安全标准</w:t>
            </w:r>
            <w:r>
              <w:rPr>
                <w:rFonts w:hint="eastAsia" w:ascii="宋体" w:hAnsi="宋体" w:cs="Times New Roman"/>
                <w:spacing w:val="-4"/>
                <w:kern w:val="2"/>
                <w:sz w:val="21"/>
                <w:szCs w:val="21"/>
                <w:lang w:val="en-US" w:eastAsia="zh-CN" w:bidi="ar-SA"/>
              </w:rPr>
              <w:t>。</w:t>
            </w:r>
          </w:p>
          <w:p w14:paraId="55AF3694">
            <w:pPr>
              <w:widowControl/>
              <w:numPr>
                <w:ilvl w:val="0"/>
                <w:numId w:val="0"/>
              </w:numPr>
              <w:shd w:val="clear" w:color="auto" w:fill="FFFFFF"/>
              <w:spacing w:line="360" w:lineRule="auto"/>
              <w:rPr>
                <w:rFonts w:hint="default"/>
                <w:b/>
                <w:bCs/>
                <w:lang w:val="en-US" w:eastAsia="zh-CN"/>
              </w:rPr>
            </w:pPr>
            <w:r>
              <w:rPr>
                <w:rFonts w:hint="eastAsia" w:ascii="宋体" w:hAnsi="宋体" w:cs="Times New Roman"/>
                <w:b/>
                <w:bCs/>
                <w:spacing w:val="-4"/>
                <w:kern w:val="2"/>
                <w:sz w:val="21"/>
                <w:szCs w:val="21"/>
                <w:lang w:val="en-US" w:eastAsia="zh-CN" w:bidi="ar-SA"/>
              </w:rPr>
              <w:t>三、</w:t>
            </w:r>
            <w:r>
              <w:rPr>
                <w:rFonts w:hint="default" w:ascii="宋体" w:hAnsi="宋体" w:cs="Times New Roman"/>
                <w:b/>
                <w:bCs/>
                <w:spacing w:val="-4"/>
                <w:kern w:val="2"/>
                <w:sz w:val="21"/>
                <w:szCs w:val="21"/>
                <w:lang w:val="en-US" w:eastAsia="zh-CN" w:bidi="ar-SA"/>
              </w:rPr>
              <w:t>使用时长</w:t>
            </w:r>
            <w:r>
              <w:rPr>
                <w:rFonts w:hint="eastAsia" w:ascii="宋体" w:hAnsi="宋体" w:cs="Times New Roman"/>
                <w:b/>
                <w:bCs/>
                <w:spacing w:val="-4"/>
                <w:kern w:val="2"/>
                <w:sz w:val="21"/>
                <w:szCs w:val="21"/>
                <w:lang w:val="en-US" w:eastAsia="zh-CN" w:bidi="ar-SA"/>
              </w:rPr>
              <w:t>及范围</w:t>
            </w:r>
          </w:p>
          <w:p w14:paraId="2C22FD9C">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1.行车线路范围：南宁市行政辖区范围内。</w:t>
            </w:r>
          </w:p>
          <w:p w14:paraId="4BB060D3">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2.租车时间：自合同签订之日起至2026年5月31日，采购人实际租车时间根据使用需求提前两天提交租车需求。</w:t>
            </w:r>
          </w:p>
          <w:p w14:paraId="5D1BFDB5">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3.车次使用时长需求分为：单次往返、全天包车（不少于12小时）、半天包车（不少于6小时），要求分开报价。</w:t>
            </w:r>
          </w:p>
          <w:p w14:paraId="5E6A0FFD">
            <w:pPr>
              <w:widowControl/>
              <w:shd w:val="clear" w:color="auto" w:fill="FFFFFF"/>
              <w:spacing w:line="360" w:lineRule="auto"/>
              <w:rPr>
                <w:rFonts w:hint="default" w:ascii="宋体" w:hAnsi="宋体"/>
                <w:b/>
                <w:bCs/>
                <w:szCs w:val="21"/>
                <w:lang w:val="en-US" w:eastAsia="zh-CN"/>
              </w:rPr>
            </w:pPr>
            <w:r>
              <w:rPr>
                <w:rFonts w:hint="eastAsia" w:ascii="宋体" w:hAnsi="宋体"/>
                <w:b/>
                <w:bCs/>
                <w:szCs w:val="21"/>
                <w:lang w:val="en-US" w:eastAsia="zh-CN"/>
              </w:rPr>
              <w:t>四、</w:t>
            </w:r>
            <w:r>
              <w:rPr>
                <w:rFonts w:hint="default" w:ascii="宋体" w:hAnsi="宋体"/>
                <w:b/>
                <w:bCs/>
                <w:szCs w:val="21"/>
                <w:lang w:val="en-US" w:eastAsia="zh-CN"/>
              </w:rPr>
              <w:t>收费标准</w:t>
            </w:r>
            <w:r>
              <w:rPr>
                <w:rFonts w:hint="eastAsia" w:ascii="宋体" w:hAnsi="宋体"/>
                <w:b/>
                <w:bCs/>
                <w:szCs w:val="21"/>
                <w:lang w:val="en-US" w:eastAsia="zh-CN"/>
              </w:rPr>
              <w:t>限价</w:t>
            </w:r>
          </w:p>
          <w:p w14:paraId="15A0C2FF">
            <w:pPr>
              <w:widowControl/>
              <w:shd w:val="clear" w:color="auto" w:fill="FFFFFF"/>
              <w:spacing w:line="360" w:lineRule="auto"/>
              <w:rPr>
                <w:rFonts w:hint="eastAsia"/>
                <w:lang w:val="en-US" w:eastAsia="zh-CN"/>
              </w:rPr>
            </w:pPr>
            <w:r>
              <w:rPr>
                <w:rFonts w:hint="eastAsia" w:ascii="宋体" w:hAnsi="宋体" w:eastAsia="宋体" w:cs="Times New Roman"/>
                <w:spacing w:val="-4"/>
                <w:kern w:val="2"/>
                <w:sz w:val="21"/>
                <w:szCs w:val="21"/>
                <w:lang w:val="en-US" w:eastAsia="zh-CN" w:bidi="ar-SA"/>
              </w:rPr>
              <w:t>响应供应商租车报价不超市本级机关事业单位公务租车最高限价，执行限价标准如下：</w:t>
            </w:r>
          </w:p>
          <w:tbl>
            <w:tblPr>
              <w:tblStyle w:val="15"/>
              <w:tblW w:w="548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7"/>
              <w:gridCol w:w="1862"/>
              <w:gridCol w:w="2013"/>
            </w:tblGrid>
            <w:tr w14:paraId="67D6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3A0B">
                  <w:pPr>
                    <w:widowControl/>
                    <w:shd w:val="clear" w:color="auto" w:fill="FFFFFF"/>
                    <w:spacing w:line="360" w:lineRule="auto"/>
                    <w:ind w:firstLine="606" w:firstLineChars="300"/>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车型</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7691">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有驾驶员日租限价</w:t>
                  </w:r>
                </w:p>
              </w:tc>
              <w:tc>
                <w:tcPr>
                  <w:tcW w:w="2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1B6EF">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注：最高限额标准均不包含租用车辆期间产生的燃油费、充电费、公路通行费、停车费、驾驶员食宿费等费用。</w:t>
                  </w:r>
                </w:p>
              </w:tc>
            </w:tr>
            <w:tr w14:paraId="30272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8CBF">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轿车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2D46">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550元/辆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0CA0F">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3FFAF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7119">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越野车(含SUV)</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B2CC">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650元/辆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39CFE">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003BC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D9AF">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商务车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F7DB">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680元/辆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0C2D4">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5D46F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B009">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中巴车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1AEF">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1100元/辆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CB8F7">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4C364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9931">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大巴车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449C">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1300元/辆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94B11">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bl>
          <w:p w14:paraId="27CEAF5C">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五、</w:t>
            </w:r>
            <w:r>
              <w:rPr>
                <w:rFonts w:hint="default" w:ascii="宋体" w:hAnsi="宋体" w:cs="Times New Roman"/>
                <w:b/>
                <w:bCs/>
                <w:spacing w:val="-4"/>
                <w:kern w:val="2"/>
                <w:sz w:val="21"/>
                <w:szCs w:val="21"/>
                <w:lang w:val="en-US" w:eastAsia="zh-CN" w:bidi="ar-SA"/>
              </w:rPr>
              <w:t>应急救援</w:t>
            </w:r>
          </w:p>
          <w:p w14:paraId="3D7A24B8">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1.应急响应机制‌，租车供应商应建立完善的应急救援机制，确保在车辆发生故障或事故时，能够迅速响应并提供必要的救援服务。</w:t>
            </w:r>
          </w:p>
          <w:p w14:paraId="1A2C11A6">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2.救援服务内容‌，救援服务包括但不限于车辆拖运、人员疏散、现场清理等。在车辆发生故障或事故导致无法继续行驶时，乙方应提供替代车辆，确保甲方的用车需求不受影响。</w:t>
            </w:r>
          </w:p>
          <w:p w14:paraId="1C6E75FA">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六、</w:t>
            </w:r>
            <w:r>
              <w:rPr>
                <w:rFonts w:hint="default" w:ascii="宋体" w:hAnsi="宋体" w:cs="Times New Roman"/>
                <w:b/>
                <w:bCs/>
                <w:spacing w:val="-4"/>
                <w:kern w:val="2"/>
                <w:sz w:val="21"/>
                <w:szCs w:val="21"/>
                <w:lang w:val="en-US" w:eastAsia="zh-CN" w:bidi="ar-SA"/>
              </w:rPr>
              <w:t>换车服务</w:t>
            </w:r>
          </w:p>
          <w:p w14:paraId="41DD43DD">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租车供应商</w:t>
            </w:r>
            <w:r>
              <w:rPr>
                <w:rFonts w:hint="default" w:ascii="宋体" w:hAnsi="宋体" w:cs="Times New Roman"/>
                <w:spacing w:val="-4"/>
                <w:kern w:val="2"/>
                <w:sz w:val="21"/>
                <w:szCs w:val="21"/>
                <w:lang w:val="en-US" w:eastAsia="zh-CN" w:bidi="ar-SA"/>
              </w:rPr>
              <w:t>对所组织和提供的车辆在承担</w:t>
            </w:r>
            <w:r>
              <w:rPr>
                <w:rFonts w:hint="eastAsia" w:ascii="宋体" w:hAnsi="宋体" w:cs="Times New Roman"/>
                <w:spacing w:val="-4"/>
                <w:kern w:val="2"/>
                <w:sz w:val="21"/>
                <w:szCs w:val="21"/>
                <w:lang w:val="en-US" w:eastAsia="zh-CN" w:bidi="ar-SA"/>
              </w:rPr>
              <w:t>采购人</w:t>
            </w:r>
            <w:r>
              <w:rPr>
                <w:rFonts w:hint="default" w:ascii="宋体" w:hAnsi="宋体" w:cs="Times New Roman"/>
                <w:spacing w:val="-4"/>
                <w:kern w:val="2"/>
                <w:sz w:val="21"/>
                <w:szCs w:val="21"/>
                <w:lang w:val="en-US" w:eastAsia="zh-CN" w:bidi="ar-SA"/>
              </w:rPr>
              <w:t>包车任务的过程中发生的安全和服务质量负责，并全权负责处理一切在运行过程中发生的安全和服务质量事故。</w:t>
            </w:r>
          </w:p>
          <w:p w14:paraId="03C7AB59">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七、</w:t>
            </w:r>
            <w:r>
              <w:rPr>
                <w:rFonts w:hint="default" w:ascii="宋体" w:hAnsi="宋体" w:cs="Times New Roman"/>
                <w:b/>
                <w:bCs/>
                <w:spacing w:val="-4"/>
                <w:kern w:val="2"/>
                <w:sz w:val="21"/>
                <w:szCs w:val="21"/>
                <w:lang w:val="en-US" w:eastAsia="zh-CN" w:bidi="ar-SA"/>
              </w:rPr>
              <w:t>违约责任</w:t>
            </w:r>
          </w:p>
          <w:p w14:paraId="335825EA">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因</w:t>
            </w:r>
            <w:r>
              <w:rPr>
                <w:rFonts w:hint="default" w:ascii="宋体" w:hAnsi="宋体" w:cs="Times New Roman"/>
                <w:spacing w:val="-4"/>
                <w:kern w:val="2"/>
                <w:sz w:val="21"/>
                <w:szCs w:val="21"/>
                <w:lang w:val="en-US" w:eastAsia="zh-CN" w:bidi="ar-SA"/>
              </w:rPr>
              <w:t>车辆服务供应商</w:t>
            </w:r>
            <w:r>
              <w:rPr>
                <w:rFonts w:hint="eastAsia" w:ascii="宋体" w:hAnsi="宋体" w:cs="Times New Roman"/>
                <w:spacing w:val="-4"/>
                <w:kern w:val="2"/>
                <w:sz w:val="21"/>
                <w:szCs w:val="21"/>
                <w:lang w:val="en-US" w:eastAsia="zh-CN" w:bidi="ar-SA"/>
              </w:rPr>
              <w:t>，在承担采购人包车任务的过程中发生交通事故，造成采购方人员财产损失的，由车辆服务供应商承担全部责任。如因第三方原因造成交通事故的，由车辆服务供应商先行向采购方赔付，车辆服务供应商保留向第三方追索赔付的权利。</w:t>
            </w:r>
          </w:p>
          <w:p w14:paraId="49734B52">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八、租车供应商</w:t>
            </w:r>
            <w:r>
              <w:rPr>
                <w:rFonts w:hint="default" w:ascii="宋体" w:hAnsi="宋体" w:cs="Times New Roman"/>
                <w:b/>
                <w:bCs/>
                <w:spacing w:val="-4"/>
                <w:kern w:val="2"/>
                <w:sz w:val="21"/>
                <w:szCs w:val="21"/>
                <w:lang w:val="en-US" w:eastAsia="zh-CN" w:bidi="ar-SA"/>
              </w:rPr>
              <w:t>和指派的驾驶员，需具备以下资质条件:</w:t>
            </w:r>
          </w:p>
          <w:p w14:paraId="701B8F68">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w:t>
            </w:r>
            <w:r>
              <w:rPr>
                <w:rFonts w:hint="default" w:ascii="宋体" w:hAnsi="宋体" w:cs="Times New Roman"/>
                <w:spacing w:val="-4"/>
                <w:kern w:val="2"/>
                <w:sz w:val="21"/>
                <w:szCs w:val="21"/>
                <w:lang w:val="en-US" w:eastAsia="zh-CN" w:bidi="ar-SA"/>
              </w:rPr>
              <w:t>车辆服务供应商须为依法注册的独立法人企业，具备企业法人营业执照，具备从事汽车租赁业务的条件和能力，五年内不涉重、特大交通安全事故。</w:t>
            </w:r>
          </w:p>
          <w:p w14:paraId="12D56CD3">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w:t>
            </w:r>
            <w:r>
              <w:rPr>
                <w:rFonts w:hint="default" w:ascii="宋体" w:hAnsi="宋体" w:cs="Times New Roman"/>
                <w:spacing w:val="-4"/>
                <w:kern w:val="2"/>
                <w:sz w:val="21"/>
                <w:szCs w:val="21"/>
                <w:lang w:val="en-US" w:eastAsia="zh-CN" w:bidi="ar-SA"/>
              </w:rPr>
              <w:t>车辆应为企业自有，机动车所有人与租赁企业名称一致。</w:t>
            </w:r>
          </w:p>
          <w:p w14:paraId="65F91701">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3.</w:t>
            </w:r>
            <w:r>
              <w:rPr>
                <w:rFonts w:hint="default" w:ascii="宋体" w:hAnsi="宋体" w:cs="Times New Roman"/>
                <w:spacing w:val="-4"/>
                <w:kern w:val="2"/>
                <w:sz w:val="21"/>
                <w:szCs w:val="21"/>
                <w:lang w:val="en-US" w:eastAsia="zh-CN" w:bidi="ar-SA"/>
              </w:rPr>
              <w:t>车辆使用年限在8年以内，并购买了100万以上第三者责任险和 30万元以上的司乘险。车辆外观庄重完好，证照齐全有效。</w:t>
            </w:r>
          </w:p>
          <w:p w14:paraId="7F3729C9">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default" w:ascii="宋体" w:hAnsi="宋体" w:cs="Times New Roman"/>
                <w:spacing w:val="-4"/>
                <w:kern w:val="2"/>
                <w:sz w:val="21"/>
                <w:szCs w:val="21"/>
                <w:lang w:val="en-US" w:eastAsia="zh-CN" w:bidi="ar-SA"/>
              </w:rPr>
              <w:t>4.车辆驾驶员身体健康，驾驶技术娴熟，所持驾驶证照齐全有效。</w:t>
            </w:r>
          </w:p>
          <w:p w14:paraId="6880AB12">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5.40座以上车型还须提供营运证等一切营运合法手续以及有效保险单证的复印件、驾驶员的驾驶证（如提供驾驶员服务）和道路客运从业资格证等复印件给采购人备案。</w:t>
            </w:r>
          </w:p>
          <w:p w14:paraId="2E3545A8">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b/>
                <w:bCs/>
                <w:spacing w:val="0"/>
                <w:kern w:val="2"/>
                <w:sz w:val="21"/>
                <w:szCs w:val="21"/>
                <w:lang w:val="en-US" w:eastAsia="zh-CN" w:bidi="ar-SA"/>
              </w:rPr>
              <w:t>九、响应供应商可结合采购人需求提供响应服务方案、应急服务方案、类似业绩及服务能力水平等有关证明材料（如有请提供）。</w:t>
            </w:r>
          </w:p>
        </w:tc>
        <w:tc>
          <w:tcPr>
            <w:tcW w:w="771" w:type="dxa"/>
            <w:tcBorders>
              <w:top w:val="single" w:color="auto" w:sz="4" w:space="0"/>
              <w:left w:val="single" w:color="auto" w:sz="4" w:space="0"/>
              <w:bottom w:val="single" w:color="auto" w:sz="4" w:space="0"/>
              <w:right w:val="single" w:color="auto" w:sz="4" w:space="0"/>
            </w:tcBorders>
            <w:noWrap w:val="0"/>
            <w:vAlign w:val="center"/>
          </w:tcPr>
          <w:p w14:paraId="47EFFE38">
            <w:pPr>
              <w:pStyle w:val="5"/>
              <w:jc w:val="left"/>
              <w:rPr>
                <w:rFonts w:hint="default" w:ascii="宋体" w:hAnsi="宋体" w:eastAsia="宋体" w:cs="宋体"/>
                <w:szCs w:val="21"/>
                <w:highlight w:val="none"/>
                <w:lang w:val="en-US" w:eastAsia="zh-CN"/>
              </w:rPr>
            </w:pPr>
            <w:r>
              <w:rPr>
                <w:rFonts w:hint="eastAsia" w:cs="宋体"/>
                <w:szCs w:val="21"/>
                <w:highlight w:val="none"/>
                <w:lang w:val="en-US" w:eastAsia="zh-CN"/>
              </w:rPr>
              <w:t>100000元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jc w:val="center"/>
              <w:rPr>
                <w:rFonts w:hint="eastAsia" w:ascii="宋体" w:hAnsi="宋体" w:eastAsia="宋体" w:cs="宋体"/>
                <w:szCs w:val="21"/>
                <w:highlight w:val="none"/>
              </w:rPr>
            </w:pPr>
            <w:r>
              <w:rPr>
                <w:rFonts w:hint="eastAsia" w:ascii="宋体" w:hAnsi="宋体" w:eastAsia="宋体" w:cs="宋体"/>
                <w:szCs w:val="21"/>
                <w:highlight w:val="none"/>
              </w:rPr>
              <w:t>商务条款</w:t>
            </w:r>
          </w:p>
        </w:tc>
        <w:tc>
          <w:tcPr>
            <w:tcW w:w="8297" w:type="dxa"/>
            <w:gridSpan w:val="4"/>
            <w:tcBorders>
              <w:top w:val="single" w:color="auto" w:sz="4" w:space="0"/>
              <w:left w:val="single" w:color="auto" w:sz="4" w:space="0"/>
              <w:bottom w:val="single" w:color="auto" w:sz="4" w:space="0"/>
              <w:right w:val="single" w:color="auto" w:sz="4" w:space="0"/>
            </w:tcBorders>
            <w:noWrap w:val="0"/>
            <w:vAlign w:val="center"/>
          </w:tcPr>
          <w:p w14:paraId="7DE156C0">
            <w:pPr>
              <w:widowControl/>
              <w:shd w:val="clear" w:color="auto" w:fill="FFFFFF"/>
              <w:spacing w:line="360" w:lineRule="auto"/>
              <w:rPr>
                <w:rFonts w:hint="eastAsia" w:ascii="宋体" w:hAnsi="宋体"/>
                <w:szCs w:val="21"/>
                <w:lang w:val="en-US" w:eastAsia="zh-CN"/>
              </w:rPr>
            </w:pPr>
            <w:r>
              <w:rPr>
                <w:rFonts w:hint="eastAsia" w:ascii="宋体" w:hAnsi="宋体"/>
                <w:b/>
                <w:bCs/>
                <w:szCs w:val="21"/>
                <w:lang w:val="en-US" w:eastAsia="zh-CN"/>
              </w:rPr>
              <w:t>一、合同签订期:</w:t>
            </w:r>
            <w:r>
              <w:rPr>
                <w:rFonts w:hint="eastAsia" w:ascii="宋体" w:hAnsi="宋体" w:eastAsia="宋体" w:cs="宋体"/>
                <w:szCs w:val="21"/>
                <w:highlight w:val="none"/>
                <w:lang w:val="en-US" w:eastAsia="zh-CN"/>
              </w:rPr>
              <w:t>自采购结果公告结束之日起10个工作日内。</w:t>
            </w:r>
          </w:p>
          <w:p w14:paraId="02907EED">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二、服务期限：</w:t>
            </w:r>
          </w:p>
          <w:p w14:paraId="37C62B73">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1. 自</w:t>
            </w:r>
            <w:r>
              <w:rPr>
                <w:rFonts w:hint="eastAsia" w:ascii="宋体" w:hAnsi="宋体" w:eastAsia="宋体" w:cs="宋体"/>
                <w:szCs w:val="21"/>
                <w:highlight w:val="none"/>
                <w:lang w:eastAsia="zh-CN"/>
              </w:rPr>
              <w:t>合同签订之日起一年</w:t>
            </w:r>
            <w:r>
              <w:rPr>
                <w:rFonts w:hint="eastAsia" w:ascii="宋体" w:hAnsi="宋体" w:eastAsia="宋体" w:cs="宋体"/>
                <w:szCs w:val="21"/>
                <w:highlight w:val="none"/>
              </w:rPr>
              <w:t>。</w:t>
            </w:r>
          </w:p>
          <w:p w14:paraId="681C36EA">
            <w:pPr>
              <w:spacing w:line="420" w:lineRule="exact"/>
              <w:rPr>
                <w:rFonts w:hint="eastAsia" w:ascii="宋体" w:hAnsi="宋体"/>
                <w:b/>
                <w:bCs/>
                <w:szCs w:val="21"/>
                <w:lang w:val="en-US" w:eastAsia="zh-CN"/>
              </w:rPr>
            </w:pPr>
            <w:r>
              <w:rPr>
                <w:rFonts w:hint="eastAsia" w:ascii="宋体" w:hAnsi="宋体" w:eastAsia="宋体" w:cs="宋体"/>
                <w:szCs w:val="21"/>
                <w:highlight w:val="none"/>
                <w:lang w:val="en-US" w:eastAsia="zh-CN"/>
              </w:rPr>
              <w:t>2.</w:t>
            </w:r>
            <w:r>
              <w:rPr>
                <w:rFonts w:hint="eastAsia" w:ascii="宋体" w:hAnsi="宋体" w:eastAsia="宋体" w:cs="宋体"/>
                <w:color w:val="000000"/>
                <w:szCs w:val="21"/>
              </w:rPr>
              <w:t>合同延续年限、条件和方式：本项目合同履约期到期后，采购人依据本项目的服务履约评价情况及实际需求，在年度预算保障的前提下，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1C91DE3B">
            <w:pPr>
              <w:widowControl/>
              <w:shd w:val="clear" w:color="auto" w:fill="FFFFFF"/>
              <w:spacing w:line="360" w:lineRule="auto"/>
              <w:rPr>
                <w:rFonts w:hint="eastAsia" w:ascii="宋体" w:hAnsi="宋体" w:eastAsia="宋体"/>
                <w:b/>
                <w:bCs/>
                <w:szCs w:val="21"/>
                <w:lang w:val="en-US" w:eastAsia="zh-CN"/>
              </w:rPr>
            </w:pPr>
            <w:r>
              <w:rPr>
                <w:rFonts w:hint="eastAsia" w:ascii="宋体" w:hAnsi="宋体"/>
                <w:b/>
                <w:bCs/>
                <w:szCs w:val="21"/>
                <w:lang w:val="en-US" w:eastAsia="zh-CN"/>
              </w:rPr>
              <w:t>三、租车服务范围:</w:t>
            </w:r>
            <w:r>
              <w:rPr>
                <w:rFonts w:hint="eastAsia" w:ascii="宋体" w:hAnsi="宋体" w:eastAsia="宋体" w:cs="宋体"/>
                <w:color w:val="000000"/>
                <w:szCs w:val="21"/>
                <w:lang w:val="en-US" w:eastAsia="zh-CN"/>
              </w:rPr>
              <w:t>采购人指定路线和地点（南</w:t>
            </w:r>
            <w:r>
              <w:rPr>
                <w:rFonts w:hint="eastAsia" w:ascii="宋体" w:hAnsi="宋体" w:eastAsia="宋体" w:cs="宋体"/>
                <w:i w:val="0"/>
                <w:iCs w:val="0"/>
                <w:color w:val="000000"/>
                <w:kern w:val="0"/>
                <w:sz w:val="21"/>
                <w:szCs w:val="21"/>
                <w:u w:val="none"/>
                <w:lang w:val="en-US" w:eastAsia="zh-CN" w:bidi="ar"/>
              </w:rPr>
              <w:t>宁市行政区域内：兴宁区、青秀区、西乡塘区、江南区、良庆区、邕宁区、武鸣区）</w:t>
            </w:r>
            <w:r>
              <w:rPr>
                <w:rFonts w:hint="eastAsia" w:ascii="宋体" w:hAnsi="宋体" w:eastAsia="宋体" w:cs="宋体"/>
                <w:color w:val="000000"/>
                <w:szCs w:val="21"/>
                <w:lang w:eastAsia="zh-CN"/>
              </w:rPr>
              <w:t>。</w:t>
            </w:r>
          </w:p>
          <w:p w14:paraId="729E1FDF">
            <w:pPr>
              <w:widowControl/>
              <w:shd w:val="clear" w:color="auto" w:fill="FFFFFF"/>
              <w:spacing w:line="360" w:lineRule="auto"/>
              <w:rPr>
                <w:rFonts w:hint="eastAsia" w:ascii="宋体" w:hAnsi="宋体" w:eastAsia="宋体" w:cs="Times New Roman"/>
                <w:b/>
                <w:bCs/>
                <w:color w:val="000000" w:themeColor="text1"/>
                <w:szCs w:val="21"/>
                <w:lang w:val="en-US" w:eastAsia="zh-CN"/>
                <w14:textFill>
                  <w14:solidFill>
                    <w14:schemeClr w14:val="tx1"/>
                  </w14:solidFill>
                </w14:textFill>
              </w:rPr>
            </w:pPr>
            <w:r>
              <w:rPr>
                <w:rFonts w:hint="eastAsia" w:ascii="宋体" w:hAnsi="宋体" w:eastAsia="宋体" w:cs="Times New Roman"/>
                <w:b/>
                <w:bCs/>
                <w:szCs w:val="21"/>
                <w:lang w:val="en-US" w:eastAsia="zh-CN"/>
              </w:rPr>
              <w:t>四、服务要求：</w:t>
            </w:r>
          </w:p>
          <w:p w14:paraId="77178F33">
            <w:pPr>
              <w:widowControl/>
              <w:shd w:val="clear" w:color="auto" w:fill="FFFFFF"/>
              <w:spacing w:line="360" w:lineRule="auto"/>
              <w:rPr>
                <w:rFonts w:hint="default" w:ascii="宋体" w:hAnsi="宋体" w:cs="宋体"/>
                <w:bCs w:val="0"/>
                <w:color w:val="000000" w:themeColor="text1"/>
                <w:spacing w:val="0"/>
                <w:kern w:val="2"/>
                <w:szCs w:val="24"/>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s="宋体"/>
                <w:bCs w:val="0"/>
                <w:color w:val="000000" w:themeColor="text1"/>
                <w:spacing w:val="0"/>
                <w:kern w:val="2"/>
                <w:szCs w:val="24"/>
                <w:lang w:val="en-US" w:eastAsia="zh-CN"/>
                <w14:textFill>
                  <w14:solidFill>
                    <w14:schemeClr w14:val="tx1"/>
                  </w14:solidFill>
                </w14:textFill>
              </w:rPr>
              <w:t>供应商提供的车辆优先选择3年内车龄的车型，车辆保险齐全，</w:t>
            </w:r>
            <w:r>
              <w:rPr>
                <w:rFonts w:hint="eastAsia" w:ascii="宋体" w:hAnsi="宋体" w:eastAsia="宋体" w:cs="宋体"/>
                <w:color w:val="000000" w:themeColor="text1"/>
                <w:sz w:val="21"/>
                <w:szCs w:val="21"/>
                <w14:textFill>
                  <w14:solidFill>
                    <w14:schemeClr w14:val="tx1"/>
                  </w14:solidFill>
                </w14:textFill>
              </w:rPr>
              <w:t>车辆安全设施符合国家安全标准</w:t>
            </w:r>
            <w:r>
              <w:rPr>
                <w:rFonts w:hint="eastAsia" w:ascii="宋体" w:hAnsi="宋体" w:cs="宋体"/>
                <w:bCs w:val="0"/>
                <w:color w:val="000000" w:themeColor="text1"/>
                <w:spacing w:val="0"/>
                <w:kern w:val="2"/>
                <w:szCs w:val="24"/>
                <w:lang w:val="en-US" w:eastAsia="zh-CN"/>
                <w14:textFill>
                  <w14:solidFill>
                    <w14:schemeClr w14:val="tx1"/>
                  </w14:solidFill>
                </w14:textFill>
              </w:rPr>
              <w:t>。</w:t>
            </w:r>
          </w:p>
          <w:p w14:paraId="122C02A2">
            <w:pPr>
              <w:widowControl/>
              <w:shd w:val="clear" w:color="auto" w:fill="FFFFFF"/>
              <w:spacing w:line="360" w:lineRule="auto"/>
              <w:rPr>
                <w:rFonts w:hint="eastAsia" w:ascii="宋体" w:hAnsi="宋体" w:cs="宋体"/>
                <w:bCs w:val="0"/>
                <w:spacing w:val="0"/>
                <w:kern w:val="2"/>
                <w:szCs w:val="24"/>
                <w:lang w:val="en-US" w:eastAsia="zh-CN"/>
              </w:rPr>
            </w:pPr>
            <w:r>
              <w:rPr>
                <w:rFonts w:hint="eastAsia" w:ascii="宋体" w:hAnsi="宋体" w:cs="宋体"/>
                <w:bCs w:val="0"/>
                <w:color w:val="000000" w:themeColor="text1"/>
                <w:spacing w:val="0"/>
                <w:kern w:val="2"/>
                <w:szCs w:val="24"/>
                <w:lang w:val="en-US" w:eastAsia="zh-CN"/>
                <w14:textFill>
                  <w14:solidFill>
                    <w14:schemeClr w14:val="tx1"/>
                  </w14:solidFill>
                </w14:textFill>
              </w:rPr>
              <w:t>2.配备</w:t>
            </w:r>
            <w:r>
              <w:rPr>
                <w:rFonts w:hint="eastAsia" w:ascii="宋体" w:hAnsi="宋体" w:eastAsia="宋体" w:cs="宋体"/>
                <w:color w:val="000000" w:themeColor="text1"/>
                <w:sz w:val="21"/>
                <w:szCs w:val="21"/>
                <w14:textFill>
                  <w14:solidFill>
                    <w14:schemeClr w14:val="tx1"/>
                  </w14:solidFill>
                </w14:textFill>
              </w:rPr>
              <w:t>驾驶员应持有合法的从业资格和具有相应准驾车型</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年以上</w:t>
            </w:r>
            <w:r>
              <w:rPr>
                <w:rFonts w:hint="eastAsia" w:ascii="宋体" w:hAnsi="宋体" w:eastAsia="宋体" w:cs="宋体"/>
                <w:sz w:val="21"/>
                <w:szCs w:val="21"/>
              </w:rPr>
              <w:t>安全驾驶经历，且驾驶技术娴熟、服务态度好</w:t>
            </w:r>
            <w:r>
              <w:rPr>
                <w:rFonts w:hint="eastAsia" w:ascii="宋体" w:hAnsi="宋体" w:cs="宋体"/>
                <w:bCs w:val="0"/>
                <w:spacing w:val="0"/>
                <w:kern w:val="2"/>
                <w:szCs w:val="24"/>
                <w:lang w:val="en-US" w:eastAsia="zh-CN"/>
              </w:rPr>
              <w:t>。</w:t>
            </w:r>
          </w:p>
          <w:p w14:paraId="2474A651">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五、其他要求：</w:t>
            </w:r>
          </w:p>
          <w:p w14:paraId="186E9F3E">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029E32DF">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租车及配套服务</w:t>
            </w:r>
            <w:r>
              <w:rPr>
                <w:rFonts w:hint="eastAsia" w:ascii="宋体" w:hAnsi="宋体"/>
                <w:szCs w:val="21"/>
              </w:rPr>
              <w:t>的</w:t>
            </w:r>
            <w:r>
              <w:rPr>
                <w:rFonts w:hint="eastAsia" w:ascii="宋体" w:hAnsi="宋体"/>
                <w:szCs w:val="21"/>
                <w:lang w:val="en-US" w:eastAsia="zh-CN"/>
              </w:rPr>
              <w:t>费用</w:t>
            </w:r>
            <w:r>
              <w:rPr>
                <w:rFonts w:hint="eastAsia" w:ascii="宋体" w:hAnsi="宋体"/>
                <w:szCs w:val="21"/>
              </w:rPr>
              <w:t>；</w:t>
            </w:r>
          </w:p>
          <w:p w14:paraId="018CF469">
            <w:pPr>
              <w:widowControl/>
              <w:shd w:val="clear" w:color="auto" w:fill="FFFFFF"/>
              <w:spacing w:line="360" w:lineRule="auto"/>
              <w:rPr>
                <w:rFonts w:hint="eastAsia" w:ascii="宋体" w:hAnsi="宋体"/>
                <w:szCs w:val="21"/>
              </w:rPr>
            </w:pPr>
            <w:r>
              <w:rPr>
                <w:rFonts w:hint="eastAsia" w:ascii="宋体" w:hAnsi="宋体"/>
                <w:szCs w:val="21"/>
              </w:rPr>
              <w:t>（2）</w:t>
            </w:r>
            <w:r>
              <w:rPr>
                <w:rFonts w:hint="eastAsia" w:ascii="宋体" w:hAnsi="宋体" w:eastAsia="宋体" w:cs="宋体"/>
                <w:i w:val="0"/>
                <w:iCs w:val="0"/>
                <w:color w:val="000000"/>
                <w:kern w:val="0"/>
                <w:sz w:val="21"/>
                <w:szCs w:val="21"/>
                <w:u w:val="none"/>
                <w:lang w:val="en-US" w:eastAsia="zh-CN" w:bidi="ar"/>
              </w:rPr>
              <w:t>含司机聘请、税费、燃油费、过路费、停车费等费用</w:t>
            </w:r>
            <w:r>
              <w:rPr>
                <w:rFonts w:hint="eastAsia" w:ascii="宋体" w:hAnsi="宋体"/>
                <w:szCs w:val="21"/>
              </w:rPr>
              <w:t>；</w:t>
            </w:r>
          </w:p>
          <w:p w14:paraId="1BF2DFB6">
            <w:pPr>
              <w:widowControl/>
              <w:shd w:val="clear" w:color="auto" w:fill="FFFFFF"/>
              <w:spacing w:line="360" w:lineRule="auto"/>
              <w:rPr>
                <w:rFonts w:hint="eastAsia" w:ascii="宋体" w:hAnsi="宋体"/>
                <w:szCs w:val="21"/>
              </w:rPr>
            </w:pPr>
            <w:r>
              <w:rPr>
                <w:rFonts w:hint="eastAsia" w:ascii="宋体" w:hAnsi="宋体"/>
                <w:szCs w:val="21"/>
              </w:rPr>
              <w:t>（3）</w:t>
            </w:r>
            <w:r>
              <w:rPr>
                <w:rFonts w:hint="eastAsia" w:ascii="宋体" w:hAnsi="宋体" w:eastAsia="宋体" w:cs="宋体"/>
                <w:i w:val="0"/>
                <w:iCs w:val="0"/>
                <w:color w:val="000000"/>
                <w:kern w:val="0"/>
                <w:sz w:val="21"/>
                <w:szCs w:val="21"/>
                <w:u w:val="none"/>
                <w:lang w:val="en-US" w:eastAsia="zh-CN" w:bidi="ar"/>
              </w:rPr>
              <w:t>车辆证税、保险 、维修保养、违章费、年审费等费用均由车辆租赁公司承担</w:t>
            </w:r>
            <w:r>
              <w:rPr>
                <w:rFonts w:hint="eastAsia" w:ascii="宋体" w:hAnsi="宋体"/>
                <w:szCs w:val="21"/>
              </w:rPr>
              <w:t>；</w:t>
            </w:r>
          </w:p>
          <w:p w14:paraId="79B6B758">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45453EE5">
            <w:pPr>
              <w:widowControl/>
              <w:shd w:val="clear" w:color="auto" w:fill="FFFFFF"/>
              <w:spacing w:line="360" w:lineRule="auto"/>
              <w:rPr>
                <w:rFonts w:hint="eastAsia" w:ascii="宋体" w:hAnsi="宋体" w:eastAsia="宋体" w:cs="宋体"/>
                <w:szCs w:val="21"/>
                <w:highlight w:val="none"/>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w:t>
            </w:r>
            <w:r>
              <w:rPr>
                <w:rFonts w:hint="eastAsia" w:ascii="宋体" w:hAnsi="宋体"/>
                <w:szCs w:val="21"/>
                <w:lang w:val="en-US" w:eastAsia="zh-CN"/>
              </w:rPr>
              <w:t>供应商按合同提供租车服务后，按实际用车费用结算</w:t>
            </w:r>
            <w:r>
              <w:rPr>
                <w:rFonts w:hint="eastAsia" w:ascii="宋体" w:hAnsi="宋体"/>
                <w:szCs w:val="21"/>
                <w:lang w:eastAsia="zh-CN"/>
              </w:rPr>
              <w:t>。</w:t>
            </w:r>
            <w:r>
              <w:rPr>
                <w:rFonts w:hint="eastAsia" w:ascii="宋体" w:hAnsi="宋体"/>
                <w:szCs w:val="21"/>
              </w:rPr>
              <w:t>（付款前</w:t>
            </w:r>
            <w:r>
              <w:rPr>
                <w:rFonts w:hint="eastAsia" w:ascii="宋体" w:hAnsi="宋体"/>
                <w:szCs w:val="21"/>
                <w:lang w:val="en-US" w:eastAsia="zh-CN"/>
              </w:rPr>
              <w:t>供应商</w:t>
            </w:r>
            <w:r>
              <w:rPr>
                <w:rFonts w:hint="eastAsia" w:ascii="宋体" w:hAnsi="宋体"/>
                <w:szCs w:val="21"/>
              </w:rPr>
              <w:t>需开具等额合规的增值税普通发票）。</w:t>
            </w:r>
          </w:p>
        </w:tc>
      </w:tr>
    </w:tbl>
    <w:p w14:paraId="6562F82B">
      <w:pPr>
        <w:jc w:val="both"/>
        <w:rPr>
          <w:rFonts w:hint="eastAsia" w:ascii="宋体" w:hAnsi="宋体"/>
          <w:b/>
          <w:color w:val="auto"/>
          <w:sz w:val="36"/>
          <w:szCs w:val="36"/>
        </w:rPr>
      </w:pPr>
    </w:p>
    <w:p w14:paraId="4D9CEC89">
      <w:pPr>
        <w:pStyle w:val="7"/>
        <w:spacing w:line="500" w:lineRule="exact"/>
        <w:jc w:val="left"/>
        <w:rPr>
          <w:rFonts w:hint="eastAsia" w:ascii="仿宋" w:hAnsi="仿宋" w:eastAsia="仿宋"/>
          <w:color w:val="auto"/>
          <w:sz w:val="30"/>
          <w:szCs w:val="30"/>
        </w:rPr>
      </w:pPr>
    </w:p>
    <w:p w14:paraId="4713EC88">
      <w:pPr>
        <w:pStyle w:val="7"/>
        <w:spacing w:line="500" w:lineRule="exact"/>
        <w:jc w:val="left"/>
        <w:rPr>
          <w:rFonts w:hint="eastAsia" w:ascii="仿宋" w:hAnsi="仿宋" w:eastAsia="仿宋"/>
          <w:color w:val="auto"/>
          <w:sz w:val="30"/>
          <w:szCs w:val="30"/>
        </w:rPr>
      </w:pPr>
    </w:p>
    <w:p w14:paraId="5AC0C2B2">
      <w:pPr>
        <w:pStyle w:val="7"/>
        <w:spacing w:line="500" w:lineRule="exact"/>
        <w:jc w:val="left"/>
        <w:rPr>
          <w:rFonts w:hint="eastAsia" w:ascii="仿宋" w:hAnsi="仿宋" w:eastAsia="仿宋"/>
          <w:color w:val="auto"/>
          <w:sz w:val="30"/>
          <w:szCs w:val="30"/>
        </w:rPr>
      </w:pPr>
    </w:p>
    <w:p w14:paraId="3FD3D18A">
      <w:pPr>
        <w:pStyle w:val="7"/>
        <w:spacing w:line="500" w:lineRule="exact"/>
        <w:jc w:val="left"/>
        <w:rPr>
          <w:rFonts w:hint="eastAsia" w:ascii="仿宋" w:hAnsi="仿宋" w:eastAsia="仿宋"/>
          <w:color w:val="auto"/>
          <w:sz w:val="30"/>
          <w:szCs w:val="30"/>
        </w:rPr>
      </w:pPr>
    </w:p>
    <w:p w14:paraId="2F93F421">
      <w:pPr>
        <w:pStyle w:val="7"/>
        <w:spacing w:line="500" w:lineRule="exact"/>
        <w:jc w:val="left"/>
        <w:rPr>
          <w:rFonts w:hint="eastAsia" w:ascii="仿宋" w:hAnsi="仿宋" w:eastAsia="仿宋"/>
          <w:color w:val="auto"/>
          <w:sz w:val="30"/>
          <w:szCs w:val="30"/>
        </w:rPr>
      </w:pPr>
    </w:p>
    <w:p w14:paraId="1BC26D1A">
      <w:pPr>
        <w:pStyle w:val="7"/>
        <w:spacing w:line="500" w:lineRule="exact"/>
        <w:jc w:val="left"/>
        <w:rPr>
          <w:rFonts w:hint="eastAsia" w:ascii="仿宋" w:hAnsi="仿宋" w:eastAsia="仿宋"/>
          <w:color w:val="auto"/>
          <w:sz w:val="30"/>
          <w:szCs w:val="30"/>
        </w:rPr>
      </w:pPr>
    </w:p>
    <w:p w14:paraId="6CDA9A26">
      <w:pPr>
        <w:pStyle w:val="7"/>
        <w:spacing w:line="500" w:lineRule="exact"/>
        <w:jc w:val="left"/>
        <w:rPr>
          <w:rFonts w:hint="eastAsia" w:ascii="仿宋" w:hAnsi="仿宋" w:eastAsia="仿宋"/>
          <w:color w:val="auto"/>
          <w:sz w:val="30"/>
          <w:szCs w:val="30"/>
        </w:rPr>
      </w:pPr>
    </w:p>
    <w:p w14:paraId="70DE19E5">
      <w:pPr>
        <w:pStyle w:val="7"/>
        <w:spacing w:line="500" w:lineRule="exact"/>
        <w:jc w:val="left"/>
        <w:rPr>
          <w:rFonts w:hint="eastAsia" w:ascii="仿宋" w:hAnsi="仿宋" w:eastAsia="仿宋"/>
          <w:color w:val="auto"/>
          <w:sz w:val="30"/>
          <w:szCs w:val="30"/>
        </w:rPr>
      </w:pPr>
    </w:p>
    <w:p w14:paraId="04D63F84">
      <w:pPr>
        <w:pStyle w:val="7"/>
        <w:spacing w:line="500" w:lineRule="exact"/>
        <w:jc w:val="left"/>
        <w:rPr>
          <w:rFonts w:hint="eastAsia" w:ascii="仿宋" w:hAnsi="仿宋" w:eastAsia="仿宋"/>
          <w:color w:val="auto"/>
          <w:sz w:val="30"/>
          <w:szCs w:val="30"/>
        </w:rPr>
      </w:pPr>
    </w:p>
    <w:p w14:paraId="7E92F9C5">
      <w:pPr>
        <w:pStyle w:val="7"/>
        <w:spacing w:line="500" w:lineRule="exact"/>
        <w:jc w:val="left"/>
        <w:rPr>
          <w:rFonts w:hint="eastAsia" w:ascii="仿宋" w:hAnsi="仿宋" w:eastAsia="仿宋"/>
          <w:color w:val="auto"/>
          <w:sz w:val="30"/>
          <w:szCs w:val="30"/>
        </w:rPr>
      </w:pPr>
    </w:p>
    <w:p w14:paraId="5F38AA2D">
      <w:pPr>
        <w:pStyle w:val="7"/>
        <w:spacing w:line="500" w:lineRule="exact"/>
        <w:jc w:val="left"/>
        <w:rPr>
          <w:rFonts w:hint="eastAsia" w:ascii="仿宋" w:hAnsi="仿宋" w:eastAsia="仿宋"/>
          <w:color w:val="auto"/>
          <w:sz w:val="30"/>
          <w:szCs w:val="30"/>
        </w:rPr>
      </w:pPr>
    </w:p>
    <w:p w14:paraId="4DAC44EE">
      <w:pPr>
        <w:pStyle w:val="7"/>
        <w:spacing w:line="500" w:lineRule="exact"/>
        <w:jc w:val="left"/>
        <w:rPr>
          <w:rFonts w:hint="eastAsia" w:ascii="仿宋" w:hAnsi="仿宋" w:eastAsia="仿宋"/>
          <w:color w:val="auto"/>
          <w:sz w:val="30"/>
          <w:szCs w:val="30"/>
        </w:rPr>
      </w:pPr>
    </w:p>
    <w:p w14:paraId="6F1ED1A6">
      <w:pPr>
        <w:pStyle w:val="7"/>
        <w:spacing w:line="500" w:lineRule="exact"/>
        <w:jc w:val="left"/>
        <w:rPr>
          <w:rFonts w:hint="eastAsia" w:ascii="仿宋" w:hAnsi="仿宋" w:eastAsia="仿宋"/>
          <w:color w:val="auto"/>
          <w:sz w:val="30"/>
          <w:szCs w:val="30"/>
        </w:rPr>
      </w:pPr>
    </w:p>
    <w:p w14:paraId="0D253C7A">
      <w:pPr>
        <w:pStyle w:val="7"/>
        <w:spacing w:line="500" w:lineRule="exact"/>
        <w:jc w:val="left"/>
        <w:rPr>
          <w:rFonts w:hint="eastAsia" w:ascii="仿宋" w:hAnsi="仿宋" w:eastAsia="仿宋"/>
          <w:color w:val="auto"/>
          <w:sz w:val="30"/>
          <w:szCs w:val="30"/>
        </w:rPr>
      </w:pPr>
    </w:p>
    <w:p w14:paraId="2D1300EB">
      <w:pPr>
        <w:pStyle w:val="7"/>
        <w:spacing w:line="500" w:lineRule="exact"/>
        <w:jc w:val="left"/>
        <w:rPr>
          <w:rFonts w:hint="eastAsia" w:ascii="仿宋" w:hAnsi="仿宋" w:eastAsia="仿宋"/>
          <w:color w:val="auto"/>
          <w:sz w:val="30"/>
          <w:szCs w:val="30"/>
        </w:rPr>
      </w:pPr>
    </w:p>
    <w:p w14:paraId="767F8527">
      <w:pPr>
        <w:pStyle w:val="7"/>
        <w:spacing w:line="500" w:lineRule="exact"/>
        <w:jc w:val="left"/>
        <w:rPr>
          <w:rFonts w:hint="eastAsia" w:ascii="仿宋" w:hAnsi="仿宋" w:eastAsia="仿宋"/>
          <w:color w:val="auto"/>
          <w:sz w:val="30"/>
          <w:szCs w:val="30"/>
        </w:rPr>
      </w:pPr>
    </w:p>
    <w:p w14:paraId="76BC5EB7">
      <w:pPr>
        <w:pStyle w:val="7"/>
        <w:spacing w:line="500" w:lineRule="exact"/>
        <w:jc w:val="left"/>
        <w:rPr>
          <w:rFonts w:hint="eastAsia" w:ascii="仿宋" w:hAnsi="仿宋" w:eastAsia="仿宋"/>
          <w:color w:val="auto"/>
          <w:sz w:val="30"/>
          <w:szCs w:val="30"/>
        </w:rPr>
      </w:pPr>
    </w:p>
    <w:p w14:paraId="5E588811">
      <w:pPr>
        <w:pStyle w:val="7"/>
        <w:spacing w:line="500" w:lineRule="exact"/>
        <w:jc w:val="left"/>
        <w:rPr>
          <w:rFonts w:hint="eastAsia" w:ascii="仿宋" w:hAnsi="仿宋" w:eastAsia="仿宋"/>
          <w:color w:val="auto"/>
          <w:sz w:val="30"/>
          <w:szCs w:val="30"/>
        </w:rPr>
      </w:pPr>
    </w:p>
    <w:p w14:paraId="2E7EC4CD">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w:t>
      </w:r>
      <w:r>
        <w:rPr>
          <w:rFonts w:hint="eastAsia" w:asciiTheme="minorEastAsia" w:hAnsiTheme="minorEastAsia" w:eastAsiaTheme="minorEastAsia"/>
          <w:color w:val="auto"/>
          <w:sz w:val="21"/>
          <w:szCs w:val="21"/>
          <w:u w:val="single"/>
          <w:lang w:val="zh-TW" w:eastAsia="zh-TW"/>
        </w:rPr>
        <w:t>2025年邀请参观“血液的奥秘”科普馆租车服务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5"/>
      </w:pPr>
    </w:p>
    <w:p w14:paraId="3004485A">
      <w:pPr>
        <w:rPr>
          <w:rFonts w:hint="eastAsia" w:ascii="仿宋" w:hAnsi="仿宋" w:eastAsia="仿宋"/>
          <w:color w:val="auto"/>
          <w:sz w:val="30"/>
          <w:szCs w:val="30"/>
        </w:rPr>
        <w:sectPr>
          <w:footerReference r:id="rId3" w:type="default"/>
          <w:pgSz w:w="11906" w:h="16838"/>
          <w:pgMar w:top="2098" w:right="1279" w:bottom="1984" w:left="1587" w:header="851" w:footer="992" w:gutter="0"/>
          <w:pgNumType w:fmt="numberInDash"/>
          <w:cols w:space="425" w:num="1"/>
          <w:docGrid w:type="lines" w:linePitch="312" w:charSpace="0"/>
        </w:sectPr>
      </w:pPr>
    </w:p>
    <w:p w14:paraId="20FFC8A0">
      <w:pPr>
        <w:rPr>
          <w:rFonts w:hint="eastAsia"/>
          <w:b/>
          <w:bCs/>
          <w:color w:val="auto"/>
          <w:sz w:val="32"/>
          <w:szCs w:val="32"/>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4                                 </w:t>
      </w:r>
      <w:r>
        <w:rPr>
          <w:rFonts w:hint="eastAsia"/>
          <w:b/>
          <w:bCs/>
          <w:color w:val="auto"/>
          <w:sz w:val="32"/>
          <w:szCs w:val="32"/>
        </w:rPr>
        <w:t>报价表</w:t>
      </w:r>
    </w:p>
    <w:tbl>
      <w:tblPr>
        <w:tblStyle w:val="15"/>
        <w:tblW w:w="136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3"/>
        <w:gridCol w:w="1860"/>
        <w:gridCol w:w="2150"/>
        <w:gridCol w:w="725"/>
        <w:gridCol w:w="887"/>
        <w:gridCol w:w="3600"/>
        <w:gridCol w:w="2263"/>
        <w:gridCol w:w="963"/>
      </w:tblGrid>
      <w:tr w14:paraId="7D7DD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5938" w:type="dxa"/>
            <w:gridSpan w:val="4"/>
            <w:tcBorders>
              <w:top w:val="single" w:color="000000" w:sz="8" w:space="0"/>
              <w:left w:val="single" w:color="000000" w:sz="8" w:space="0"/>
              <w:bottom w:val="single" w:color="000000" w:sz="8" w:space="0"/>
              <w:right w:val="single" w:color="000000" w:sz="8" w:space="0"/>
            </w:tcBorders>
            <w:noWrap w:val="0"/>
            <w:vAlign w:val="center"/>
          </w:tcPr>
          <w:p w14:paraId="0F6CE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按全天用车结算</w:t>
            </w:r>
          </w:p>
        </w:tc>
        <w:tc>
          <w:tcPr>
            <w:tcW w:w="887" w:type="dxa"/>
            <w:tcBorders>
              <w:top w:val="single" w:color="000000" w:sz="8" w:space="0"/>
              <w:left w:val="nil"/>
              <w:bottom w:val="single" w:color="000000" w:sz="8" w:space="0"/>
              <w:right w:val="single" w:color="000000" w:sz="8" w:space="0"/>
            </w:tcBorders>
            <w:noWrap w:val="0"/>
            <w:vAlign w:val="center"/>
          </w:tcPr>
          <w:p w14:paraId="2DA1E420">
            <w:pPr>
              <w:jc w:val="center"/>
              <w:rPr>
                <w:rFonts w:hint="eastAsia" w:ascii="宋体" w:hAnsi="宋体" w:eastAsia="宋体" w:cs="宋体"/>
                <w:i w:val="0"/>
                <w:iCs w:val="0"/>
                <w:color w:val="000000"/>
                <w:sz w:val="22"/>
                <w:szCs w:val="22"/>
                <w:u w:val="none"/>
              </w:rPr>
            </w:pPr>
          </w:p>
        </w:tc>
        <w:tc>
          <w:tcPr>
            <w:tcW w:w="6826" w:type="dxa"/>
            <w:gridSpan w:val="3"/>
            <w:tcBorders>
              <w:top w:val="single" w:color="000000" w:sz="8" w:space="0"/>
              <w:left w:val="nil"/>
              <w:bottom w:val="single" w:color="000000" w:sz="8" w:space="0"/>
              <w:right w:val="single" w:color="000000" w:sz="8" w:space="0"/>
            </w:tcBorders>
            <w:noWrap w:val="0"/>
            <w:vAlign w:val="center"/>
          </w:tcPr>
          <w:p w14:paraId="7870D87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按来回接送趟次结算</w:t>
            </w:r>
          </w:p>
        </w:tc>
      </w:tr>
      <w:tr w14:paraId="59533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jc w:val="center"/>
        </w:trPr>
        <w:tc>
          <w:tcPr>
            <w:tcW w:w="1203" w:type="dxa"/>
            <w:tcBorders>
              <w:top w:val="nil"/>
              <w:left w:val="single" w:color="000000" w:sz="8" w:space="0"/>
              <w:bottom w:val="single" w:color="000000" w:sz="8" w:space="0"/>
              <w:right w:val="single" w:color="000000" w:sz="8" w:space="0"/>
            </w:tcBorders>
            <w:noWrap w:val="0"/>
            <w:vAlign w:val="center"/>
          </w:tcPr>
          <w:p w14:paraId="770687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车型</w:t>
            </w:r>
          </w:p>
        </w:tc>
        <w:tc>
          <w:tcPr>
            <w:tcW w:w="1860" w:type="dxa"/>
            <w:tcBorders>
              <w:top w:val="nil"/>
              <w:left w:val="nil"/>
              <w:bottom w:val="single" w:color="000000" w:sz="8" w:space="0"/>
              <w:right w:val="single" w:color="000000" w:sz="8" w:space="0"/>
            </w:tcBorders>
            <w:noWrap w:val="0"/>
            <w:vAlign w:val="center"/>
          </w:tcPr>
          <w:p w14:paraId="4BA8489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南宁市区内全天报价（不低于12小时</w:t>
            </w:r>
            <w:r>
              <w:rPr>
                <w:rStyle w:val="38"/>
                <w:lang w:val="en-US" w:eastAsia="zh-CN" w:bidi="ar"/>
              </w:rPr>
              <w:t>）</w:t>
            </w:r>
          </w:p>
        </w:tc>
        <w:tc>
          <w:tcPr>
            <w:tcW w:w="2150" w:type="dxa"/>
            <w:tcBorders>
              <w:top w:val="single" w:color="000000" w:sz="8" w:space="0"/>
              <w:left w:val="nil"/>
              <w:bottom w:val="single" w:color="000000" w:sz="8" w:space="0"/>
              <w:right w:val="single" w:color="000000" w:sz="8" w:space="0"/>
            </w:tcBorders>
            <w:noWrap w:val="0"/>
            <w:vAlign w:val="center"/>
          </w:tcPr>
          <w:p w14:paraId="38DC2DC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市内半天报价（</w:t>
            </w:r>
            <w:r>
              <w:rPr>
                <w:rFonts w:hint="eastAsia" w:ascii="宋体" w:hAnsi="宋体" w:eastAsia="宋体" w:cs="宋体"/>
                <w:i w:val="0"/>
                <w:iCs w:val="0"/>
                <w:color w:val="000000"/>
                <w:kern w:val="0"/>
                <w:sz w:val="21"/>
                <w:szCs w:val="21"/>
                <w:u w:val="none"/>
                <w:lang w:val="en-US" w:eastAsia="zh-CN" w:bidi="ar"/>
              </w:rPr>
              <w:t>不低于6小时</w:t>
            </w:r>
            <w:r>
              <w:rPr>
                <w:rFonts w:hint="eastAsia" w:ascii="宋体" w:hAnsi="宋体" w:eastAsia="宋体" w:cs="宋体"/>
                <w:i w:val="0"/>
                <w:iCs w:val="0"/>
                <w:color w:val="000000"/>
                <w:sz w:val="21"/>
                <w:szCs w:val="21"/>
                <w:u w:val="none"/>
                <w:lang w:val="en-US" w:eastAsia="zh-CN"/>
              </w:rPr>
              <w:t>）</w:t>
            </w:r>
          </w:p>
        </w:tc>
        <w:tc>
          <w:tcPr>
            <w:tcW w:w="725" w:type="dxa"/>
            <w:tcBorders>
              <w:top w:val="single" w:color="000000" w:sz="8" w:space="0"/>
              <w:left w:val="nil"/>
              <w:bottom w:val="single" w:color="000000" w:sz="8" w:space="0"/>
              <w:right w:val="single" w:color="000000" w:sz="8" w:space="0"/>
            </w:tcBorders>
            <w:noWrap w:val="0"/>
            <w:vAlign w:val="center"/>
          </w:tcPr>
          <w:p w14:paraId="258D99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c>
          <w:tcPr>
            <w:tcW w:w="887" w:type="dxa"/>
            <w:tcBorders>
              <w:top w:val="nil"/>
              <w:left w:val="nil"/>
              <w:bottom w:val="single" w:color="000000" w:sz="8" w:space="0"/>
              <w:right w:val="single" w:color="000000" w:sz="8" w:space="0"/>
            </w:tcBorders>
            <w:noWrap w:val="0"/>
            <w:vAlign w:val="center"/>
          </w:tcPr>
          <w:p w14:paraId="5EBE69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车型</w:t>
            </w:r>
          </w:p>
        </w:tc>
        <w:tc>
          <w:tcPr>
            <w:tcW w:w="3600" w:type="dxa"/>
            <w:tcBorders>
              <w:top w:val="single" w:color="000000" w:sz="8" w:space="0"/>
              <w:left w:val="nil"/>
              <w:bottom w:val="single" w:color="000000" w:sz="8" w:space="0"/>
              <w:right w:val="single" w:color="000000" w:sz="8" w:space="0"/>
            </w:tcBorders>
            <w:noWrap w:val="0"/>
            <w:vAlign w:val="center"/>
          </w:tcPr>
          <w:p w14:paraId="0BC242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路程（往返）</w:t>
            </w:r>
          </w:p>
        </w:tc>
        <w:tc>
          <w:tcPr>
            <w:tcW w:w="2263" w:type="dxa"/>
            <w:tcBorders>
              <w:top w:val="single" w:color="000000" w:sz="8" w:space="0"/>
              <w:left w:val="nil"/>
              <w:bottom w:val="single" w:color="000000" w:sz="8" w:space="0"/>
              <w:right w:val="single" w:color="000000" w:sz="8" w:space="0"/>
            </w:tcBorders>
            <w:noWrap w:val="0"/>
            <w:vAlign w:val="center"/>
          </w:tcPr>
          <w:p w14:paraId="1402E5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租车服务价格</w:t>
            </w:r>
          </w:p>
        </w:tc>
        <w:tc>
          <w:tcPr>
            <w:tcW w:w="963" w:type="dxa"/>
            <w:tcBorders>
              <w:top w:val="single" w:color="000000" w:sz="8" w:space="0"/>
              <w:left w:val="nil"/>
              <w:bottom w:val="single" w:color="000000" w:sz="8" w:space="0"/>
              <w:right w:val="single" w:color="000000" w:sz="8" w:space="0"/>
            </w:tcBorders>
            <w:noWrap w:val="0"/>
            <w:vAlign w:val="center"/>
          </w:tcPr>
          <w:p w14:paraId="546609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0CA51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restart"/>
            <w:tcBorders>
              <w:top w:val="nil"/>
              <w:left w:val="single" w:color="000000" w:sz="8" w:space="0"/>
              <w:bottom w:val="single" w:color="000000" w:sz="8" w:space="0"/>
              <w:right w:val="single" w:color="000000" w:sz="8" w:space="0"/>
            </w:tcBorders>
            <w:noWrap w:val="0"/>
            <w:vAlign w:val="center"/>
          </w:tcPr>
          <w:p w14:paraId="1E94EF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普通公交车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（12-40座）</w:t>
            </w:r>
          </w:p>
        </w:tc>
        <w:tc>
          <w:tcPr>
            <w:tcW w:w="1860" w:type="dxa"/>
            <w:vMerge w:val="restart"/>
            <w:tcBorders>
              <w:top w:val="nil"/>
              <w:left w:val="nil"/>
              <w:bottom w:val="single" w:color="000000" w:sz="8" w:space="0"/>
              <w:right w:val="single" w:color="000000" w:sz="8" w:space="0"/>
            </w:tcBorders>
            <w:noWrap/>
            <w:vAlign w:val="center"/>
          </w:tcPr>
          <w:p w14:paraId="2FB4F2D1">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 xml:space="preserve">xx元/辆·天； </w:t>
            </w:r>
          </w:p>
        </w:tc>
        <w:tc>
          <w:tcPr>
            <w:tcW w:w="2150" w:type="dxa"/>
            <w:vMerge w:val="restart"/>
            <w:tcBorders>
              <w:top w:val="nil"/>
              <w:left w:val="nil"/>
              <w:bottom w:val="single" w:color="000000" w:sz="8" w:space="0"/>
              <w:right w:val="single" w:color="000000" w:sz="8" w:space="0"/>
            </w:tcBorders>
            <w:noWrap w:val="0"/>
            <w:vAlign w:val="center"/>
          </w:tcPr>
          <w:p w14:paraId="02B5A69A">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xx元/辆·半天；</w:t>
            </w:r>
          </w:p>
        </w:tc>
        <w:tc>
          <w:tcPr>
            <w:tcW w:w="725" w:type="dxa"/>
            <w:vMerge w:val="restart"/>
            <w:tcBorders>
              <w:top w:val="nil"/>
              <w:left w:val="nil"/>
              <w:right w:val="single" w:color="000000" w:sz="8" w:space="0"/>
            </w:tcBorders>
            <w:noWrap w:val="0"/>
            <w:vAlign w:val="center"/>
          </w:tcPr>
          <w:p w14:paraId="0DF6D6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87" w:type="dxa"/>
            <w:vMerge w:val="restart"/>
            <w:tcBorders>
              <w:top w:val="nil"/>
              <w:left w:val="single" w:color="000000" w:sz="8" w:space="0"/>
              <w:bottom w:val="single" w:color="000000" w:sz="8" w:space="0"/>
              <w:right w:val="single" w:color="000000" w:sz="8" w:space="0"/>
            </w:tcBorders>
            <w:noWrap w:val="0"/>
            <w:vAlign w:val="center"/>
          </w:tcPr>
          <w:p w14:paraId="3A5817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普通公交车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（12-40座）</w:t>
            </w:r>
          </w:p>
        </w:tc>
        <w:tc>
          <w:tcPr>
            <w:tcW w:w="3600" w:type="dxa"/>
            <w:tcBorders>
              <w:top w:val="nil"/>
              <w:left w:val="nil"/>
              <w:bottom w:val="single" w:color="000000" w:sz="8" w:space="0"/>
              <w:right w:val="single" w:color="000000" w:sz="8" w:space="0"/>
            </w:tcBorders>
            <w:noWrap w:val="0"/>
            <w:vAlign w:val="center"/>
          </w:tcPr>
          <w:p w14:paraId="7BC5AE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南宁中心血站-大学路沿线院校</w:t>
            </w:r>
          </w:p>
        </w:tc>
        <w:tc>
          <w:tcPr>
            <w:tcW w:w="2263" w:type="dxa"/>
            <w:tcBorders>
              <w:top w:val="nil"/>
              <w:left w:val="nil"/>
              <w:bottom w:val="single" w:color="000000" w:sz="8" w:space="0"/>
              <w:right w:val="single" w:color="000000" w:sz="8" w:space="0"/>
            </w:tcBorders>
            <w:noWrap w:val="0"/>
            <w:vAlign w:val="center"/>
          </w:tcPr>
          <w:p w14:paraId="20844885">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restart"/>
            <w:tcBorders>
              <w:top w:val="nil"/>
              <w:left w:val="nil"/>
              <w:bottom w:val="single" w:color="000000" w:sz="8" w:space="0"/>
              <w:right w:val="single" w:color="000000" w:sz="8" w:space="0"/>
            </w:tcBorders>
            <w:noWrap w:val="0"/>
            <w:vAlign w:val="center"/>
          </w:tcPr>
          <w:p w14:paraId="6F887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57CE2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top w:val="nil"/>
              <w:left w:val="single" w:color="000000" w:sz="8" w:space="0"/>
              <w:bottom w:val="single" w:color="000000" w:sz="8" w:space="0"/>
              <w:right w:val="single" w:color="000000" w:sz="8" w:space="0"/>
            </w:tcBorders>
            <w:noWrap w:val="0"/>
            <w:vAlign w:val="center"/>
          </w:tcPr>
          <w:p w14:paraId="1C713BEF">
            <w:pPr>
              <w:jc w:val="center"/>
              <w:rPr>
                <w:rFonts w:hint="eastAsia" w:ascii="宋体" w:hAnsi="宋体" w:eastAsia="宋体" w:cs="宋体"/>
                <w:i w:val="0"/>
                <w:iCs w:val="0"/>
                <w:color w:val="000000"/>
                <w:sz w:val="21"/>
                <w:szCs w:val="21"/>
                <w:u w:val="none"/>
              </w:rPr>
            </w:pPr>
          </w:p>
        </w:tc>
        <w:tc>
          <w:tcPr>
            <w:tcW w:w="1860" w:type="dxa"/>
            <w:vMerge w:val="continue"/>
            <w:tcBorders>
              <w:top w:val="nil"/>
              <w:left w:val="nil"/>
              <w:bottom w:val="single" w:color="000000" w:sz="8" w:space="0"/>
              <w:right w:val="single" w:color="000000" w:sz="8" w:space="0"/>
            </w:tcBorders>
            <w:noWrap/>
            <w:vAlign w:val="center"/>
          </w:tcPr>
          <w:p w14:paraId="3610CC81">
            <w:pPr>
              <w:jc w:val="center"/>
              <w:rPr>
                <w:rFonts w:hint="eastAsia" w:ascii="宋体" w:hAnsi="宋体" w:eastAsia="宋体" w:cs="宋体"/>
                <w:i w:val="0"/>
                <w:iCs w:val="0"/>
                <w:color w:val="FF0000"/>
                <w:sz w:val="21"/>
                <w:szCs w:val="21"/>
                <w:u w:val="none"/>
              </w:rPr>
            </w:pPr>
          </w:p>
        </w:tc>
        <w:tc>
          <w:tcPr>
            <w:tcW w:w="2150" w:type="dxa"/>
            <w:vMerge w:val="continue"/>
            <w:tcBorders>
              <w:top w:val="nil"/>
              <w:left w:val="nil"/>
              <w:bottom w:val="single" w:color="000000" w:sz="8" w:space="0"/>
              <w:right w:val="single" w:color="000000" w:sz="8" w:space="0"/>
            </w:tcBorders>
            <w:noWrap w:val="0"/>
            <w:vAlign w:val="center"/>
          </w:tcPr>
          <w:p w14:paraId="39A5DF25">
            <w:pPr>
              <w:jc w:val="center"/>
              <w:rPr>
                <w:rFonts w:hint="eastAsia" w:ascii="宋体" w:hAnsi="宋体" w:eastAsia="宋体" w:cs="宋体"/>
                <w:i w:val="0"/>
                <w:iCs w:val="0"/>
                <w:color w:val="FF0000"/>
                <w:sz w:val="21"/>
                <w:szCs w:val="21"/>
                <w:u w:val="none"/>
              </w:rPr>
            </w:pPr>
          </w:p>
        </w:tc>
        <w:tc>
          <w:tcPr>
            <w:tcW w:w="725" w:type="dxa"/>
            <w:vMerge w:val="continue"/>
            <w:tcBorders>
              <w:left w:val="nil"/>
              <w:right w:val="single" w:color="000000" w:sz="8" w:space="0"/>
            </w:tcBorders>
            <w:noWrap w:val="0"/>
            <w:vAlign w:val="center"/>
          </w:tcPr>
          <w:p w14:paraId="1452E831">
            <w:pPr>
              <w:jc w:val="center"/>
              <w:rPr>
                <w:rFonts w:hint="eastAsia" w:ascii="宋体" w:hAnsi="宋体" w:eastAsia="宋体" w:cs="宋体"/>
                <w:i w:val="0"/>
                <w:iCs w:val="0"/>
                <w:color w:val="000000"/>
                <w:sz w:val="21"/>
                <w:szCs w:val="21"/>
                <w:u w:val="none"/>
              </w:rPr>
            </w:pPr>
          </w:p>
        </w:tc>
        <w:tc>
          <w:tcPr>
            <w:tcW w:w="887" w:type="dxa"/>
            <w:vMerge w:val="continue"/>
            <w:tcBorders>
              <w:top w:val="nil"/>
              <w:left w:val="single" w:color="000000" w:sz="8" w:space="0"/>
              <w:bottom w:val="single" w:color="000000" w:sz="8" w:space="0"/>
              <w:right w:val="single" w:color="000000" w:sz="8" w:space="0"/>
            </w:tcBorders>
            <w:noWrap w:val="0"/>
            <w:vAlign w:val="center"/>
          </w:tcPr>
          <w:p w14:paraId="318CDEC0">
            <w:pPr>
              <w:jc w:val="center"/>
              <w:rPr>
                <w:rFonts w:hint="eastAsia" w:ascii="宋体" w:hAnsi="宋体" w:eastAsia="宋体" w:cs="宋体"/>
                <w:i w:val="0"/>
                <w:iCs w:val="0"/>
                <w:color w:val="000000"/>
                <w:sz w:val="21"/>
                <w:szCs w:val="21"/>
                <w:u w:val="none"/>
              </w:rPr>
            </w:pPr>
          </w:p>
        </w:tc>
        <w:tc>
          <w:tcPr>
            <w:tcW w:w="3600" w:type="dxa"/>
            <w:tcBorders>
              <w:top w:val="nil"/>
              <w:left w:val="nil"/>
              <w:bottom w:val="single" w:color="000000" w:sz="8" w:space="0"/>
              <w:right w:val="single" w:color="000000" w:sz="8" w:space="0"/>
            </w:tcBorders>
            <w:noWrap w:val="0"/>
            <w:vAlign w:val="center"/>
          </w:tcPr>
          <w:p w14:paraId="38355D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南宁中心血站-明阳片区周边院校</w:t>
            </w:r>
          </w:p>
        </w:tc>
        <w:tc>
          <w:tcPr>
            <w:tcW w:w="2263" w:type="dxa"/>
            <w:tcBorders>
              <w:top w:val="nil"/>
              <w:left w:val="nil"/>
              <w:bottom w:val="single" w:color="000000" w:sz="8" w:space="0"/>
              <w:right w:val="single" w:color="000000" w:sz="8" w:space="0"/>
            </w:tcBorders>
            <w:noWrap w:val="0"/>
            <w:vAlign w:val="center"/>
          </w:tcPr>
          <w:p w14:paraId="0495F676">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continue"/>
            <w:tcBorders>
              <w:top w:val="nil"/>
              <w:left w:val="nil"/>
              <w:bottom w:val="single" w:color="000000" w:sz="8" w:space="0"/>
              <w:right w:val="single" w:color="000000" w:sz="8" w:space="0"/>
            </w:tcBorders>
            <w:noWrap w:val="0"/>
            <w:vAlign w:val="center"/>
          </w:tcPr>
          <w:p w14:paraId="42A0974F">
            <w:pPr>
              <w:jc w:val="center"/>
              <w:rPr>
                <w:rFonts w:hint="eastAsia" w:ascii="宋体" w:hAnsi="宋体" w:eastAsia="宋体" w:cs="宋体"/>
                <w:i w:val="0"/>
                <w:iCs w:val="0"/>
                <w:color w:val="000000"/>
                <w:sz w:val="21"/>
                <w:szCs w:val="21"/>
                <w:u w:val="none"/>
              </w:rPr>
            </w:pPr>
          </w:p>
        </w:tc>
      </w:tr>
      <w:tr w14:paraId="5FB2F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top w:val="nil"/>
              <w:left w:val="single" w:color="000000" w:sz="8" w:space="0"/>
              <w:bottom w:val="single" w:color="000000" w:sz="8" w:space="0"/>
              <w:right w:val="single" w:color="000000" w:sz="8" w:space="0"/>
            </w:tcBorders>
            <w:noWrap w:val="0"/>
            <w:vAlign w:val="center"/>
          </w:tcPr>
          <w:p w14:paraId="0127C5AB">
            <w:pPr>
              <w:jc w:val="center"/>
              <w:rPr>
                <w:rFonts w:hint="eastAsia" w:ascii="宋体" w:hAnsi="宋体" w:eastAsia="宋体" w:cs="宋体"/>
                <w:i w:val="0"/>
                <w:iCs w:val="0"/>
                <w:color w:val="000000"/>
                <w:sz w:val="21"/>
                <w:szCs w:val="21"/>
                <w:u w:val="none"/>
              </w:rPr>
            </w:pPr>
          </w:p>
        </w:tc>
        <w:tc>
          <w:tcPr>
            <w:tcW w:w="1860" w:type="dxa"/>
            <w:vMerge w:val="continue"/>
            <w:tcBorders>
              <w:top w:val="nil"/>
              <w:left w:val="nil"/>
              <w:bottom w:val="single" w:color="000000" w:sz="8" w:space="0"/>
              <w:right w:val="single" w:color="000000" w:sz="8" w:space="0"/>
            </w:tcBorders>
            <w:noWrap/>
            <w:vAlign w:val="center"/>
          </w:tcPr>
          <w:p w14:paraId="1A040954">
            <w:pPr>
              <w:jc w:val="center"/>
              <w:rPr>
                <w:rFonts w:hint="eastAsia" w:ascii="宋体" w:hAnsi="宋体" w:eastAsia="宋体" w:cs="宋体"/>
                <w:i w:val="0"/>
                <w:iCs w:val="0"/>
                <w:color w:val="FF0000"/>
                <w:sz w:val="21"/>
                <w:szCs w:val="21"/>
                <w:u w:val="none"/>
              </w:rPr>
            </w:pPr>
          </w:p>
        </w:tc>
        <w:tc>
          <w:tcPr>
            <w:tcW w:w="2150" w:type="dxa"/>
            <w:vMerge w:val="continue"/>
            <w:tcBorders>
              <w:top w:val="nil"/>
              <w:left w:val="nil"/>
              <w:bottom w:val="single" w:color="000000" w:sz="8" w:space="0"/>
              <w:right w:val="single" w:color="000000" w:sz="8" w:space="0"/>
            </w:tcBorders>
            <w:noWrap w:val="0"/>
            <w:vAlign w:val="center"/>
          </w:tcPr>
          <w:p w14:paraId="54D0F1BB">
            <w:pPr>
              <w:jc w:val="center"/>
              <w:rPr>
                <w:rFonts w:hint="eastAsia" w:ascii="宋体" w:hAnsi="宋体" w:eastAsia="宋体" w:cs="宋体"/>
                <w:i w:val="0"/>
                <w:iCs w:val="0"/>
                <w:color w:val="FF0000"/>
                <w:sz w:val="21"/>
                <w:szCs w:val="21"/>
                <w:u w:val="none"/>
              </w:rPr>
            </w:pPr>
          </w:p>
        </w:tc>
        <w:tc>
          <w:tcPr>
            <w:tcW w:w="725" w:type="dxa"/>
            <w:vMerge w:val="continue"/>
            <w:tcBorders>
              <w:left w:val="nil"/>
              <w:right w:val="single" w:color="000000" w:sz="8" w:space="0"/>
            </w:tcBorders>
            <w:noWrap w:val="0"/>
            <w:vAlign w:val="center"/>
          </w:tcPr>
          <w:p w14:paraId="1E79E6E2">
            <w:pPr>
              <w:jc w:val="center"/>
              <w:rPr>
                <w:rFonts w:hint="eastAsia" w:ascii="宋体" w:hAnsi="宋体" w:eastAsia="宋体" w:cs="宋体"/>
                <w:i w:val="0"/>
                <w:iCs w:val="0"/>
                <w:color w:val="000000"/>
                <w:sz w:val="21"/>
                <w:szCs w:val="21"/>
                <w:u w:val="none"/>
              </w:rPr>
            </w:pPr>
          </w:p>
        </w:tc>
        <w:tc>
          <w:tcPr>
            <w:tcW w:w="887" w:type="dxa"/>
            <w:vMerge w:val="continue"/>
            <w:tcBorders>
              <w:top w:val="nil"/>
              <w:left w:val="single" w:color="000000" w:sz="8" w:space="0"/>
              <w:bottom w:val="single" w:color="000000" w:sz="8" w:space="0"/>
              <w:right w:val="single" w:color="000000" w:sz="8" w:space="0"/>
            </w:tcBorders>
            <w:noWrap w:val="0"/>
            <w:vAlign w:val="center"/>
          </w:tcPr>
          <w:p w14:paraId="4831370A">
            <w:pPr>
              <w:jc w:val="center"/>
              <w:rPr>
                <w:rFonts w:hint="eastAsia" w:ascii="宋体" w:hAnsi="宋体" w:eastAsia="宋体" w:cs="宋体"/>
                <w:i w:val="0"/>
                <w:iCs w:val="0"/>
                <w:color w:val="000000"/>
                <w:sz w:val="21"/>
                <w:szCs w:val="21"/>
                <w:u w:val="none"/>
              </w:rPr>
            </w:pPr>
          </w:p>
        </w:tc>
        <w:tc>
          <w:tcPr>
            <w:tcW w:w="3600" w:type="dxa"/>
            <w:tcBorders>
              <w:top w:val="nil"/>
              <w:left w:val="nil"/>
              <w:bottom w:val="single" w:color="000000" w:sz="8" w:space="0"/>
              <w:right w:val="single" w:color="000000" w:sz="8" w:space="0"/>
            </w:tcBorders>
            <w:noWrap w:val="0"/>
            <w:vAlign w:val="center"/>
          </w:tcPr>
          <w:p w14:paraId="79A055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南宁中心血站-五合片区周边院校</w:t>
            </w:r>
          </w:p>
        </w:tc>
        <w:tc>
          <w:tcPr>
            <w:tcW w:w="2263" w:type="dxa"/>
            <w:tcBorders>
              <w:top w:val="nil"/>
              <w:left w:val="nil"/>
              <w:bottom w:val="single" w:color="000000" w:sz="8" w:space="0"/>
              <w:right w:val="single" w:color="000000" w:sz="8" w:space="0"/>
            </w:tcBorders>
            <w:noWrap w:val="0"/>
            <w:vAlign w:val="center"/>
          </w:tcPr>
          <w:p w14:paraId="0E9AF3F4">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continue"/>
            <w:tcBorders>
              <w:top w:val="nil"/>
              <w:left w:val="nil"/>
              <w:bottom w:val="single" w:color="000000" w:sz="8" w:space="0"/>
              <w:right w:val="single" w:color="000000" w:sz="8" w:space="0"/>
            </w:tcBorders>
            <w:noWrap w:val="0"/>
            <w:vAlign w:val="center"/>
          </w:tcPr>
          <w:p w14:paraId="4F9DECE3">
            <w:pPr>
              <w:jc w:val="center"/>
              <w:rPr>
                <w:rFonts w:hint="eastAsia" w:ascii="宋体" w:hAnsi="宋体" w:eastAsia="宋体" w:cs="宋体"/>
                <w:i w:val="0"/>
                <w:iCs w:val="0"/>
                <w:color w:val="000000"/>
                <w:sz w:val="21"/>
                <w:szCs w:val="21"/>
                <w:u w:val="none"/>
              </w:rPr>
            </w:pPr>
          </w:p>
        </w:tc>
      </w:tr>
      <w:tr w14:paraId="3ABBD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top w:val="nil"/>
              <w:left w:val="single" w:color="000000" w:sz="8" w:space="0"/>
              <w:bottom w:val="single" w:color="000000" w:sz="8" w:space="0"/>
              <w:right w:val="single" w:color="000000" w:sz="8" w:space="0"/>
            </w:tcBorders>
            <w:noWrap w:val="0"/>
            <w:vAlign w:val="center"/>
          </w:tcPr>
          <w:p w14:paraId="1AB57841">
            <w:pPr>
              <w:jc w:val="center"/>
              <w:rPr>
                <w:rFonts w:hint="eastAsia" w:ascii="宋体" w:hAnsi="宋体" w:eastAsia="宋体" w:cs="宋体"/>
                <w:i w:val="0"/>
                <w:iCs w:val="0"/>
                <w:color w:val="000000"/>
                <w:sz w:val="21"/>
                <w:szCs w:val="21"/>
                <w:u w:val="none"/>
              </w:rPr>
            </w:pPr>
          </w:p>
        </w:tc>
        <w:tc>
          <w:tcPr>
            <w:tcW w:w="1860" w:type="dxa"/>
            <w:vMerge w:val="continue"/>
            <w:tcBorders>
              <w:top w:val="nil"/>
              <w:left w:val="nil"/>
              <w:bottom w:val="single" w:color="000000" w:sz="8" w:space="0"/>
              <w:right w:val="single" w:color="000000" w:sz="8" w:space="0"/>
            </w:tcBorders>
            <w:noWrap/>
            <w:vAlign w:val="center"/>
          </w:tcPr>
          <w:p w14:paraId="6F611E6D">
            <w:pPr>
              <w:jc w:val="center"/>
              <w:rPr>
                <w:rFonts w:hint="eastAsia" w:ascii="宋体" w:hAnsi="宋体" w:eastAsia="宋体" w:cs="宋体"/>
                <w:i w:val="0"/>
                <w:iCs w:val="0"/>
                <w:color w:val="FF0000"/>
                <w:sz w:val="21"/>
                <w:szCs w:val="21"/>
                <w:u w:val="none"/>
              </w:rPr>
            </w:pPr>
          </w:p>
        </w:tc>
        <w:tc>
          <w:tcPr>
            <w:tcW w:w="2150" w:type="dxa"/>
            <w:vMerge w:val="continue"/>
            <w:tcBorders>
              <w:top w:val="nil"/>
              <w:left w:val="nil"/>
              <w:bottom w:val="single" w:color="000000" w:sz="8" w:space="0"/>
              <w:right w:val="single" w:color="000000" w:sz="8" w:space="0"/>
            </w:tcBorders>
            <w:noWrap w:val="0"/>
            <w:vAlign w:val="center"/>
          </w:tcPr>
          <w:p w14:paraId="3FB9C1B2">
            <w:pPr>
              <w:jc w:val="center"/>
              <w:rPr>
                <w:rFonts w:hint="eastAsia" w:ascii="宋体" w:hAnsi="宋体" w:eastAsia="宋体" w:cs="宋体"/>
                <w:i w:val="0"/>
                <w:iCs w:val="0"/>
                <w:color w:val="FF0000"/>
                <w:sz w:val="21"/>
                <w:szCs w:val="21"/>
                <w:u w:val="none"/>
              </w:rPr>
            </w:pPr>
          </w:p>
        </w:tc>
        <w:tc>
          <w:tcPr>
            <w:tcW w:w="725" w:type="dxa"/>
            <w:vMerge w:val="continue"/>
            <w:tcBorders>
              <w:left w:val="nil"/>
              <w:bottom w:val="single" w:color="000000" w:sz="8" w:space="0"/>
              <w:right w:val="single" w:color="000000" w:sz="8" w:space="0"/>
            </w:tcBorders>
            <w:noWrap w:val="0"/>
            <w:vAlign w:val="center"/>
          </w:tcPr>
          <w:p w14:paraId="4006CE08">
            <w:pPr>
              <w:jc w:val="center"/>
              <w:rPr>
                <w:rFonts w:hint="eastAsia" w:ascii="宋体" w:hAnsi="宋体" w:eastAsia="宋体" w:cs="宋体"/>
                <w:i w:val="0"/>
                <w:iCs w:val="0"/>
                <w:color w:val="000000"/>
                <w:sz w:val="21"/>
                <w:szCs w:val="21"/>
                <w:u w:val="none"/>
              </w:rPr>
            </w:pPr>
          </w:p>
        </w:tc>
        <w:tc>
          <w:tcPr>
            <w:tcW w:w="887" w:type="dxa"/>
            <w:vMerge w:val="continue"/>
            <w:tcBorders>
              <w:top w:val="nil"/>
              <w:left w:val="single" w:color="000000" w:sz="8" w:space="0"/>
              <w:bottom w:val="single" w:color="000000" w:sz="8" w:space="0"/>
              <w:right w:val="single" w:color="000000" w:sz="8" w:space="0"/>
            </w:tcBorders>
            <w:noWrap w:val="0"/>
            <w:vAlign w:val="center"/>
          </w:tcPr>
          <w:p w14:paraId="361DE5C6">
            <w:pPr>
              <w:jc w:val="center"/>
              <w:rPr>
                <w:rFonts w:hint="eastAsia" w:ascii="宋体" w:hAnsi="宋体" w:eastAsia="宋体" w:cs="宋体"/>
                <w:i w:val="0"/>
                <w:iCs w:val="0"/>
                <w:color w:val="000000"/>
                <w:sz w:val="21"/>
                <w:szCs w:val="21"/>
                <w:u w:val="none"/>
              </w:rPr>
            </w:pPr>
          </w:p>
        </w:tc>
        <w:tc>
          <w:tcPr>
            <w:tcW w:w="3600" w:type="dxa"/>
            <w:tcBorders>
              <w:top w:val="nil"/>
              <w:left w:val="nil"/>
              <w:bottom w:val="single" w:color="000000" w:sz="8" w:space="0"/>
              <w:right w:val="single" w:color="000000" w:sz="8" w:space="0"/>
            </w:tcBorders>
            <w:noWrap w:val="0"/>
            <w:vAlign w:val="center"/>
          </w:tcPr>
          <w:p w14:paraId="7A01A1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南宁中心血站-武鸣片区周边院校</w:t>
            </w:r>
          </w:p>
        </w:tc>
        <w:tc>
          <w:tcPr>
            <w:tcW w:w="2263" w:type="dxa"/>
            <w:tcBorders>
              <w:top w:val="nil"/>
              <w:left w:val="nil"/>
              <w:bottom w:val="single" w:color="000000" w:sz="8" w:space="0"/>
              <w:right w:val="single" w:color="000000" w:sz="8" w:space="0"/>
            </w:tcBorders>
            <w:noWrap w:val="0"/>
            <w:vAlign w:val="center"/>
          </w:tcPr>
          <w:p w14:paraId="6C02C150">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continue"/>
            <w:tcBorders>
              <w:top w:val="nil"/>
              <w:left w:val="nil"/>
              <w:bottom w:val="single" w:color="000000" w:sz="8" w:space="0"/>
              <w:right w:val="single" w:color="000000" w:sz="8" w:space="0"/>
            </w:tcBorders>
            <w:noWrap w:val="0"/>
            <w:vAlign w:val="center"/>
          </w:tcPr>
          <w:p w14:paraId="6107349A">
            <w:pPr>
              <w:jc w:val="center"/>
              <w:rPr>
                <w:rFonts w:hint="eastAsia" w:ascii="宋体" w:hAnsi="宋体" w:eastAsia="宋体" w:cs="宋体"/>
                <w:i w:val="0"/>
                <w:iCs w:val="0"/>
                <w:color w:val="000000"/>
                <w:sz w:val="21"/>
                <w:szCs w:val="21"/>
                <w:u w:val="none"/>
              </w:rPr>
            </w:pPr>
          </w:p>
        </w:tc>
      </w:tr>
      <w:tr w14:paraId="30E5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restart"/>
            <w:tcBorders>
              <w:top w:val="nil"/>
              <w:left w:val="single" w:color="000000" w:sz="8" w:space="0"/>
              <w:bottom w:val="single" w:color="000000" w:sz="8" w:space="0"/>
              <w:right w:val="single" w:color="000000" w:sz="8" w:space="0"/>
            </w:tcBorders>
            <w:noWrap w:val="0"/>
            <w:vAlign w:val="center"/>
          </w:tcPr>
          <w:p w14:paraId="539BFE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普通公交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（32-44座）</w:t>
            </w:r>
          </w:p>
        </w:tc>
        <w:tc>
          <w:tcPr>
            <w:tcW w:w="1860" w:type="dxa"/>
            <w:vMerge w:val="restart"/>
            <w:tcBorders>
              <w:top w:val="nil"/>
              <w:left w:val="nil"/>
              <w:bottom w:val="single" w:color="000000" w:sz="8" w:space="0"/>
              <w:right w:val="single" w:color="000000" w:sz="8" w:space="0"/>
            </w:tcBorders>
            <w:noWrap/>
            <w:vAlign w:val="center"/>
          </w:tcPr>
          <w:p w14:paraId="62CD2C4B">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 xml:space="preserve">xx元/辆·天；    </w:t>
            </w:r>
          </w:p>
        </w:tc>
        <w:tc>
          <w:tcPr>
            <w:tcW w:w="2150" w:type="dxa"/>
            <w:vMerge w:val="restart"/>
            <w:tcBorders>
              <w:top w:val="nil"/>
              <w:left w:val="nil"/>
              <w:bottom w:val="single" w:color="000000" w:sz="8" w:space="0"/>
              <w:right w:val="single" w:color="000000" w:sz="8" w:space="0"/>
            </w:tcBorders>
            <w:noWrap w:val="0"/>
            <w:vAlign w:val="center"/>
          </w:tcPr>
          <w:p w14:paraId="5F0F692D">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xx元/辆·半天；</w:t>
            </w:r>
          </w:p>
        </w:tc>
        <w:tc>
          <w:tcPr>
            <w:tcW w:w="725" w:type="dxa"/>
            <w:vMerge w:val="restart"/>
            <w:tcBorders>
              <w:top w:val="nil"/>
              <w:left w:val="nil"/>
              <w:right w:val="single" w:color="000000" w:sz="8" w:space="0"/>
            </w:tcBorders>
            <w:noWrap w:val="0"/>
            <w:vAlign w:val="center"/>
          </w:tcPr>
          <w:p w14:paraId="58AF7B12">
            <w:pPr>
              <w:jc w:val="center"/>
              <w:rPr>
                <w:rFonts w:hint="eastAsia" w:ascii="宋体" w:hAnsi="宋体" w:eastAsia="宋体" w:cs="宋体"/>
                <w:i w:val="0"/>
                <w:iCs w:val="0"/>
                <w:color w:val="000000"/>
                <w:sz w:val="21"/>
                <w:szCs w:val="21"/>
                <w:u w:val="none"/>
              </w:rPr>
            </w:pPr>
          </w:p>
        </w:tc>
        <w:tc>
          <w:tcPr>
            <w:tcW w:w="887" w:type="dxa"/>
            <w:vMerge w:val="restart"/>
            <w:tcBorders>
              <w:top w:val="nil"/>
              <w:left w:val="single" w:color="000000" w:sz="8" w:space="0"/>
              <w:bottom w:val="single" w:color="000000" w:sz="8" w:space="0"/>
              <w:right w:val="single" w:color="000000" w:sz="8" w:space="0"/>
            </w:tcBorders>
            <w:noWrap w:val="0"/>
            <w:vAlign w:val="center"/>
          </w:tcPr>
          <w:p w14:paraId="55854D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网约大巴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（32-44座）</w:t>
            </w:r>
          </w:p>
        </w:tc>
        <w:tc>
          <w:tcPr>
            <w:tcW w:w="3600" w:type="dxa"/>
            <w:tcBorders>
              <w:top w:val="nil"/>
              <w:left w:val="nil"/>
              <w:bottom w:val="single" w:color="000000" w:sz="8" w:space="0"/>
              <w:right w:val="single" w:color="000000" w:sz="8" w:space="0"/>
            </w:tcBorders>
            <w:noWrap w:val="0"/>
            <w:vAlign w:val="center"/>
          </w:tcPr>
          <w:p w14:paraId="1E0518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南宁中心血站-大学路沿线院校</w:t>
            </w:r>
          </w:p>
        </w:tc>
        <w:tc>
          <w:tcPr>
            <w:tcW w:w="2263" w:type="dxa"/>
            <w:tcBorders>
              <w:top w:val="nil"/>
              <w:left w:val="nil"/>
              <w:bottom w:val="single" w:color="000000" w:sz="8" w:space="0"/>
              <w:right w:val="single" w:color="000000" w:sz="8" w:space="0"/>
            </w:tcBorders>
            <w:noWrap w:val="0"/>
            <w:vAlign w:val="center"/>
          </w:tcPr>
          <w:p w14:paraId="4C9ABEB6">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continue"/>
            <w:tcBorders>
              <w:top w:val="nil"/>
              <w:left w:val="nil"/>
              <w:bottom w:val="single" w:color="000000" w:sz="8" w:space="0"/>
              <w:right w:val="single" w:color="000000" w:sz="8" w:space="0"/>
            </w:tcBorders>
            <w:noWrap w:val="0"/>
            <w:vAlign w:val="center"/>
          </w:tcPr>
          <w:p w14:paraId="0BE3B56F">
            <w:pPr>
              <w:jc w:val="center"/>
              <w:rPr>
                <w:rFonts w:hint="eastAsia" w:ascii="宋体" w:hAnsi="宋体" w:eastAsia="宋体" w:cs="宋体"/>
                <w:i w:val="0"/>
                <w:iCs w:val="0"/>
                <w:color w:val="000000"/>
                <w:sz w:val="21"/>
                <w:szCs w:val="21"/>
                <w:u w:val="none"/>
              </w:rPr>
            </w:pPr>
          </w:p>
        </w:tc>
      </w:tr>
      <w:tr w14:paraId="7A3DE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top w:val="nil"/>
              <w:left w:val="single" w:color="000000" w:sz="8" w:space="0"/>
              <w:bottom w:val="single" w:color="000000" w:sz="8" w:space="0"/>
              <w:right w:val="single" w:color="000000" w:sz="8" w:space="0"/>
            </w:tcBorders>
            <w:noWrap w:val="0"/>
            <w:vAlign w:val="center"/>
          </w:tcPr>
          <w:p w14:paraId="12BD0AFB">
            <w:pPr>
              <w:jc w:val="center"/>
              <w:rPr>
                <w:rFonts w:hint="eastAsia" w:ascii="宋体" w:hAnsi="宋体" w:eastAsia="宋体" w:cs="宋体"/>
                <w:i w:val="0"/>
                <w:iCs w:val="0"/>
                <w:color w:val="000000"/>
                <w:sz w:val="21"/>
                <w:szCs w:val="21"/>
                <w:u w:val="none"/>
              </w:rPr>
            </w:pPr>
          </w:p>
        </w:tc>
        <w:tc>
          <w:tcPr>
            <w:tcW w:w="1860" w:type="dxa"/>
            <w:vMerge w:val="continue"/>
            <w:tcBorders>
              <w:top w:val="nil"/>
              <w:left w:val="nil"/>
              <w:bottom w:val="single" w:color="000000" w:sz="8" w:space="0"/>
              <w:right w:val="single" w:color="000000" w:sz="8" w:space="0"/>
            </w:tcBorders>
            <w:noWrap/>
            <w:vAlign w:val="center"/>
          </w:tcPr>
          <w:p w14:paraId="21C464AB">
            <w:pPr>
              <w:jc w:val="center"/>
              <w:rPr>
                <w:rFonts w:hint="eastAsia" w:ascii="宋体" w:hAnsi="宋体" w:eastAsia="宋体" w:cs="宋体"/>
                <w:i w:val="0"/>
                <w:iCs w:val="0"/>
                <w:color w:val="000000"/>
                <w:sz w:val="21"/>
                <w:szCs w:val="21"/>
                <w:u w:val="none"/>
              </w:rPr>
            </w:pPr>
          </w:p>
        </w:tc>
        <w:tc>
          <w:tcPr>
            <w:tcW w:w="2150" w:type="dxa"/>
            <w:vMerge w:val="continue"/>
            <w:tcBorders>
              <w:top w:val="nil"/>
              <w:left w:val="nil"/>
              <w:bottom w:val="single" w:color="000000" w:sz="8" w:space="0"/>
              <w:right w:val="single" w:color="000000" w:sz="8" w:space="0"/>
            </w:tcBorders>
            <w:noWrap w:val="0"/>
            <w:vAlign w:val="center"/>
          </w:tcPr>
          <w:p w14:paraId="5412D9F4">
            <w:pPr>
              <w:jc w:val="center"/>
              <w:rPr>
                <w:rFonts w:hint="eastAsia" w:ascii="宋体" w:hAnsi="宋体" w:eastAsia="宋体" w:cs="宋体"/>
                <w:i w:val="0"/>
                <w:iCs w:val="0"/>
                <w:color w:val="000000"/>
                <w:sz w:val="21"/>
                <w:szCs w:val="21"/>
                <w:u w:val="none"/>
              </w:rPr>
            </w:pPr>
          </w:p>
        </w:tc>
        <w:tc>
          <w:tcPr>
            <w:tcW w:w="725" w:type="dxa"/>
            <w:vMerge w:val="continue"/>
            <w:tcBorders>
              <w:left w:val="nil"/>
              <w:right w:val="single" w:color="000000" w:sz="8" w:space="0"/>
            </w:tcBorders>
            <w:noWrap w:val="0"/>
            <w:vAlign w:val="center"/>
          </w:tcPr>
          <w:p w14:paraId="01C5E63F">
            <w:pPr>
              <w:jc w:val="center"/>
              <w:rPr>
                <w:rFonts w:hint="eastAsia" w:ascii="宋体" w:hAnsi="宋体" w:eastAsia="宋体" w:cs="宋体"/>
                <w:i w:val="0"/>
                <w:iCs w:val="0"/>
                <w:color w:val="000000"/>
                <w:sz w:val="21"/>
                <w:szCs w:val="21"/>
                <w:u w:val="none"/>
              </w:rPr>
            </w:pPr>
          </w:p>
        </w:tc>
        <w:tc>
          <w:tcPr>
            <w:tcW w:w="887" w:type="dxa"/>
            <w:vMerge w:val="continue"/>
            <w:tcBorders>
              <w:top w:val="nil"/>
              <w:left w:val="single" w:color="000000" w:sz="8" w:space="0"/>
              <w:bottom w:val="single" w:color="000000" w:sz="8" w:space="0"/>
              <w:right w:val="single" w:color="000000" w:sz="8" w:space="0"/>
            </w:tcBorders>
            <w:noWrap w:val="0"/>
            <w:vAlign w:val="center"/>
          </w:tcPr>
          <w:p w14:paraId="7473133C">
            <w:pPr>
              <w:jc w:val="center"/>
              <w:rPr>
                <w:rFonts w:hint="eastAsia" w:ascii="宋体" w:hAnsi="宋体" w:eastAsia="宋体" w:cs="宋体"/>
                <w:i w:val="0"/>
                <w:iCs w:val="0"/>
                <w:color w:val="000000"/>
                <w:sz w:val="21"/>
                <w:szCs w:val="21"/>
                <w:u w:val="none"/>
              </w:rPr>
            </w:pPr>
          </w:p>
        </w:tc>
        <w:tc>
          <w:tcPr>
            <w:tcW w:w="3600" w:type="dxa"/>
            <w:tcBorders>
              <w:top w:val="nil"/>
              <w:left w:val="nil"/>
              <w:bottom w:val="single" w:color="000000" w:sz="8" w:space="0"/>
              <w:right w:val="single" w:color="000000" w:sz="8" w:space="0"/>
            </w:tcBorders>
            <w:noWrap w:val="0"/>
            <w:vAlign w:val="center"/>
          </w:tcPr>
          <w:p w14:paraId="7368BD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南宁中心血站-明阳片区周边院校</w:t>
            </w:r>
          </w:p>
        </w:tc>
        <w:tc>
          <w:tcPr>
            <w:tcW w:w="2263" w:type="dxa"/>
            <w:tcBorders>
              <w:top w:val="nil"/>
              <w:left w:val="nil"/>
              <w:bottom w:val="single" w:color="000000" w:sz="8" w:space="0"/>
              <w:right w:val="single" w:color="000000" w:sz="8" w:space="0"/>
            </w:tcBorders>
            <w:noWrap w:val="0"/>
            <w:vAlign w:val="center"/>
          </w:tcPr>
          <w:p w14:paraId="447C4F26">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continue"/>
            <w:tcBorders>
              <w:top w:val="nil"/>
              <w:left w:val="nil"/>
              <w:bottom w:val="single" w:color="000000" w:sz="8" w:space="0"/>
              <w:right w:val="single" w:color="000000" w:sz="8" w:space="0"/>
            </w:tcBorders>
            <w:noWrap w:val="0"/>
            <w:vAlign w:val="center"/>
          </w:tcPr>
          <w:p w14:paraId="3BFD5D96">
            <w:pPr>
              <w:jc w:val="center"/>
              <w:rPr>
                <w:rFonts w:hint="eastAsia" w:ascii="宋体" w:hAnsi="宋体" w:eastAsia="宋体" w:cs="宋体"/>
                <w:i w:val="0"/>
                <w:iCs w:val="0"/>
                <w:color w:val="000000"/>
                <w:sz w:val="21"/>
                <w:szCs w:val="21"/>
                <w:u w:val="none"/>
              </w:rPr>
            </w:pPr>
          </w:p>
        </w:tc>
      </w:tr>
      <w:tr w14:paraId="320A6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top w:val="nil"/>
              <w:left w:val="single" w:color="000000" w:sz="8" w:space="0"/>
              <w:bottom w:val="single" w:color="000000" w:sz="8" w:space="0"/>
              <w:right w:val="single" w:color="000000" w:sz="8" w:space="0"/>
            </w:tcBorders>
            <w:noWrap w:val="0"/>
            <w:vAlign w:val="center"/>
          </w:tcPr>
          <w:p w14:paraId="4429F8EF">
            <w:pPr>
              <w:jc w:val="center"/>
              <w:rPr>
                <w:rFonts w:hint="eastAsia" w:ascii="宋体" w:hAnsi="宋体" w:eastAsia="宋体" w:cs="宋体"/>
                <w:i w:val="0"/>
                <w:iCs w:val="0"/>
                <w:color w:val="000000"/>
                <w:sz w:val="21"/>
                <w:szCs w:val="21"/>
                <w:u w:val="none"/>
              </w:rPr>
            </w:pPr>
          </w:p>
        </w:tc>
        <w:tc>
          <w:tcPr>
            <w:tcW w:w="1860" w:type="dxa"/>
            <w:vMerge w:val="continue"/>
            <w:tcBorders>
              <w:top w:val="nil"/>
              <w:left w:val="nil"/>
              <w:bottom w:val="single" w:color="000000" w:sz="8" w:space="0"/>
              <w:right w:val="single" w:color="000000" w:sz="8" w:space="0"/>
            </w:tcBorders>
            <w:noWrap/>
            <w:vAlign w:val="center"/>
          </w:tcPr>
          <w:p w14:paraId="1134AAC8">
            <w:pPr>
              <w:jc w:val="center"/>
              <w:rPr>
                <w:rFonts w:hint="eastAsia" w:ascii="宋体" w:hAnsi="宋体" w:eastAsia="宋体" w:cs="宋体"/>
                <w:i w:val="0"/>
                <w:iCs w:val="0"/>
                <w:color w:val="000000"/>
                <w:sz w:val="21"/>
                <w:szCs w:val="21"/>
                <w:u w:val="none"/>
              </w:rPr>
            </w:pPr>
          </w:p>
        </w:tc>
        <w:tc>
          <w:tcPr>
            <w:tcW w:w="2150" w:type="dxa"/>
            <w:vMerge w:val="continue"/>
            <w:tcBorders>
              <w:top w:val="nil"/>
              <w:left w:val="nil"/>
              <w:bottom w:val="single" w:color="000000" w:sz="8" w:space="0"/>
              <w:right w:val="single" w:color="000000" w:sz="8" w:space="0"/>
            </w:tcBorders>
            <w:noWrap w:val="0"/>
            <w:vAlign w:val="center"/>
          </w:tcPr>
          <w:p w14:paraId="5767E567">
            <w:pPr>
              <w:jc w:val="center"/>
              <w:rPr>
                <w:rFonts w:hint="eastAsia" w:ascii="宋体" w:hAnsi="宋体" w:eastAsia="宋体" w:cs="宋体"/>
                <w:i w:val="0"/>
                <w:iCs w:val="0"/>
                <w:color w:val="000000"/>
                <w:sz w:val="21"/>
                <w:szCs w:val="21"/>
                <w:u w:val="none"/>
              </w:rPr>
            </w:pPr>
          </w:p>
        </w:tc>
        <w:tc>
          <w:tcPr>
            <w:tcW w:w="725" w:type="dxa"/>
            <w:vMerge w:val="continue"/>
            <w:tcBorders>
              <w:left w:val="nil"/>
              <w:right w:val="single" w:color="000000" w:sz="8" w:space="0"/>
            </w:tcBorders>
            <w:noWrap w:val="0"/>
            <w:vAlign w:val="center"/>
          </w:tcPr>
          <w:p w14:paraId="49FA63E8">
            <w:pPr>
              <w:jc w:val="center"/>
              <w:rPr>
                <w:rFonts w:hint="eastAsia" w:ascii="宋体" w:hAnsi="宋体" w:eastAsia="宋体" w:cs="宋体"/>
                <w:i w:val="0"/>
                <w:iCs w:val="0"/>
                <w:color w:val="000000"/>
                <w:sz w:val="21"/>
                <w:szCs w:val="21"/>
                <w:u w:val="none"/>
              </w:rPr>
            </w:pPr>
          </w:p>
        </w:tc>
        <w:tc>
          <w:tcPr>
            <w:tcW w:w="887" w:type="dxa"/>
            <w:vMerge w:val="continue"/>
            <w:tcBorders>
              <w:top w:val="nil"/>
              <w:left w:val="single" w:color="000000" w:sz="8" w:space="0"/>
              <w:bottom w:val="single" w:color="000000" w:sz="8" w:space="0"/>
              <w:right w:val="single" w:color="000000" w:sz="8" w:space="0"/>
            </w:tcBorders>
            <w:noWrap w:val="0"/>
            <w:vAlign w:val="center"/>
          </w:tcPr>
          <w:p w14:paraId="15AD0196">
            <w:pPr>
              <w:jc w:val="center"/>
              <w:rPr>
                <w:rFonts w:hint="eastAsia" w:ascii="宋体" w:hAnsi="宋体" w:eastAsia="宋体" w:cs="宋体"/>
                <w:i w:val="0"/>
                <w:iCs w:val="0"/>
                <w:color w:val="000000"/>
                <w:sz w:val="21"/>
                <w:szCs w:val="21"/>
                <w:u w:val="none"/>
              </w:rPr>
            </w:pPr>
          </w:p>
        </w:tc>
        <w:tc>
          <w:tcPr>
            <w:tcW w:w="3600" w:type="dxa"/>
            <w:tcBorders>
              <w:top w:val="nil"/>
              <w:left w:val="nil"/>
              <w:bottom w:val="single" w:color="000000" w:sz="8" w:space="0"/>
              <w:right w:val="single" w:color="000000" w:sz="8" w:space="0"/>
            </w:tcBorders>
            <w:noWrap w:val="0"/>
            <w:vAlign w:val="center"/>
          </w:tcPr>
          <w:p w14:paraId="17AB06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南宁中心血站-五合片区周边院校</w:t>
            </w:r>
          </w:p>
        </w:tc>
        <w:tc>
          <w:tcPr>
            <w:tcW w:w="2263" w:type="dxa"/>
            <w:tcBorders>
              <w:top w:val="nil"/>
              <w:left w:val="nil"/>
              <w:bottom w:val="single" w:color="000000" w:sz="8" w:space="0"/>
              <w:right w:val="single" w:color="000000" w:sz="8" w:space="0"/>
            </w:tcBorders>
            <w:noWrap w:val="0"/>
            <w:vAlign w:val="center"/>
          </w:tcPr>
          <w:p w14:paraId="1384B927">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continue"/>
            <w:tcBorders>
              <w:top w:val="nil"/>
              <w:left w:val="nil"/>
              <w:bottom w:val="single" w:color="000000" w:sz="8" w:space="0"/>
              <w:right w:val="single" w:color="000000" w:sz="8" w:space="0"/>
            </w:tcBorders>
            <w:noWrap w:val="0"/>
            <w:vAlign w:val="center"/>
          </w:tcPr>
          <w:p w14:paraId="1FA9234D">
            <w:pPr>
              <w:jc w:val="center"/>
              <w:rPr>
                <w:rFonts w:hint="eastAsia" w:ascii="宋体" w:hAnsi="宋体" w:eastAsia="宋体" w:cs="宋体"/>
                <w:i w:val="0"/>
                <w:iCs w:val="0"/>
                <w:color w:val="000000"/>
                <w:sz w:val="21"/>
                <w:szCs w:val="21"/>
                <w:u w:val="none"/>
              </w:rPr>
            </w:pPr>
          </w:p>
        </w:tc>
      </w:tr>
      <w:tr w14:paraId="30722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3" w:type="dxa"/>
            <w:vMerge w:val="continue"/>
            <w:tcBorders>
              <w:top w:val="nil"/>
              <w:left w:val="single" w:color="000000" w:sz="8" w:space="0"/>
              <w:bottom w:val="single" w:color="000000" w:sz="8" w:space="0"/>
              <w:right w:val="single" w:color="000000" w:sz="8" w:space="0"/>
            </w:tcBorders>
            <w:noWrap w:val="0"/>
            <w:vAlign w:val="center"/>
          </w:tcPr>
          <w:p w14:paraId="7BD7A110">
            <w:pPr>
              <w:jc w:val="center"/>
              <w:rPr>
                <w:rFonts w:hint="eastAsia" w:ascii="宋体" w:hAnsi="宋体" w:eastAsia="宋体" w:cs="宋体"/>
                <w:i w:val="0"/>
                <w:iCs w:val="0"/>
                <w:color w:val="000000"/>
                <w:sz w:val="21"/>
                <w:szCs w:val="21"/>
                <w:u w:val="none"/>
              </w:rPr>
            </w:pPr>
          </w:p>
        </w:tc>
        <w:tc>
          <w:tcPr>
            <w:tcW w:w="1860" w:type="dxa"/>
            <w:vMerge w:val="continue"/>
            <w:tcBorders>
              <w:top w:val="nil"/>
              <w:left w:val="nil"/>
              <w:bottom w:val="single" w:color="000000" w:sz="8" w:space="0"/>
              <w:right w:val="single" w:color="000000" w:sz="8" w:space="0"/>
            </w:tcBorders>
            <w:noWrap/>
            <w:vAlign w:val="center"/>
          </w:tcPr>
          <w:p w14:paraId="4F51CF2E">
            <w:pPr>
              <w:jc w:val="center"/>
              <w:rPr>
                <w:rFonts w:hint="eastAsia" w:ascii="宋体" w:hAnsi="宋体" w:eastAsia="宋体" w:cs="宋体"/>
                <w:i w:val="0"/>
                <w:iCs w:val="0"/>
                <w:color w:val="000000"/>
                <w:sz w:val="21"/>
                <w:szCs w:val="21"/>
                <w:u w:val="none"/>
              </w:rPr>
            </w:pPr>
          </w:p>
        </w:tc>
        <w:tc>
          <w:tcPr>
            <w:tcW w:w="2150" w:type="dxa"/>
            <w:vMerge w:val="continue"/>
            <w:tcBorders>
              <w:top w:val="nil"/>
              <w:left w:val="nil"/>
              <w:bottom w:val="single" w:color="000000" w:sz="8" w:space="0"/>
              <w:right w:val="single" w:color="000000" w:sz="8" w:space="0"/>
            </w:tcBorders>
            <w:noWrap w:val="0"/>
            <w:vAlign w:val="center"/>
          </w:tcPr>
          <w:p w14:paraId="5D6EE24D">
            <w:pPr>
              <w:jc w:val="center"/>
              <w:rPr>
                <w:rFonts w:hint="eastAsia" w:ascii="宋体" w:hAnsi="宋体" w:eastAsia="宋体" w:cs="宋体"/>
                <w:i w:val="0"/>
                <w:iCs w:val="0"/>
                <w:color w:val="000000"/>
                <w:sz w:val="21"/>
                <w:szCs w:val="21"/>
                <w:u w:val="none"/>
              </w:rPr>
            </w:pPr>
          </w:p>
        </w:tc>
        <w:tc>
          <w:tcPr>
            <w:tcW w:w="725" w:type="dxa"/>
            <w:vMerge w:val="continue"/>
            <w:tcBorders>
              <w:left w:val="nil"/>
              <w:bottom w:val="single" w:color="000000" w:sz="8" w:space="0"/>
              <w:right w:val="single" w:color="000000" w:sz="8" w:space="0"/>
            </w:tcBorders>
            <w:noWrap w:val="0"/>
            <w:vAlign w:val="center"/>
          </w:tcPr>
          <w:p w14:paraId="5FB547E0">
            <w:pPr>
              <w:jc w:val="center"/>
              <w:rPr>
                <w:rFonts w:hint="eastAsia" w:ascii="宋体" w:hAnsi="宋体" w:eastAsia="宋体" w:cs="宋体"/>
                <w:i w:val="0"/>
                <w:iCs w:val="0"/>
                <w:color w:val="000000"/>
                <w:sz w:val="21"/>
                <w:szCs w:val="21"/>
                <w:u w:val="none"/>
              </w:rPr>
            </w:pPr>
          </w:p>
        </w:tc>
        <w:tc>
          <w:tcPr>
            <w:tcW w:w="887" w:type="dxa"/>
            <w:vMerge w:val="continue"/>
            <w:tcBorders>
              <w:top w:val="nil"/>
              <w:left w:val="single" w:color="000000" w:sz="8" w:space="0"/>
              <w:bottom w:val="single" w:color="000000" w:sz="8" w:space="0"/>
              <w:right w:val="single" w:color="000000" w:sz="8" w:space="0"/>
            </w:tcBorders>
            <w:noWrap w:val="0"/>
            <w:vAlign w:val="center"/>
          </w:tcPr>
          <w:p w14:paraId="14E4B4C1">
            <w:pPr>
              <w:jc w:val="center"/>
              <w:rPr>
                <w:rFonts w:hint="eastAsia" w:ascii="宋体" w:hAnsi="宋体" w:eastAsia="宋体" w:cs="宋体"/>
                <w:i w:val="0"/>
                <w:iCs w:val="0"/>
                <w:color w:val="000000"/>
                <w:sz w:val="21"/>
                <w:szCs w:val="21"/>
                <w:u w:val="none"/>
              </w:rPr>
            </w:pPr>
          </w:p>
        </w:tc>
        <w:tc>
          <w:tcPr>
            <w:tcW w:w="3600" w:type="dxa"/>
            <w:tcBorders>
              <w:top w:val="nil"/>
              <w:left w:val="nil"/>
              <w:bottom w:val="single" w:color="000000" w:sz="8" w:space="0"/>
              <w:right w:val="single" w:color="000000" w:sz="8" w:space="0"/>
            </w:tcBorders>
            <w:noWrap w:val="0"/>
            <w:vAlign w:val="center"/>
          </w:tcPr>
          <w:p w14:paraId="3E6178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南宁中心血站-武鸣片区周边院校</w:t>
            </w:r>
          </w:p>
        </w:tc>
        <w:tc>
          <w:tcPr>
            <w:tcW w:w="2263" w:type="dxa"/>
            <w:tcBorders>
              <w:top w:val="nil"/>
              <w:left w:val="nil"/>
              <w:bottom w:val="single" w:color="000000" w:sz="8" w:space="0"/>
              <w:right w:val="single" w:color="000000" w:sz="8" w:space="0"/>
            </w:tcBorders>
            <w:noWrap w:val="0"/>
            <w:vAlign w:val="center"/>
          </w:tcPr>
          <w:p w14:paraId="70EFD2A5">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元/往返</w:t>
            </w:r>
          </w:p>
        </w:tc>
        <w:tc>
          <w:tcPr>
            <w:tcW w:w="963" w:type="dxa"/>
            <w:vMerge w:val="continue"/>
            <w:tcBorders>
              <w:top w:val="nil"/>
              <w:left w:val="nil"/>
              <w:bottom w:val="single" w:color="000000" w:sz="8" w:space="0"/>
              <w:right w:val="single" w:color="000000" w:sz="8" w:space="0"/>
            </w:tcBorders>
            <w:noWrap w:val="0"/>
            <w:vAlign w:val="center"/>
          </w:tcPr>
          <w:p w14:paraId="2A604640">
            <w:pPr>
              <w:jc w:val="center"/>
              <w:rPr>
                <w:rFonts w:hint="eastAsia" w:ascii="宋体" w:hAnsi="宋体" w:eastAsia="宋体" w:cs="宋体"/>
                <w:i w:val="0"/>
                <w:iCs w:val="0"/>
                <w:color w:val="000000"/>
                <w:sz w:val="21"/>
                <w:szCs w:val="21"/>
                <w:u w:val="none"/>
              </w:rPr>
            </w:pPr>
          </w:p>
        </w:tc>
      </w:tr>
      <w:tr w14:paraId="22A85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13651" w:type="dxa"/>
            <w:gridSpan w:val="8"/>
            <w:tcBorders>
              <w:top w:val="nil"/>
              <w:left w:val="single" w:color="000000" w:sz="8" w:space="0"/>
              <w:bottom w:val="single" w:color="000000" w:sz="8" w:space="0"/>
              <w:right w:val="single" w:color="000000" w:sz="8" w:space="0"/>
            </w:tcBorders>
            <w:noWrap w:val="0"/>
            <w:vAlign w:val="center"/>
          </w:tcPr>
          <w:p w14:paraId="4CFBC8D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备注：1.租车服务范围:南宁市行政区域内：兴宁区、青秀区、西乡塘区、江南区、良庆区、邕宁区、武鸣区（不含横州市和隆安、马山、上林、宾阳四县）；</w:t>
            </w:r>
          </w:p>
          <w:p w14:paraId="2B4F069B">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2.以上报价含司机聘请、税费、燃油费、过路费、停车费等费用；3.车辆证税、保险 、维修保养、违章费、年审费等费用均由车辆租赁公司承担；</w:t>
            </w:r>
          </w:p>
          <w:p w14:paraId="73D25695">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Times New Roman"/>
                <w:b/>
                <w:bCs/>
                <w:spacing w:val="-4"/>
                <w:kern w:val="2"/>
                <w:sz w:val="21"/>
                <w:szCs w:val="21"/>
                <w:lang w:val="en-US" w:eastAsia="zh-CN" w:bidi="ar-SA"/>
              </w:rPr>
              <w:t>4.响应供应商可根据采购人租车路线要求增加或细化不同（座位数）车型的报价明细，但不同车型租车报价不超市</w:t>
            </w:r>
            <w:bookmarkStart w:id="18" w:name="_GoBack"/>
            <w:bookmarkEnd w:id="18"/>
            <w:r>
              <w:rPr>
                <w:rFonts w:hint="eastAsia" w:ascii="宋体" w:hAnsi="宋体" w:eastAsia="宋体" w:cs="Times New Roman"/>
                <w:b/>
                <w:bCs/>
                <w:spacing w:val="-4"/>
                <w:kern w:val="2"/>
                <w:sz w:val="21"/>
                <w:szCs w:val="21"/>
                <w:lang w:val="en-US" w:eastAsia="zh-CN" w:bidi="ar-SA"/>
              </w:rPr>
              <w:t>本级机关事业单位公务租车最高限价。</w:t>
            </w:r>
          </w:p>
        </w:tc>
      </w:tr>
    </w:tbl>
    <w:p w14:paraId="77547988">
      <w:pPr>
        <w:pStyle w:val="7"/>
        <w:spacing w:line="560" w:lineRule="exact"/>
        <w:rPr>
          <w:rFonts w:hint="eastAsia" w:asciiTheme="minorEastAsia" w:hAnsiTheme="minorEastAsia" w:cstheme="minorEastAsia"/>
          <w:color w:val="auto"/>
          <w:szCs w:val="21"/>
        </w:rPr>
      </w:pPr>
    </w:p>
    <w:p w14:paraId="7F982829">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17F2FDCC">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732B1B30">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70529BE">
      <w:pPr>
        <w:rPr>
          <w:rFonts w:hint="eastAsia" w:ascii="仿宋" w:hAnsi="仿宋" w:eastAsia="仿宋"/>
          <w:color w:val="auto"/>
          <w:sz w:val="30"/>
          <w:szCs w:val="30"/>
        </w:rPr>
        <w:sectPr>
          <w:pgSz w:w="16838" w:h="11906" w:orient="landscape"/>
          <w:pgMar w:top="1587" w:right="2098" w:bottom="1279" w:left="1984" w:header="851" w:footer="992" w:gutter="0"/>
          <w:pgNumType w:fmt="numberInDash"/>
          <w:cols w:space="425" w:num="1"/>
          <w:docGrid w:type="lines" w:linePitch="312" w:charSpace="0"/>
        </w:sect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5"/>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19"/>
        <w:gridCol w:w="871"/>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73"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621"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3119" w:type="dxa"/>
            <w:vAlign w:val="center"/>
          </w:tcPr>
          <w:p w14:paraId="34BC4A96">
            <w:pPr>
              <w:jc w:val="center"/>
              <w:rPr>
                <w:rFonts w:ascii="宋体"/>
                <w:color w:val="auto"/>
                <w:szCs w:val="21"/>
              </w:rPr>
            </w:pPr>
            <w:r>
              <w:rPr>
                <w:rFonts w:hint="eastAsia" w:ascii="宋体"/>
                <w:color w:val="auto"/>
                <w:szCs w:val="21"/>
              </w:rPr>
              <w:t>技术参数</w:t>
            </w:r>
          </w:p>
        </w:tc>
        <w:tc>
          <w:tcPr>
            <w:tcW w:w="871"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750"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954" w:type="dxa"/>
            <w:vAlign w:val="center"/>
          </w:tcPr>
          <w:p w14:paraId="5EF1D8C3">
            <w:pPr>
              <w:rPr>
                <w:rFonts w:ascii="仿宋" w:hAnsi="仿宋" w:eastAsia="仿宋" w:cs="宋体"/>
                <w:color w:val="auto"/>
                <w:szCs w:val="21"/>
              </w:rPr>
            </w:pPr>
            <w:r>
              <w:rPr>
                <w:rFonts w:hint="eastAsia" w:ascii="宋体" w:hAnsi="宋体" w:eastAsia="宋体" w:cs="Times New Roman"/>
                <w:bCs w:val="0"/>
                <w:spacing w:val="0"/>
                <w:kern w:val="2"/>
                <w:sz w:val="21"/>
                <w:szCs w:val="21"/>
                <w:lang w:val="en-US" w:eastAsia="zh-CN" w:bidi="ar-SA"/>
              </w:rPr>
              <w:t>南宁中心血站</w:t>
            </w:r>
            <w:r>
              <w:rPr>
                <w:rFonts w:hint="eastAsia" w:ascii="宋体" w:hAnsi="宋体" w:eastAsia="宋体" w:cs="Times New Roman"/>
                <w:bCs w:val="0"/>
                <w:spacing w:val="0"/>
                <w:kern w:val="2"/>
                <w:sz w:val="21"/>
                <w:szCs w:val="21"/>
                <w:lang w:val="zh-TW" w:eastAsia="zh-TW" w:bidi="ar-SA"/>
              </w:rPr>
              <w:t>2025年邀请参观“血液的奥秘”科普馆租车服务</w:t>
            </w:r>
          </w:p>
        </w:tc>
        <w:tc>
          <w:tcPr>
            <w:tcW w:w="3119" w:type="dxa"/>
            <w:vAlign w:val="center"/>
          </w:tcPr>
          <w:p w14:paraId="22380E7D">
            <w:pPr>
              <w:widowControl/>
              <w:numPr>
                <w:ilvl w:val="0"/>
                <w:numId w:val="0"/>
              </w:numPr>
              <w:shd w:val="clear" w:color="auto" w:fill="FFFFFF"/>
              <w:spacing w:line="360" w:lineRule="auto"/>
              <w:ind w:firstLine="404" w:firstLineChars="200"/>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为了积极响应国家无偿献血的号召，传播无偿献血知识，增强民众的献血意识，2025年邀请驻邕大中专院校、企事业单位等团体单位到南宁中心血站参观“血液的奥秘”科普馆，需包车辆接送。</w:t>
            </w:r>
          </w:p>
          <w:p w14:paraId="2ABF1470">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一、租车线路及预计使用车次</w:t>
            </w:r>
            <w:r>
              <w:rPr>
                <w:rFonts w:hint="eastAsia" w:ascii="宋体" w:hAnsi="宋体" w:cs="Times New Roman"/>
                <w:spacing w:val="-4"/>
                <w:kern w:val="2"/>
                <w:sz w:val="21"/>
                <w:szCs w:val="21"/>
                <w:lang w:val="en-US" w:eastAsia="zh-CN" w:bidi="ar-SA"/>
              </w:rPr>
              <w:t>：</w:t>
            </w:r>
          </w:p>
          <w:p w14:paraId="5B249F33">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w:t>
            </w:r>
            <w:r>
              <w:rPr>
                <w:rFonts w:hint="eastAsia" w:ascii="宋体" w:hAnsi="宋体" w:eastAsia="宋体" w:cs="宋体"/>
                <w:i w:val="0"/>
                <w:iCs w:val="0"/>
                <w:color w:val="000000"/>
                <w:kern w:val="0"/>
                <w:sz w:val="21"/>
                <w:szCs w:val="21"/>
                <w:u w:val="none"/>
                <w:lang w:val="en-US" w:eastAsia="zh-CN" w:bidi="ar"/>
              </w:rPr>
              <w:t>租车路线：</w:t>
            </w:r>
            <w:r>
              <w:rPr>
                <w:rFonts w:hint="eastAsia" w:ascii="宋体" w:hAnsi="宋体" w:cs="宋体"/>
                <w:i w:val="0"/>
                <w:iCs w:val="0"/>
                <w:color w:val="000000"/>
                <w:kern w:val="0"/>
                <w:sz w:val="21"/>
                <w:szCs w:val="21"/>
                <w:u w:val="none"/>
                <w:lang w:val="en-US" w:eastAsia="zh-CN" w:bidi="ar"/>
              </w:rPr>
              <w:t>南宁市主城区、</w:t>
            </w:r>
            <w:r>
              <w:rPr>
                <w:rFonts w:hint="eastAsia" w:ascii="宋体" w:hAnsi="宋体" w:eastAsia="宋体" w:cs="宋体"/>
                <w:i w:val="0"/>
                <w:iCs w:val="0"/>
                <w:color w:val="000000"/>
                <w:kern w:val="0"/>
                <w:sz w:val="21"/>
                <w:szCs w:val="21"/>
                <w:u w:val="none"/>
                <w:lang w:val="en-US" w:eastAsia="zh-CN" w:bidi="ar"/>
              </w:rPr>
              <w:t>明阳片区周边院校、五合片区周边院校、武鸣片区周边院校</w:t>
            </w:r>
            <w:r>
              <w:rPr>
                <w:rFonts w:hint="eastAsia" w:ascii="宋体" w:hAnsi="宋体" w:cs="宋体"/>
                <w:i w:val="0"/>
                <w:iCs w:val="0"/>
                <w:color w:val="000000"/>
                <w:kern w:val="0"/>
                <w:sz w:val="21"/>
                <w:szCs w:val="21"/>
                <w:u w:val="none"/>
                <w:lang w:val="en-US" w:eastAsia="zh-CN" w:bidi="ar"/>
              </w:rPr>
              <w:t>到血站往返路线。</w:t>
            </w:r>
          </w:p>
          <w:p w14:paraId="5B3F2811">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w:t>
            </w:r>
            <w:r>
              <w:rPr>
                <w:rFonts w:hint="eastAsia" w:ascii="宋体" w:hAnsi="宋体" w:cs="Times New Roman"/>
                <w:b w:val="0"/>
                <w:bCs w:val="0"/>
                <w:spacing w:val="-4"/>
                <w:kern w:val="2"/>
                <w:sz w:val="21"/>
                <w:szCs w:val="21"/>
                <w:lang w:val="en-US" w:eastAsia="zh-CN" w:bidi="ar-SA"/>
              </w:rPr>
              <w:t>.预计使用车次：100</w:t>
            </w:r>
            <w:r>
              <w:rPr>
                <w:rFonts w:hint="eastAsia" w:ascii="宋体" w:hAnsi="宋体" w:cs="Times New Roman"/>
                <w:spacing w:val="-4"/>
                <w:kern w:val="2"/>
                <w:sz w:val="21"/>
                <w:szCs w:val="21"/>
                <w:lang w:val="en-US" w:eastAsia="zh-CN" w:bidi="ar-SA"/>
              </w:rPr>
              <w:t>车次。</w:t>
            </w:r>
          </w:p>
          <w:p w14:paraId="4FB2435B">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二、租车</w:t>
            </w:r>
            <w:r>
              <w:rPr>
                <w:rFonts w:hint="default" w:ascii="宋体" w:hAnsi="宋体" w:cs="Times New Roman"/>
                <w:b/>
                <w:bCs/>
                <w:spacing w:val="-4"/>
                <w:kern w:val="2"/>
                <w:sz w:val="21"/>
                <w:szCs w:val="21"/>
                <w:lang w:val="en-US" w:eastAsia="zh-CN" w:bidi="ar-SA"/>
              </w:rPr>
              <w:t>车型</w:t>
            </w:r>
            <w:r>
              <w:rPr>
                <w:rFonts w:hint="eastAsia" w:ascii="宋体" w:hAnsi="宋体" w:cs="Times New Roman"/>
                <w:b/>
                <w:bCs/>
                <w:spacing w:val="-4"/>
                <w:kern w:val="2"/>
                <w:sz w:val="21"/>
                <w:szCs w:val="21"/>
                <w:lang w:val="en-US" w:eastAsia="zh-CN" w:bidi="ar-SA"/>
              </w:rPr>
              <w:t>及车况要求</w:t>
            </w:r>
          </w:p>
          <w:p w14:paraId="50B968FC">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1.车型：提供南宁市运营</w:t>
            </w:r>
            <w:r>
              <w:rPr>
                <w:rFonts w:hint="default" w:ascii="宋体" w:hAnsi="宋体" w:cs="Times New Roman"/>
                <w:spacing w:val="-4"/>
                <w:kern w:val="2"/>
                <w:sz w:val="21"/>
                <w:szCs w:val="21"/>
                <w:lang w:val="en-US" w:eastAsia="zh-CN" w:bidi="ar-SA"/>
              </w:rPr>
              <w:t>公交车</w:t>
            </w:r>
            <w:r>
              <w:rPr>
                <w:rFonts w:hint="eastAsia" w:ascii="宋体" w:hAnsi="宋体" w:cs="Times New Roman"/>
                <w:spacing w:val="-4"/>
                <w:kern w:val="2"/>
                <w:sz w:val="21"/>
                <w:szCs w:val="21"/>
                <w:lang w:val="en-US" w:eastAsia="zh-CN" w:bidi="ar-SA"/>
              </w:rPr>
              <w:t>（座位数根据参与活动人员实际调整，分为大、中、小型公交车）。</w:t>
            </w:r>
          </w:p>
          <w:p w14:paraId="709ABCBC">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2.车况良好、卫生整洁，</w:t>
            </w:r>
            <w:r>
              <w:rPr>
                <w:rFonts w:hint="eastAsia" w:ascii="宋体" w:hAnsi="宋体" w:cs="宋体"/>
                <w:bCs w:val="0"/>
                <w:spacing w:val="0"/>
                <w:kern w:val="2"/>
                <w:szCs w:val="24"/>
                <w:lang w:val="en-US" w:eastAsia="zh-CN"/>
              </w:rPr>
              <w:t>车辆保险齐全，</w:t>
            </w:r>
            <w:r>
              <w:rPr>
                <w:rFonts w:hint="eastAsia" w:ascii="宋体" w:hAnsi="宋体" w:eastAsia="宋体" w:cs="宋体"/>
                <w:sz w:val="21"/>
                <w:szCs w:val="21"/>
              </w:rPr>
              <w:t>车辆安全设施符合国家安全标准</w:t>
            </w:r>
            <w:r>
              <w:rPr>
                <w:rFonts w:hint="eastAsia" w:ascii="宋体" w:hAnsi="宋体" w:cs="Times New Roman"/>
                <w:spacing w:val="-4"/>
                <w:kern w:val="2"/>
                <w:sz w:val="21"/>
                <w:szCs w:val="21"/>
                <w:lang w:val="en-US" w:eastAsia="zh-CN" w:bidi="ar-SA"/>
              </w:rPr>
              <w:t>。</w:t>
            </w:r>
          </w:p>
          <w:p w14:paraId="6479D15A">
            <w:pPr>
              <w:widowControl/>
              <w:numPr>
                <w:ilvl w:val="0"/>
                <w:numId w:val="0"/>
              </w:numPr>
              <w:shd w:val="clear" w:color="auto" w:fill="FFFFFF"/>
              <w:spacing w:line="360" w:lineRule="auto"/>
              <w:rPr>
                <w:rFonts w:hint="default"/>
                <w:b/>
                <w:bCs/>
                <w:lang w:val="en-US" w:eastAsia="zh-CN"/>
              </w:rPr>
            </w:pPr>
            <w:r>
              <w:rPr>
                <w:rFonts w:hint="eastAsia" w:ascii="宋体" w:hAnsi="宋体" w:cs="Times New Roman"/>
                <w:b/>
                <w:bCs/>
                <w:spacing w:val="-4"/>
                <w:kern w:val="2"/>
                <w:sz w:val="21"/>
                <w:szCs w:val="21"/>
                <w:lang w:val="en-US" w:eastAsia="zh-CN" w:bidi="ar-SA"/>
              </w:rPr>
              <w:t>三、</w:t>
            </w:r>
            <w:r>
              <w:rPr>
                <w:rFonts w:hint="default" w:ascii="宋体" w:hAnsi="宋体" w:cs="Times New Roman"/>
                <w:b/>
                <w:bCs/>
                <w:spacing w:val="-4"/>
                <w:kern w:val="2"/>
                <w:sz w:val="21"/>
                <w:szCs w:val="21"/>
                <w:lang w:val="en-US" w:eastAsia="zh-CN" w:bidi="ar-SA"/>
              </w:rPr>
              <w:t>使用时长</w:t>
            </w:r>
            <w:r>
              <w:rPr>
                <w:rFonts w:hint="eastAsia" w:ascii="宋体" w:hAnsi="宋体" w:cs="Times New Roman"/>
                <w:b/>
                <w:bCs/>
                <w:spacing w:val="-4"/>
                <w:kern w:val="2"/>
                <w:sz w:val="21"/>
                <w:szCs w:val="21"/>
                <w:lang w:val="en-US" w:eastAsia="zh-CN" w:bidi="ar-SA"/>
              </w:rPr>
              <w:t>及范围</w:t>
            </w:r>
          </w:p>
          <w:p w14:paraId="7A7E6714">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1.行车线路范围：南宁市行政辖区范围内。</w:t>
            </w:r>
          </w:p>
          <w:p w14:paraId="5ADCAFEC">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2.租车时间：自合同签订之日起至2026年5月31日，采购人实际租车时间根据使用需求提前两天提交租车需求。</w:t>
            </w:r>
          </w:p>
          <w:p w14:paraId="29FEDDC9">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3.车次使用时长需求分为：单次往返、全天包车（不少于12小时）、半天包车（不少于6小时），要求分开报价。</w:t>
            </w:r>
          </w:p>
          <w:p w14:paraId="4DD61ED6">
            <w:pPr>
              <w:widowControl/>
              <w:shd w:val="clear" w:color="auto" w:fill="FFFFFF"/>
              <w:spacing w:line="360" w:lineRule="auto"/>
              <w:rPr>
                <w:rFonts w:hint="default" w:ascii="宋体" w:hAnsi="宋体"/>
                <w:b/>
                <w:bCs/>
                <w:szCs w:val="21"/>
                <w:lang w:val="en-US" w:eastAsia="zh-CN"/>
              </w:rPr>
            </w:pPr>
            <w:r>
              <w:rPr>
                <w:rFonts w:hint="eastAsia" w:ascii="宋体" w:hAnsi="宋体"/>
                <w:b/>
                <w:bCs/>
                <w:szCs w:val="21"/>
                <w:lang w:val="en-US" w:eastAsia="zh-CN"/>
              </w:rPr>
              <w:t>四、</w:t>
            </w:r>
            <w:r>
              <w:rPr>
                <w:rFonts w:hint="default" w:ascii="宋体" w:hAnsi="宋体"/>
                <w:b/>
                <w:bCs/>
                <w:szCs w:val="21"/>
                <w:lang w:val="en-US" w:eastAsia="zh-CN"/>
              </w:rPr>
              <w:t>收费标准</w:t>
            </w:r>
          </w:p>
          <w:p w14:paraId="6839847E">
            <w:pPr>
              <w:widowControl/>
              <w:shd w:val="clear" w:color="auto" w:fill="FFFFFF"/>
              <w:spacing w:line="360" w:lineRule="auto"/>
              <w:rPr>
                <w:rFonts w:hint="eastAsia"/>
                <w:lang w:val="en-US" w:eastAsia="zh-CN"/>
              </w:rPr>
            </w:pPr>
            <w:r>
              <w:rPr>
                <w:rFonts w:hint="eastAsia" w:ascii="宋体" w:hAnsi="宋体" w:eastAsia="宋体" w:cs="Times New Roman"/>
                <w:spacing w:val="-4"/>
                <w:kern w:val="2"/>
                <w:sz w:val="21"/>
                <w:szCs w:val="21"/>
                <w:lang w:val="en-US" w:eastAsia="zh-CN" w:bidi="ar-SA"/>
              </w:rPr>
              <w:t>响应供应商租车报价不超市本级机关事业单位公务租车最高限价，供应商可根据项目具体情况提供车型分别报价。</w:t>
            </w:r>
          </w:p>
          <w:p w14:paraId="28D85462">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五、</w:t>
            </w:r>
            <w:r>
              <w:rPr>
                <w:rFonts w:hint="default" w:ascii="宋体" w:hAnsi="宋体" w:cs="Times New Roman"/>
                <w:b/>
                <w:bCs/>
                <w:spacing w:val="-4"/>
                <w:kern w:val="2"/>
                <w:sz w:val="21"/>
                <w:szCs w:val="21"/>
                <w:lang w:val="en-US" w:eastAsia="zh-CN" w:bidi="ar-SA"/>
              </w:rPr>
              <w:t>应急救援</w:t>
            </w:r>
          </w:p>
          <w:p w14:paraId="3E99A3D0">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1.应急响应机制‌，租车供应商应建立完善的应急救援机制，确保在车辆发生故障或事故时，能够迅速响应并提供必要的救援服务。</w:t>
            </w:r>
          </w:p>
          <w:p w14:paraId="09C559C7">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2.救援服务内容‌，救援服务包括但不限于车辆拖运、人员疏散、现场清理等。在车辆发生故障或事故导致无法继续行驶时，乙方应提供替代车辆，确保甲方的用车需求不受影响。</w:t>
            </w:r>
          </w:p>
          <w:p w14:paraId="166E071D">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六、</w:t>
            </w:r>
            <w:r>
              <w:rPr>
                <w:rFonts w:hint="default" w:ascii="宋体" w:hAnsi="宋体" w:cs="Times New Roman"/>
                <w:b/>
                <w:bCs/>
                <w:spacing w:val="-4"/>
                <w:kern w:val="2"/>
                <w:sz w:val="21"/>
                <w:szCs w:val="21"/>
                <w:lang w:val="en-US" w:eastAsia="zh-CN" w:bidi="ar-SA"/>
              </w:rPr>
              <w:t>换车服务</w:t>
            </w:r>
          </w:p>
          <w:p w14:paraId="561FD19C">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租车供应商</w:t>
            </w:r>
            <w:r>
              <w:rPr>
                <w:rFonts w:hint="default" w:ascii="宋体" w:hAnsi="宋体" w:cs="Times New Roman"/>
                <w:spacing w:val="-4"/>
                <w:kern w:val="2"/>
                <w:sz w:val="21"/>
                <w:szCs w:val="21"/>
                <w:lang w:val="en-US" w:eastAsia="zh-CN" w:bidi="ar-SA"/>
              </w:rPr>
              <w:t>对所组织和提供的车辆在承担</w:t>
            </w:r>
            <w:r>
              <w:rPr>
                <w:rFonts w:hint="eastAsia" w:ascii="宋体" w:hAnsi="宋体" w:cs="Times New Roman"/>
                <w:spacing w:val="-4"/>
                <w:kern w:val="2"/>
                <w:sz w:val="21"/>
                <w:szCs w:val="21"/>
                <w:lang w:val="en-US" w:eastAsia="zh-CN" w:bidi="ar-SA"/>
              </w:rPr>
              <w:t>采购人</w:t>
            </w:r>
            <w:r>
              <w:rPr>
                <w:rFonts w:hint="default" w:ascii="宋体" w:hAnsi="宋体" w:cs="Times New Roman"/>
                <w:spacing w:val="-4"/>
                <w:kern w:val="2"/>
                <w:sz w:val="21"/>
                <w:szCs w:val="21"/>
                <w:lang w:val="en-US" w:eastAsia="zh-CN" w:bidi="ar-SA"/>
              </w:rPr>
              <w:t>包车任务的过程中发生的安全和服务质量负责，并全权负责处理一切在运行过程中发生的安全和服务质量事故。</w:t>
            </w:r>
          </w:p>
          <w:p w14:paraId="718EE186">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七、</w:t>
            </w:r>
            <w:r>
              <w:rPr>
                <w:rFonts w:hint="default" w:ascii="宋体" w:hAnsi="宋体" w:cs="Times New Roman"/>
                <w:b/>
                <w:bCs/>
                <w:spacing w:val="-4"/>
                <w:kern w:val="2"/>
                <w:sz w:val="21"/>
                <w:szCs w:val="21"/>
                <w:lang w:val="en-US" w:eastAsia="zh-CN" w:bidi="ar-SA"/>
              </w:rPr>
              <w:t>违约责任</w:t>
            </w:r>
          </w:p>
          <w:p w14:paraId="641F6DA3">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因</w:t>
            </w:r>
            <w:r>
              <w:rPr>
                <w:rFonts w:hint="default" w:ascii="宋体" w:hAnsi="宋体" w:cs="Times New Roman"/>
                <w:spacing w:val="-4"/>
                <w:kern w:val="2"/>
                <w:sz w:val="21"/>
                <w:szCs w:val="21"/>
                <w:lang w:val="en-US" w:eastAsia="zh-CN" w:bidi="ar-SA"/>
              </w:rPr>
              <w:t>车辆服务供应商</w:t>
            </w:r>
            <w:r>
              <w:rPr>
                <w:rFonts w:hint="eastAsia" w:ascii="宋体" w:hAnsi="宋体" w:cs="Times New Roman"/>
                <w:spacing w:val="-4"/>
                <w:kern w:val="2"/>
                <w:sz w:val="21"/>
                <w:szCs w:val="21"/>
                <w:lang w:val="en-US" w:eastAsia="zh-CN" w:bidi="ar-SA"/>
              </w:rPr>
              <w:t>，在承担采购人包车任务的过程中发生交通事故，造成采购方人员财产损失的，由车辆服务供应商承担全部责任。如因第三方原因造成交通事故的，由车辆服务供应商先行向采购方赔付，车辆服务供应商保留向第三方追索赔付的权利。</w:t>
            </w:r>
          </w:p>
          <w:p w14:paraId="08DCECEC">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八、租车供应商</w:t>
            </w:r>
            <w:r>
              <w:rPr>
                <w:rFonts w:hint="default" w:ascii="宋体" w:hAnsi="宋体" w:cs="Times New Roman"/>
                <w:b/>
                <w:bCs/>
                <w:spacing w:val="-4"/>
                <w:kern w:val="2"/>
                <w:sz w:val="21"/>
                <w:szCs w:val="21"/>
                <w:lang w:val="en-US" w:eastAsia="zh-CN" w:bidi="ar-SA"/>
              </w:rPr>
              <w:t>和指派的驾驶员，需具备以下资质条件:</w:t>
            </w:r>
          </w:p>
          <w:p w14:paraId="7D49E962">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w:t>
            </w:r>
            <w:r>
              <w:rPr>
                <w:rFonts w:hint="default" w:ascii="宋体" w:hAnsi="宋体" w:cs="Times New Roman"/>
                <w:spacing w:val="-4"/>
                <w:kern w:val="2"/>
                <w:sz w:val="21"/>
                <w:szCs w:val="21"/>
                <w:lang w:val="en-US" w:eastAsia="zh-CN" w:bidi="ar-SA"/>
              </w:rPr>
              <w:t>车辆服务供应商须为依法注册的独立法人企业，具备企业法人营业执照，具备从事汽车租赁业务的条件和能力，五年内不涉重、特大交通安全事故。</w:t>
            </w:r>
          </w:p>
          <w:p w14:paraId="2B2D3E89">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w:t>
            </w:r>
            <w:r>
              <w:rPr>
                <w:rFonts w:hint="default" w:ascii="宋体" w:hAnsi="宋体" w:cs="Times New Roman"/>
                <w:spacing w:val="-4"/>
                <w:kern w:val="2"/>
                <w:sz w:val="21"/>
                <w:szCs w:val="21"/>
                <w:lang w:val="en-US" w:eastAsia="zh-CN" w:bidi="ar-SA"/>
              </w:rPr>
              <w:t>车辆应为企业自有，机动车所有人与租赁企业名称一致。</w:t>
            </w:r>
          </w:p>
          <w:p w14:paraId="5F837651">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3.</w:t>
            </w:r>
            <w:r>
              <w:rPr>
                <w:rFonts w:hint="default" w:ascii="宋体" w:hAnsi="宋体" w:cs="Times New Roman"/>
                <w:spacing w:val="-4"/>
                <w:kern w:val="2"/>
                <w:sz w:val="21"/>
                <w:szCs w:val="21"/>
                <w:lang w:val="en-US" w:eastAsia="zh-CN" w:bidi="ar-SA"/>
              </w:rPr>
              <w:t>车辆使用年限在8年以内，并购买了100万以上第三者责任险和 30万元以上的司乘险。车辆外观庄重完好，证照齐全有效。</w:t>
            </w:r>
          </w:p>
          <w:p w14:paraId="173E7E61">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default" w:ascii="宋体" w:hAnsi="宋体" w:cs="Times New Roman"/>
                <w:spacing w:val="-4"/>
                <w:kern w:val="2"/>
                <w:sz w:val="21"/>
                <w:szCs w:val="21"/>
                <w:lang w:val="en-US" w:eastAsia="zh-CN" w:bidi="ar-SA"/>
              </w:rPr>
              <w:t>4.车辆驾驶员身体健康，驾驶技术娴熟，所持驾驶证照齐全有效。</w:t>
            </w:r>
          </w:p>
          <w:p w14:paraId="2A87C1C6">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5.40座以上车型还须提供营运证等一切营运合法手续以及有效保险单证的复印件、驾驶员的驾驶证（如提供驾驶员服务）和道路客运从业资格证等复印件给采购人备案。</w:t>
            </w:r>
          </w:p>
          <w:p w14:paraId="72B7A5CF">
            <w:pPr>
              <w:pStyle w:val="13"/>
              <w:numPr>
                <w:ilvl w:val="0"/>
                <w:numId w:val="0"/>
              </w:numPr>
              <w:ind w:leftChars="0" w:firstLine="422" w:firstLineChars="200"/>
              <w:rPr>
                <w:rFonts w:hint="eastAsia" w:ascii="仿宋" w:hAnsi="仿宋" w:eastAsia="仿宋" w:cs="宋体"/>
                <w:color w:val="auto"/>
                <w:kern w:val="2"/>
                <w:sz w:val="21"/>
                <w:szCs w:val="21"/>
                <w:lang w:val="en-US" w:eastAsia="zh-CN" w:bidi="ar-SA"/>
              </w:rPr>
            </w:pPr>
            <w:r>
              <w:rPr>
                <w:rFonts w:hint="eastAsia" w:ascii="宋体" w:hAnsi="宋体" w:cs="Times New Roman"/>
                <w:b/>
                <w:bCs/>
                <w:spacing w:val="0"/>
                <w:kern w:val="2"/>
                <w:sz w:val="21"/>
                <w:szCs w:val="21"/>
                <w:lang w:val="en-US" w:eastAsia="zh-CN" w:bidi="ar-SA"/>
              </w:rPr>
              <w:t>九、响应供应商可结合采购人需求提供响应服务方案、应急服务方案、类似业绩及服务能力水平等有关证明材料（如有请提供）。</w:t>
            </w:r>
          </w:p>
        </w:tc>
        <w:tc>
          <w:tcPr>
            <w:tcW w:w="871" w:type="dxa"/>
            <w:vAlign w:val="center"/>
          </w:tcPr>
          <w:p w14:paraId="2EDEDA46">
            <w:pPr>
              <w:rPr>
                <w:rFonts w:ascii="仿宋" w:hAnsi="仿宋" w:eastAsia="仿宋" w:cs="宋体"/>
                <w:color w:val="auto"/>
                <w:szCs w:val="21"/>
              </w:rPr>
            </w:pPr>
            <w:r>
              <w:rPr>
                <w:rFonts w:hint="eastAsia" w:ascii="宋体" w:hAnsi="宋体" w:eastAsia="宋体" w:cs="Times New Roman"/>
                <w:bCs w:val="0"/>
                <w:spacing w:val="0"/>
                <w:kern w:val="2"/>
                <w:sz w:val="21"/>
                <w:szCs w:val="21"/>
                <w:lang w:val="en-US" w:eastAsia="zh-CN" w:bidi="ar-SA"/>
              </w:rPr>
              <w:t>南宁中心血站</w:t>
            </w:r>
            <w:r>
              <w:rPr>
                <w:rFonts w:hint="eastAsia" w:ascii="宋体" w:hAnsi="宋体" w:eastAsia="宋体" w:cs="Times New Roman"/>
                <w:bCs w:val="0"/>
                <w:spacing w:val="0"/>
                <w:kern w:val="2"/>
                <w:sz w:val="21"/>
                <w:szCs w:val="21"/>
                <w:lang w:val="zh-TW" w:eastAsia="zh-TW" w:bidi="ar-SA"/>
              </w:rPr>
              <w:t>2025年邀请参观“血液的奥秘”科普馆租车服务</w:t>
            </w:r>
          </w:p>
        </w:tc>
        <w:tc>
          <w:tcPr>
            <w:tcW w:w="2750"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0F65CE0F">
      <w:pPr>
        <w:jc w:val="center"/>
        <w:rPr>
          <w:rFonts w:hint="eastAsia" w:ascii="宋体" w:hAnsi="宋体"/>
          <w:b/>
          <w:color w:val="auto"/>
          <w:sz w:val="36"/>
          <w:szCs w:val="36"/>
        </w:rPr>
      </w:pPr>
    </w:p>
    <w:p w14:paraId="26AA73FB">
      <w:pPr>
        <w:jc w:val="center"/>
        <w:rPr>
          <w:rFonts w:hint="eastAsia" w:ascii="宋体" w:hAnsi="宋体"/>
          <w:b/>
          <w:color w:val="auto"/>
          <w:sz w:val="36"/>
          <w:szCs w:val="36"/>
        </w:rPr>
      </w:pPr>
    </w:p>
    <w:p w14:paraId="084334D0">
      <w:pPr>
        <w:jc w:val="center"/>
        <w:rPr>
          <w:rFonts w:hint="eastAsia" w:ascii="宋体" w:hAnsi="宋体"/>
          <w:b/>
          <w:color w:val="auto"/>
          <w:sz w:val="36"/>
          <w:szCs w:val="36"/>
        </w:rPr>
      </w:pPr>
    </w:p>
    <w:p w14:paraId="6B31E8C6">
      <w:pPr>
        <w:jc w:val="both"/>
        <w:rPr>
          <w:rFonts w:hint="eastAsia" w:ascii="宋体" w:hAnsi="宋体"/>
          <w:b/>
          <w:color w:val="auto"/>
          <w:sz w:val="36"/>
          <w:szCs w:val="36"/>
        </w:rPr>
      </w:pPr>
    </w:p>
    <w:p w14:paraId="003F1E03">
      <w:pPr>
        <w:rPr>
          <w:rFonts w:hAnsi="宋体" w:cs="宋体"/>
          <w:color w:val="auto"/>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6          </w:t>
      </w:r>
      <w:r>
        <w:rPr>
          <w:rFonts w:hint="eastAsia" w:ascii="宋体" w:hAnsi="宋体"/>
          <w:b/>
          <w:color w:val="auto"/>
          <w:sz w:val="36"/>
          <w:szCs w:val="36"/>
        </w:rPr>
        <w:t>商务条款响应及偏离情况说明表</w:t>
      </w: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5"/>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4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2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494" w:type="dxa"/>
            <w:vAlign w:val="center"/>
          </w:tcPr>
          <w:p w14:paraId="07EE1379">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一、合同签订期:</w:t>
            </w:r>
            <w:r>
              <w:rPr>
                <w:rFonts w:hint="eastAsia" w:ascii="宋体" w:hAnsi="宋体" w:eastAsia="宋体" w:cs="宋体"/>
                <w:szCs w:val="21"/>
                <w:highlight w:val="none"/>
                <w:lang w:val="en-US" w:eastAsia="zh-CN"/>
              </w:rPr>
              <w:t>自采购结果公告结束之日起10个工作日内。</w:t>
            </w:r>
          </w:p>
        </w:tc>
        <w:tc>
          <w:tcPr>
            <w:tcW w:w="32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494" w:type="dxa"/>
            <w:vAlign w:val="center"/>
          </w:tcPr>
          <w:p w14:paraId="45B77A4A">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二、服务期限：</w:t>
            </w:r>
          </w:p>
          <w:p w14:paraId="727D1D42">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 xml:space="preserve">1. </w:t>
            </w:r>
            <w:r>
              <w:rPr>
                <w:rFonts w:hint="eastAsia" w:ascii="宋体" w:hAnsi="宋体" w:eastAsia="宋体" w:cs="宋体"/>
                <w:szCs w:val="21"/>
                <w:highlight w:val="none"/>
                <w:lang w:eastAsia="zh-CN"/>
              </w:rPr>
              <w:t>合同签订之日起一年</w:t>
            </w:r>
            <w:r>
              <w:rPr>
                <w:rFonts w:hint="eastAsia" w:ascii="宋体" w:hAnsi="宋体" w:eastAsia="宋体" w:cs="宋体"/>
                <w:szCs w:val="21"/>
                <w:highlight w:val="none"/>
              </w:rPr>
              <w:t>。</w:t>
            </w:r>
          </w:p>
          <w:p w14:paraId="047D0738">
            <w:pPr>
              <w:spacing w:line="420" w:lineRule="exact"/>
              <w:rPr>
                <w:rFonts w:ascii="仿宋" w:hAnsi="仿宋" w:eastAsia="仿宋" w:cs="宋体"/>
                <w:color w:val="auto"/>
                <w:sz w:val="20"/>
                <w:szCs w:val="20"/>
              </w:rPr>
            </w:pPr>
            <w:r>
              <w:rPr>
                <w:rFonts w:hint="eastAsia" w:ascii="宋体" w:hAnsi="宋体" w:eastAsia="宋体" w:cs="宋体"/>
                <w:szCs w:val="21"/>
                <w:highlight w:val="none"/>
                <w:lang w:val="en-US" w:eastAsia="zh-CN"/>
              </w:rPr>
              <w:t>2.</w:t>
            </w:r>
            <w:r>
              <w:rPr>
                <w:rFonts w:hint="eastAsia" w:ascii="宋体" w:hAnsi="宋体" w:eastAsia="宋体" w:cs="宋体"/>
                <w:color w:val="000000"/>
                <w:szCs w:val="21"/>
              </w:rPr>
              <w:t>合同延续年限、条件和方式：本项目合同履约期到期后，采购人依据本项目的服务履约评价情况及实际需求，在年度预算保障的前提下，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494" w:type="dxa"/>
            <w:vAlign w:val="center"/>
          </w:tcPr>
          <w:p w14:paraId="08A36900">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三、租车服务范围:</w:t>
            </w:r>
            <w:r>
              <w:rPr>
                <w:rFonts w:hint="eastAsia" w:ascii="宋体" w:hAnsi="宋体" w:eastAsia="宋体" w:cs="宋体"/>
                <w:color w:val="000000"/>
                <w:szCs w:val="21"/>
                <w:lang w:val="en-US" w:eastAsia="zh-CN"/>
              </w:rPr>
              <w:t>采购人指定路线和地点（南</w:t>
            </w:r>
            <w:r>
              <w:rPr>
                <w:rFonts w:hint="eastAsia" w:ascii="宋体" w:hAnsi="宋体" w:eastAsia="宋体" w:cs="宋体"/>
                <w:i w:val="0"/>
                <w:iCs w:val="0"/>
                <w:color w:val="000000"/>
                <w:kern w:val="0"/>
                <w:sz w:val="21"/>
                <w:szCs w:val="21"/>
                <w:u w:val="none"/>
                <w:lang w:val="en-US" w:eastAsia="zh-CN" w:bidi="ar"/>
              </w:rPr>
              <w:t>宁市行政区域内：兴宁区、青秀区、西乡塘区、江南区、良庆区、邕宁区、武鸣区）</w:t>
            </w:r>
            <w:r>
              <w:rPr>
                <w:rFonts w:hint="eastAsia" w:ascii="宋体" w:hAnsi="宋体" w:eastAsia="宋体" w:cs="宋体"/>
                <w:color w:val="000000"/>
                <w:szCs w:val="21"/>
                <w:lang w:eastAsia="zh-CN"/>
              </w:rPr>
              <w:t>。</w:t>
            </w:r>
          </w:p>
        </w:tc>
        <w:tc>
          <w:tcPr>
            <w:tcW w:w="32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494" w:type="dxa"/>
            <w:vAlign w:val="center"/>
          </w:tcPr>
          <w:p w14:paraId="6CBE95B3">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四、服务要求：</w:t>
            </w:r>
          </w:p>
          <w:p w14:paraId="6B1936DE">
            <w:pPr>
              <w:widowControl/>
              <w:shd w:val="clear" w:color="auto" w:fill="FFFFFF"/>
              <w:spacing w:line="360" w:lineRule="auto"/>
              <w:rPr>
                <w:rFonts w:hint="default" w:ascii="宋体" w:hAnsi="宋体" w:cs="宋体"/>
                <w:bCs w:val="0"/>
                <w:color w:val="000000" w:themeColor="text1"/>
                <w:spacing w:val="0"/>
                <w:kern w:val="2"/>
                <w:szCs w:val="24"/>
                <w:lang w:val="en-US" w:eastAsia="zh-CN"/>
                <w14:textFill>
                  <w14:solidFill>
                    <w14:schemeClr w14:val="tx1"/>
                  </w14:solidFill>
                </w14:textFill>
              </w:rPr>
            </w:pPr>
            <w:r>
              <w:rPr>
                <w:rFonts w:hint="eastAsia" w:ascii="宋体" w:hAnsi="宋体"/>
                <w:szCs w:val="21"/>
                <w:lang w:val="en-US" w:eastAsia="zh-CN"/>
              </w:rPr>
              <w:t>1.</w:t>
            </w:r>
            <w:r>
              <w:rPr>
                <w:rFonts w:hint="eastAsia" w:ascii="宋体" w:hAnsi="宋体" w:cs="宋体"/>
                <w:bCs w:val="0"/>
                <w:spacing w:val="0"/>
                <w:kern w:val="2"/>
                <w:szCs w:val="24"/>
                <w:lang w:val="en-US" w:eastAsia="zh-CN"/>
              </w:rPr>
              <w:t>供应商提供的车辆</w:t>
            </w:r>
            <w:r>
              <w:rPr>
                <w:rFonts w:hint="eastAsia" w:ascii="宋体" w:hAnsi="宋体" w:cs="宋体"/>
                <w:bCs w:val="0"/>
                <w:color w:val="000000" w:themeColor="text1"/>
                <w:spacing w:val="0"/>
                <w:kern w:val="2"/>
                <w:szCs w:val="24"/>
                <w:lang w:val="en-US" w:eastAsia="zh-CN"/>
                <w14:textFill>
                  <w14:solidFill>
                    <w14:schemeClr w14:val="tx1"/>
                  </w14:solidFill>
                </w14:textFill>
              </w:rPr>
              <w:t>优先选择3年内车龄的车型，车辆保险齐全，</w:t>
            </w:r>
            <w:r>
              <w:rPr>
                <w:rFonts w:hint="eastAsia" w:ascii="宋体" w:hAnsi="宋体" w:eastAsia="宋体" w:cs="宋体"/>
                <w:color w:val="000000" w:themeColor="text1"/>
                <w:sz w:val="21"/>
                <w:szCs w:val="21"/>
                <w14:textFill>
                  <w14:solidFill>
                    <w14:schemeClr w14:val="tx1"/>
                  </w14:solidFill>
                </w14:textFill>
              </w:rPr>
              <w:t>车辆安全设施符合国家安全标准</w:t>
            </w:r>
            <w:r>
              <w:rPr>
                <w:rFonts w:hint="eastAsia" w:ascii="宋体" w:hAnsi="宋体" w:cs="宋体"/>
                <w:bCs w:val="0"/>
                <w:color w:val="000000" w:themeColor="text1"/>
                <w:spacing w:val="0"/>
                <w:kern w:val="2"/>
                <w:szCs w:val="24"/>
                <w:lang w:val="en-US" w:eastAsia="zh-CN"/>
                <w14:textFill>
                  <w14:solidFill>
                    <w14:schemeClr w14:val="tx1"/>
                  </w14:solidFill>
                </w14:textFill>
              </w:rPr>
              <w:t>。</w:t>
            </w:r>
          </w:p>
          <w:p w14:paraId="72ABB880">
            <w:pPr>
              <w:widowControl/>
              <w:shd w:val="clear" w:color="auto" w:fill="FFFFFF"/>
              <w:spacing w:line="360" w:lineRule="auto"/>
              <w:rPr>
                <w:rFonts w:ascii="仿宋" w:hAnsi="仿宋" w:eastAsia="仿宋"/>
                <w:b/>
                <w:bCs w:val="0"/>
                <w:color w:val="auto"/>
                <w:sz w:val="20"/>
                <w:szCs w:val="20"/>
              </w:rPr>
            </w:pPr>
            <w:r>
              <w:rPr>
                <w:rFonts w:hint="eastAsia" w:ascii="宋体" w:hAnsi="宋体" w:cs="宋体"/>
                <w:bCs w:val="0"/>
                <w:color w:val="000000" w:themeColor="text1"/>
                <w:spacing w:val="0"/>
                <w:kern w:val="2"/>
                <w:szCs w:val="24"/>
                <w:lang w:val="en-US" w:eastAsia="zh-CN"/>
                <w14:textFill>
                  <w14:solidFill>
                    <w14:schemeClr w14:val="tx1"/>
                  </w14:solidFill>
                </w14:textFill>
              </w:rPr>
              <w:t>2.配备</w:t>
            </w:r>
            <w:r>
              <w:rPr>
                <w:rFonts w:hint="eastAsia" w:ascii="宋体" w:hAnsi="宋体" w:eastAsia="宋体" w:cs="宋体"/>
                <w:color w:val="000000" w:themeColor="text1"/>
                <w:sz w:val="21"/>
                <w:szCs w:val="21"/>
                <w14:textFill>
                  <w14:solidFill>
                    <w14:schemeClr w14:val="tx1"/>
                  </w14:solidFill>
                </w14:textFill>
              </w:rPr>
              <w:t>驾驶员应持有合法的从业资格和具有相应准驾车型</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年以上</w:t>
            </w:r>
            <w:r>
              <w:rPr>
                <w:rFonts w:hint="eastAsia" w:ascii="宋体" w:hAnsi="宋体" w:eastAsia="宋体" w:cs="宋体"/>
                <w:sz w:val="21"/>
                <w:szCs w:val="21"/>
              </w:rPr>
              <w:t>安全驾驶经历，且驾驶技术娴熟、服务态度好</w:t>
            </w:r>
            <w:r>
              <w:rPr>
                <w:rFonts w:hint="eastAsia" w:ascii="宋体" w:hAnsi="宋体" w:cs="宋体"/>
                <w:bCs w:val="0"/>
                <w:spacing w:val="0"/>
                <w:kern w:val="2"/>
                <w:szCs w:val="24"/>
                <w:lang w:val="en-US" w:eastAsia="zh-CN"/>
              </w:rPr>
              <w:t>。</w:t>
            </w:r>
          </w:p>
        </w:tc>
        <w:tc>
          <w:tcPr>
            <w:tcW w:w="32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3494" w:type="dxa"/>
            <w:vAlign w:val="center"/>
          </w:tcPr>
          <w:p w14:paraId="20EFB0EF">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五、其他要求：</w:t>
            </w:r>
          </w:p>
          <w:p w14:paraId="75B1C781">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1ED9DDF8">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租车及配套服务</w:t>
            </w:r>
            <w:r>
              <w:rPr>
                <w:rFonts w:hint="eastAsia" w:ascii="宋体" w:hAnsi="宋体"/>
                <w:szCs w:val="21"/>
              </w:rPr>
              <w:t>的</w:t>
            </w:r>
            <w:r>
              <w:rPr>
                <w:rFonts w:hint="eastAsia" w:ascii="宋体" w:hAnsi="宋体"/>
                <w:szCs w:val="21"/>
                <w:lang w:val="en-US" w:eastAsia="zh-CN"/>
              </w:rPr>
              <w:t>费用</w:t>
            </w:r>
            <w:r>
              <w:rPr>
                <w:rFonts w:hint="eastAsia" w:ascii="宋体" w:hAnsi="宋体"/>
                <w:szCs w:val="21"/>
              </w:rPr>
              <w:t>；</w:t>
            </w:r>
          </w:p>
          <w:p w14:paraId="1F40A9F6">
            <w:pPr>
              <w:widowControl/>
              <w:shd w:val="clear" w:color="auto" w:fill="FFFFFF"/>
              <w:spacing w:line="360" w:lineRule="auto"/>
              <w:rPr>
                <w:rFonts w:hint="eastAsia" w:ascii="宋体" w:hAnsi="宋体"/>
                <w:szCs w:val="21"/>
              </w:rPr>
            </w:pPr>
            <w:r>
              <w:rPr>
                <w:rFonts w:hint="eastAsia" w:ascii="宋体" w:hAnsi="宋体"/>
                <w:szCs w:val="21"/>
              </w:rPr>
              <w:t>（2）</w:t>
            </w:r>
            <w:r>
              <w:rPr>
                <w:rFonts w:hint="eastAsia" w:ascii="宋体" w:hAnsi="宋体" w:eastAsia="宋体" w:cs="宋体"/>
                <w:i w:val="0"/>
                <w:iCs w:val="0"/>
                <w:color w:val="000000"/>
                <w:kern w:val="0"/>
                <w:sz w:val="21"/>
                <w:szCs w:val="21"/>
                <w:u w:val="none"/>
                <w:lang w:val="en-US" w:eastAsia="zh-CN" w:bidi="ar"/>
              </w:rPr>
              <w:t>含司机聘请、税费、燃油费、过路费、停车费等费用</w:t>
            </w:r>
            <w:r>
              <w:rPr>
                <w:rFonts w:hint="eastAsia" w:ascii="宋体" w:hAnsi="宋体"/>
                <w:szCs w:val="21"/>
              </w:rPr>
              <w:t>；</w:t>
            </w:r>
          </w:p>
          <w:p w14:paraId="7FE6A8D9">
            <w:pPr>
              <w:widowControl/>
              <w:shd w:val="clear" w:color="auto" w:fill="FFFFFF"/>
              <w:spacing w:line="360" w:lineRule="auto"/>
              <w:rPr>
                <w:rFonts w:hint="eastAsia" w:ascii="宋体" w:hAnsi="宋体"/>
                <w:szCs w:val="21"/>
              </w:rPr>
            </w:pPr>
            <w:r>
              <w:rPr>
                <w:rFonts w:hint="eastAsia" w:ascii="宋体" w:hAnsi="宋体"/>
                <w:szCs w:val="21"/>
              </w:rPr>
              <w:t>（3）</w:t>
            </w:r>
            <w:r>
              <w:rPr>
                <w:rFonts w:hint="eastAsia" w:ascii="宋体" w:hAnsi="宋体" w:eastAsia="宋体" w:cs="宋体"/>
                <w:i w:val="0"/>
                <w:iCs w:val="0"/>
                <w:color w:val="000000"/>
                <w:kern w:val="0"/>
                <w:sz w:val="21"/>
                <w:szCs w:val="21"/>
                <w:u w:val="none"/>
                <w:lang w:val="en-US" w:eastAsia="zh-CN" w:bidi="ar"/>
              </w:rPr>
              <w:t>车辆证税、保险 、维修保养、违章费、年审费等费用均由车辆租赁公司承担</w:t>
            </w:r>
            <w:r>
              <w:rPr>
                <w:rFonts w:hint="eastAsia" w:ascii="宋体" w:hAnsi="宋体"/>
                <w:szCs w:val="21"/>
              </w:rPr>
              <w:t>；</w:t>
            </w:r>
          </w:p>
          <w:p w14:paraId="26AEA17C">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3502C4E8">
            <w:pPr>
              <w:spacing w:line="276" w:lineRule="auto"/>
              <w:rPr>
                <w:rFonts w:ascii="仿宋" w:hAnsi="仿宋" w:eastAsia="仿宋"/>
                <w:bCs/>
                <w:color w:val="auto"/>
                <w:sz w:val="20"/>
                <w:szCs w:val="20"/>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w:t>
            </w:r>
            <w:r>
              <w:rPr>
                <w:rFonts w:hint="eastAsia" w:ascii="宋体" w:hAnsi="宋体"/>
                <w:szCs w:val="21"/>
                <w:lang w:val="en-US" w:eastAsia="zh-CN"/>
              </w:rPr>
              <w:t>供应商按合同提供租车服务后，按实际用车费用结算</w:t>
            </w:r>
            <w:r>
              <w:rPr>
                <w:rFonts w:hint="eastAsia" w:ascii="宋体" w:hAnsi="宋体"/>
                <w:szCs w:val="21"/>
                <w:lang w:eastAsia="zh-CN"/>
              </w:rPr>
              <w:t>。</w:t>
            </w:r>
            <w:r>
              <w:rPr>
                <w:rFonts w:hint="eastAsia" w:ascii="宋体" w:hAnsi="宋体"/>
                <w:szCs w:val="21"/>
              </w:rPr>
              <w:t>（付款前</w:t>
            </w:r>
            <w:r>
              <w:rPr>
                <w:rFonts w:hint="eastAsia" w:ascii="宋体" w:hAnsi="宋体"/>
                <w:szCs w:val="21"/>
                <w:lang w:val="en-US" w:eastAsia="zh-CN"/>
              </w:rPr>
              <w:t>供应商</w:t>
            </w:r>
            <w:r>
              <w:rPr>
                <w:rFonts w:hint="eastAsia" w:ascii="宋体" w:hAnsi="宋体"/>
                <w:szCs w:val="21"/>
              </w:rPr>
              <w:t>需开具等额合规的增值税普通发票）。</w:t>
            </w:r>
          </w:p>
        </w:tc>
        <w:tc>
          <w:tcPr>
            <w:tcW w:w="32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3EAA5A05">
      <w:pPr>
        <w:pStyle w:val="7"/>
        <w:spacing w:line="400" w:lineRule="exact"/>
        <w:ind w:left="689" w:leftChars="228" w:hanging="210" w:hangingChars="100"/>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7F80F59B">
      <w:pPr>
        <w:pStyle w:val="7"/>
        <w:spacing w:line="400" w:lineRule="exact"/>
        <w:rPr>
          <w:rFonts w:hAnsi="宋体" w:cs="宋体"/>
          <w:color w:val="auto"/>
        </w:rPr>
      </w:pPr>
      <w:r>
        <w:rPr>
          <w:rFonts w:hint="eastAsia" w:hAnsi="宋体" w:cs="宋体"/>
          <w:color w:val="auto"/>
        </w:rPr>
        <w:t>响应人（盖单位公章）：</w:t>
      </w:r>
    </w:p>
    <w:p w14:paraId="40817C1A">
      <w:pPr>
        <w:pStyle w:val="7"/>
        <w:spacing w:line="400" w:lineRule="exact"/>
        <w:rPr>
          <w:rFonts w:hint="eastAsia"/>
        </w:rPr>
      </w:pPr>
      <w:r>
        <w:rPr>
          <w:rFonts w:hint="eastAsia" w:hAnsi="宋体" w:cs="宋体"/>
          <w:color w:val="auto"/>
        </w:rPr>
        <w:t>法定代表人或其委托代理人（签字或盖章）：</w:t>
      </w:r>
    </w:p>
    <w:p w14:paraId="16C0C1B3">
      <w:pPr>
        <w:rPr>
          <w:rFonts w:hint="eastAsia" w:ascii="仿宋" w:hAnsi="仿宋" w:eastAsia="仿宋" w:cstheme="minorEastAsia"/>
          <w:color w:val="auto"/>
          <w:sz w:val="28"/>
          <w:szCs w:val="28"/>
        </w:rPr>
      </w:pPr>
    </w:p>
    <w:p w14:paraId="5AA48EF1">
      <w:pPr>
        <w:rPr>
          <w:rFonts w:hint="eastAsia" w:ascii="仿宋" w:hAnsi="仿宋" w:eastAsia="仿宋" w:cstheme="minorEastAsia"/>
          <w:color w:val="auto"/>
          <w:sz w:val="28"/>
          <w:szCs w:val="28"/>
        </w:rPr>
      </w:pPr>
    </w:p>
    <w:p w14:paraId="580C0310">
      <w:pPr>
        <w:rPr>
          <w:rFonts w:hint="eastAsia" w:ascii="仿宋" w:hAnsi="仿宋" w:eastAsia="仿宋" w:cstheme="minorEastAsia"/>
          <w:color w:val="auto"/>
          <w:sz w:val="28"/>
          <w:szCs w:val="28"/>
        </w:rPr>
      </w:pPr>
    </w:p>
    <w:p w14:paraId="03B4962A">
      <w:pPr>
        <w:rPr>
          <w:rFonts w:hint="eastAsia" w:ascii="仿宋" w:hAnsi="仿宋" w:eastAsia="仿宋" w:cstheme="minorEastAsia"/>
          <w:color w:val="auto"/>
          <w:sz w:val="28"/>
          <w:szCs w:val="28"/>
        </w:rPr>
      </w:pPr>
    </w:p>
    <w:p w14:paraId="4EE00FC4">
      <w:pPr>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w:t>
      </w:r>
      <w:r>
        <w:rPr>
          <w:rFonts w:hint="eastAsia" w:ascii="仿宋_GB2312" w:eastAsia="仿宋_GB2312"/>
          <w:color w:val="000000"/>
          <w:sz w:val="28"/>
          <w:szCs w:val="28"/>
          <w:u w:val="single"/>
          <w:lang w:val="zh-TW" w:eastAsia="zh-TW"/>
        </w:rPr>
        <w:t>2025年邀请参观“血液的奥秘”科普馆租车服务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13E23CA3">
      <w:pPr>
        <w:ind w:firstLine="1807" w:firstLineChars="500"/>
        <w:jc w:val="both"/>
        <w:rPr>
          <w:rFonts w:hAnsi="宋体" w:cs="宋体"/>
          <w:sz w:val="44"/>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2098" w:right="1279"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FF210E-D416-4364-B9E7-649A537AEC40}"/>
  </w:font>
  <w:font w:name="Courier New">
    <w:panose1 w:val="02070309020205020404"/>
    <w:charset w:val="01"/>
    <w:family w:val="modern"/>
    <w:pitch w:val="default"/>
    <w:sig w:usb0="E0002EFF" w:usb1="C0007843" w:usb2="00000009" w:usb3="00000000" w:csb0="400001FF" w:csb1="FFFF0000"/>
    <w:embedRegular r:id="rId2" w:fontKey="{008C7207-42CE-4742-A1AA-22A7598B573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F76F91D-7D54-4009-AB82-D44BCABB6A7E}"/>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961F7E56-7DA8-4D59-9A0C-57074DE1BF19}"/>
  </w:font>
  <w:font w:name="仿宋_GB2312">
    <w:panose1 w:val="02010609030101010101"/>
    <w:charset w:val="86"/>
    <w:family w:val="modern"/>
    <w:pitch w:val="default"/>
    <w:sig w:usb0="00000001" w:usb1="080E0000" w:usb2="00000000" w:usb3="00000000" w:csb0="00040000" w:csb1="00000000"/>
    <w:embedRegular r:id="rId5" w:fontKey="{6477B9B6-A11C-4FC0-A8C9-7793D8F24C6F}"/>
  </w:font>
  <w:font w:name="Lucida Sans Unicode">
    <w:panose1 w:val="020B0602030504020204"/>
    <w:charset w:val="00"/>
    <w:family w:val="swiss"/>
    <w:pitch w:val="default"/>
    <w:sig w:usb0="80001AFF" w:usb1="0000396B" w:usb2="00000000" w:usb3="00000000" w:csb0="200000BF" w:csb1="D7F70000"/>
    <w:embedRegular r:id="rId6" w:fontKey="{45D378C2-B45A-49E7-8754-0D3C2C6F5FA5}"/>
  </w:font>
  <w:font w:name="方正楷体_GB2312">
    <w:panose1 w:val="02000000000000000000"/>
    <w:charset w:val="86"/>
    <w:family w:val="auto"/>
    <w:pitch w:val="default"/>
    <w:sig w:usb0="A00002BF" w:usb1="184F6CFA" w:usb2="00000012" w:usb3="00000000" w:csb0="00040001" w:csb1="00000000"/>
    <w:embedRegular r:id="rId7" w:fontKey="{E73DAAC7-27F1-4B8D-83F9-773FCF64442E}"/>
  </w:font>
  <w:font w:name="仿宋">
    <w:panose1 w:val="02010609060101010101"/>
    <w:charset w:val="86"/>
    <w:family w:val="modern"/>
    <w:pitch w:val="default"/>
    <w:sig w:usb0="800002BF" w:usb1="38CF7CFA" w:usb2="00000016" w:usb3="00000000" w:csb0="00040001" w:csb1="00000000"/>
    <w:embedRegular r:id="rId8" w:fontKey="{E9C30E80-1BC4-4420-B98B-2F5D497398AD}"/>
  </w:font>
  <w:font w:name="Wingdings 2">
    <w:panose1 w:val="05020102010507070707"/>
    <w:charset w:val="02"/>
    <w:family w:val="roman"/>
    <w:pitch w:val="default"/>
    <w:sig w:usb0="00000000" w:usb1="00000000" w:usb2="00000000" w:usb3="00000000" w:csb0="80000000" w:csb1="00000000"/>
    <w:embedRegular r:id="rId9" w:fontKey="{6C0448C8-95C9-4521-9EA0-B665BE2EA33E}"/>
  </w:font>
  <w:font w:name="方正公文小标宋">
    <w:panose1 w:val="02000500000000000000"/>
    <w:charset w:val="86"/>
    <w:family w:val="auto"/>
    <w:pitch w:val="default"/>
    <w:sig w:usb0="A00002BF" w:usb1="38CF7CFA" w:usb2="00000016" w:usb3="00000000" w:csb0="00040001" w:csb1="00000000"/>
    <w:embedRegular r:id="rId10" w:fontKey="{CB9A6ABC-B79D-48E1-9DA5-2227AACF8B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5A51ABAA"/>
    <w:multiLevelType w:val="singleLevel"/>
    <w:tmpl w:val="5A51ABAA"/>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D470D9"/>
    <w:rsid w:val="02D74B40"/>
    <w:rsid w:val="031B2C7F"/>
    <w:rsid w:val="0350496E"/>
    <w:rsid w:val="03670C57"/>
    <w:rsid w:val="046C750A"/>
    <w:rsid w:val="06B84C89"/>
    <w:rsid w:val="08517143"/>
    <w:rsid w:val="0A532ED9"/>
    <w:rsid w:val="0B656E1E"/>
    <w:rsid w:val="0C0A5403"/>
    <w:rsid w:val="0C145497"/>
    <w:rsid w:val="0C335400"/>
    <w:rsid w:val="0DBF3613"/>
    <w:rsid w:val="10D74B39"/>
    <w:rsid w:val="11203B56"/>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2C5369"/>
    <w:rsid w:val="24880C9A"/>
    <w:rsid w:val="24C95406"/>
    <w:rsid w:val="25030284"/>
    <w:rsid w:val="250932DC"/>
    <w:rsid w:val="25EC2CDC"/>
    <w:rsid w:val="26B712D7"/>
    <w:rsid w:val="2887245A"/>
    <w:rsid w:val="28DF0318"/>
    <w:rsid w:val="2A3A75DF"/>
    <w:rsid w:val="2A9B5BE2"/>
    <w:rsid w:val="2BAB4636"/>
    <w:rsid w:val="2BF57C61"/>
    <w:rsid w:val="2CED0939"/>
    <w:rsid w:val="2D091F4A"/>
    <w:rsid w:val="2E620CC5"/>
    <w:rsid w:val="2F4A332F"/>
    <w:rsid w:val="311A2330"/>
    <w:rsid w:val="32A86C88"/>
    <w:rsid w:val="34806536"/>
    <w:rsid w:val="35234768"/>
    <w:rsid w:val="35AD02FE"/>
    <w:rsid w:val="35C3060D"/>
    <w:rsid w:val="36323860"/>
    <w:rsid w:val="37FA5266"/>
    <w:rsid w:val="380D6333"/>
    <w:rsid w:val="38575800"/>
    <w:rsid w:val="388C54AA"/>
    <w:rsid w:val="38DD5D05"/>
    <w:rsid w:val="38E946AA"/>
    <w:rsid w:val="39254A49"/>
    <w:rsid w:val="398905B6"/>
    <w:rsid w:val="3A155D47"/>
    <w:rsid w:val="3AFD125A"/>
    <w:rsid w:val="3D403C07"/>
    <w:rsid w:val="3EC14DCA"/>
    <w:rsid w:val="3EDF7B5A"/>
    <w:rsid w:val="3EF757D7"/>
    <w:rsid w:val="3F794BDA"/>
    <w:rsid w:val="3F91661B"/>
    <w:rsid w:val="40330CF1"/>
    <w:rsid w:val="41431D95"/>
    <w:rsid w:val="41717D14"/>
    <w:rsid w:val="43E64FA6"/>
    <w:rsid w:val="444D69AF"/>
    <w:rsid w:val="44942BEF"/>
    <w:rsid w:val="45993782"/>
    <w:rsid w:val="45D636A5"/>
    <w:rsid w:val="46B2239C"/>
    <w:rsid w:val="495E2059"/>
    <w:rsid w:val="49CF5B75"/>
    <w:rsid w:val="4A2E27D8"/>
    <w:rsid w:val="4B7122DD"/>
    <w:rsid w:val="4BE930B0"/>
    <w:rsid w:val="4C765DFD"/>
    <w:rsid w:val="4D4700FA"/>
    <w:rsid w:val="4DF267BC"/>
    <w:rsid w:val="4EE30EFF"/>
    <w:rsid w:val="508825A3"/>
    <w:rsid w:val="50901C87"/>
    <w:rsid w:val="5099641F"/>
    <w:rsid w:val="539011C5"/>
    <w:rsid w:val="53DA23BC"/>
    <w:rsid w:val="53E47AF0"/>
    <w:rsid w:val="541C5F97"/>
    <w:rsid w:val="54575778"/>
    <w:rsid w:val="54714A29"/>
    <w:rsid w:val="55434FAF"/>
    <w:rsid w:val="55731FB9"/>
    <w:rsid w:val="5745560C"/>
    <w:rsid w:val="57671164"/>
    <w:rsid w:val="583975C9"/>
    <w:rsid w:val="59401951"/>
    <w:rsid w:val="5B2D3245"/>
    <w:rsid w:val="5B71396D"/>
    <w:rsid w:val="5DFB7A90"/>
    <w:rsid w:val="5F443AD7"/>
    <w:rsid w:val="60884935"/>
    <w:rsid w:val="61F52ED8"/>
    <w:rsid w:val="6213192F"/>
    <w:rsid w:val="63267838"/>
    <w:rsid w:val="66336550"/>
    <w:rsid w:val="667523D3"/>
    <w:rsid w:val="66F31915"/>
    <w:rsid w:val="674A2C89"/>
    <w:rsid w:val="6A0A3D2C"/>
    <w:rsid w:val="6AC63F9C"/>
    <w:rsid w:val="6B311A3F"/>
    <w:rsid w:val="7030084F"/>
    <w:rsid w:val="703B4AE4"/>
    <w:rsid w:val="7145658E"/>
    <w:rsid w:val="718A5132"/>
    <w:rsid w:val="71C86016"/>
    <w:rsid w:val="71CD28BF"/>
    <w:rsid w:val="726C367A"/>
    <w:rsid w:val="732B5B1E"/>
    <w:rsid w:val="745C607B"/>
    <w:rsid w:val="75CC2D87"/>
    <w:rsid w:val="7877401B"/>
    <w:rsid w:val="78CC1807"/>
    <w:rsid w:val="792579EC"/>
    <w:rsid w:val="79554A0B"/>
    <w:rsid w:val="7AAD6DF1"/>
    <w:rsid w:val="7B5E6224"/>
    <w:rsid w:val="7BD87CB7"/>
    <w:rsid w:val="7C4223E5"/>
    <w:rsid w:val="7C812D3F"/>
    <w:rsid w:val="7C9E2378"/>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before="50" w:beforeLines="50" w:after="50" w:afterLines="50"/>
      <w:jc w:val="left"/>
      <w:outlineLvl w:val="1"/>
    </w:pPr>
    <w:rPr>
      <w:rFonts w:eastAsia="黑体" w:asciiTheme="minorHAnsi" w:hAnsiTheme="minorHAnsi"/>
      <w:b/>
      <w:bCs/>
      <w:sz w:val="32"/>
    </w:rPr>
  </w:style>
  <w:style w:type="paragraph" w:styleId="3">
    <w:name w:val="heading 4"/>
    <w:basedOn w:val="1"/>
    <w:next w:val="1"/>
    <w:link w:val="27"/>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qFormat/>
    <w:uiPriority w:val="0"/>
    <w:pPr>
      <w:jc w:val="left"/>
    </w:pPr>
    <w:rPr>
      <w:rFonts w:ascii="Calibri" w:hAnsi="Calibri" w:eastAsia="宋体" w:cs="Times New Roman"/>
    </w:rPr>
  </w:style>
  <w:style w:type="paragraph" w:styleId="5">
    <w:name w:val="Body Text"/>
    <w:basedOn w:val="1"/>
    <w:link w:val="2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link w:val="30"/>
    <w:semiHidden/>
    <w:unhideWhenUsed/>
    <w:qFormat/>
    <w:uiPriority w:val="99"/>
    <w:pPr>
      <w:spacing w:after="120"/>
      <w:ind w:left="420" w:leftChars="200"/>
    </w:pPr>
  </w:style>
  <w:style w:type="paragraph" w:styleId="7">
    <w:name w:val="Plain Text"/>
    <w:basedOn w:val="1"/>
    <w:next w:val="3"/>
    <w:link w:val="23"/>
    <w:unhideWhenUsed/>
    <w:qFormat/>
    <w:uiPriority w:val="0"/>
    <w:rPr>
      <w:rFonts w:ascii="宋体" w:hAnsi="Courier New" w:eastAsia="宋体" w:cs="Times New Roman"/>
      <w:szCs w:val="20"/>
    </w:rPr>
  </w:style>
  <w:style w:type="paragraph" w:styleId="8">
    <w:name w:val="Date"/>
    <w:basedOn w:val="1"/>
    <w:next w:val="1"/>
    <w:link w:val="32"/>
    <w:semiHidden/>
    <w:unhideWhenUsed/>
    <w:qFormat/>
    <w:uiPriority w:val="99"/>
    <w:pPr>
      <w:ind w:left="100" w:leftChars="2500"/>
    </w:pPr>
  </w:style>
  <w:style w:type="paragraph" w:styleId="9">
    <w:name w:val="Balloon Text"/>
    <w:basedOn w:val="1"/>
    <w:link w:val="26"/>
    <w:semiHidden/>
    <w:unhideWhenUsed/>
    <w:qFormat/>
    <w:uiPriority w:val="99"/>
    <w:rPr>
      <w:sz w:val="18"/>
      <w:szCs w:val="18"/>
    </w:rPr>
  </w:style>
  <w:style w:type="paragraph" w:styleId="10">
    <w:name w:val="footer"/>
    <w:basedOn w:val="1"/>
    <w:link w:val="24"/>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5"/>
    <w:link w:val="33"/>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4">
    <w:name w:val="Body Text First Indent 2"/>
    <w:basedOn w:val="6"/>
    <w:link w:val="31"/>
    <w:semiHidden/>
    <w:unhideWhenUsed/>
    <w:qFormat/>
    <w:uiPriority w:val="99"/>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qFormat/>
    <w:uiPriority w:val="0"/>
    <w:rPr>
      <w:color w:val="0000FF" w:themeColor="hyperlink"/>
      <w:u w:val="single"/>
      <w14:textFill>
        <w14:solidFill>
          <w14:schemeClr w14:val="hlink"/>
        </w14:solidFill>
      </w14:textFill>
    </w:rPr>
  </w:style>
  <w:style w:type="character" w:styleId="20">
    <w:name w:val="annotation reference"/>
    <w:basedOn w:val="17"/>
    <w:qFormat/>
    <w:uiPriority w:val="0"/>
    <w:rPr>
      <w:sz w:val="21"/>
      <w:szCs w:val="21"/>
    </w:rPr>
  </w:style>
  <w:style w:type="character" w:customStyle="1" w:styleId="21">
    <w:name w:val="正文文本 Char"/>
    <w:basedOn w:val="17"/>
    <w:link w:val="5"/>
    <w:semiHidden/>
    <w:qFormat/>
    <w:uiPriority w:val="99"/>
    <w:rPr>
      <w:rFonts w:ascii="宋体" w:hAnsi="宋体" w:eastAsia="宋体" w:cs="宋体"/>
      <w:kern w:val="0"/>
      <w:sz w:val="24"/>
      <w:szCs w:val="24"/>
    </w:rPr>
  </w:style>
  <w:style w:type="paragraph" w:styleId="22">
    <w:name w:val="List Paragraph"/>
    <w:basedOn w:val="1"/>
    <w:qFormat/>
    <w:uiPriority w:val="34"/>
    <w:pPr>
      <w:ind w:firstLine="420" w:firstLineChars="200"/>
    </w:pPr>
  </w:style>
  <w:style w:type="character" w:customStyle="1" w:styleId="23">
    <w:name w:val="纯文本 Char"/>
    <w:basedOn w:val="17"/>
    <w:link w:val="7"/>
    <w:qFormat/>
    <w:uiPriority w:val="99"/>
    <w:rPr>
      <w:rFonts w:ascii="宋体" w:hAnsi="Courier New" w:eastAsia="宋体" w:cs="Times New Roman"/>
      <w:szCs w:val="20"/>
    </w:rPr>
  </w:style>
  <w:style w:type="character" w:customStyle="1" w:styleId="24">
    <w:name w:val="页脚 Char"/>
    <w:basedOn w:val="17"/>
    <w:link w:val="10"/>
    <w:qFormat/>
    <w:uiPriority w:val="0"/>
    <w:rPr>
      <w:rFonts w:ascii="Calibri" w:hAnsi="Calibri" w:eastAsia="宋体" w:cs="Times New Roman"/>
      <w:sz w:val="18"/>
      <w:szCs w:val="18"/>
    </w:rPr>
  </w:style>
  <w:style w:type="character" w:customStyle="1" w:styleId="25">
    <w:name w:val="批注文字 Char"/>
    <w:basedOn w:val="17"/>
    <w:link w:val="4"/>
    <w:qFormat/>
    <w:uiPriority w:val="0"/>
    <w:rPr>
      <w:rFonts w:ascii="Calibri" w:hAnsi="Calibri" w:eastAsia="宋体" w:cs="Times New Roman"/>
    </w:rPr>
  </w:style>
  <w:style w:type="character" w:customStyle="1" w:styleId="26">
    <w:name w:val="批注框文本 Char"/>
    <w:basedOn w:val="17"/>
    <w:link w:val="9"/>
    <w:semiHidden/>
    <w:qFormat/>
    <w:uiPriority w:val="99"/>
    <w:rPr>
      <w:sz w:val="18"/>
      <w:szCs w:val="18"/>
    </w:rPr>
  </w:style>
  <w:style w:type="character" w:customStyle="1" w:styleId="27">
    <w:name w:val="标题 4 Char"/>
    <w:basedOn w:val="17"/>
    <w:link w:val="3"/>
    <w:qFormat/>
    <w:uiPriority w:val="0"/>
    <w:rPr>
      <w:rFonts w:ascii="Arial" w:eastAsia="黑体"/>
      <w:kern w:val="0"/>
      <w:sz w:val="28"/>
      <w:szCs w:val="20"/>
    </w:rPr>
  </w:style>
  <w:style w:type="character" w:customStyle="1" w:styleId="28">
    <w:name w:val="font171"/>
    <w:basedOn w:val="17"/>
    <w:qFormat/>
    <w:uiPriority w:val="0"/>
    <w:rPr>
      <w:rFonts w:ascii="Arial" w:hAnsi="Arial" w:cs="Arial"/>
      <w:color w:val="000000"/>
      <w:sz w:val="16"/>
      <w:szCs w:val="16"/>
      <w:u w:val="none"/>
    </w:rPr>
  </w:style>
  <w:style w:type="character" w:customStyle="1" w:styleId="29">
    <w:name w:val="font191"/>
    <w:basedOn w:val="17"/>
    <w:qFormat/>
    <w:uiPriority w:val="0"/>
    <w:rPr>
      <w:rFonts w:hint="eastAsia" w:ascii="微软雅黑" w:hAnsi="微软雅黑" w:eastAsia="微软雅黑" w:cs="微软雅黑"/>
      <w:color w:val="000000"/>
      <w:sz w:val="16"/>
      <w:szCs w:val="16"/>
      <w:u w:val="none"/>
    </w:rPr>
  </w:style>
  <w:style w:type="character" w:customStyle="1" w:styleId="30">
    <w:name w:val="正文文本缩进 Char"/>
    <w:basedOn w:val="17"/>
    <w:link w:val="6"/>
    <w:semiHidden/>
    <w:qFormat/>
    <w:uiPriority w:val="99"/>
  </w:style>
  <w:style w:type="character" w:customStyle="1" w:styleId="31">
    <w:name w:val="正文首行缩进 2 Char"/>
    <w:basedOn w:val="30"/>
    <w:link w:val="14"/>
    <w:semiHidden/>
    <w:qFormat/>
    <w:uiPriority w:val="99"/>
  </w:style>
  <w:style w:type="character" w:customStyle="1" w:styleId="32">
    <w:name w:val="日期 Char"/>
    <w:basedOn w:val="17"/>
    <w:link w:val="8"/>
    <w:semiHidden/>
    <w:qFormat/>
    <w:uiPriority w:val="99"/>
  </w:style>
  <w:style w:type="character" w:customStyle="1" w:styleId="33">
    <w:name w:val="正文首行缩进 Char"/>
    <w:basedOn w:val="21"/>
    <w:link w:val="13"/>
    <w:qFormat/>
    <w:uiPriority w:val="0"/>
    <w:rPr>
      <w:rFonts w:ascii="Times New Roman" w:hAnsi="Times New Roman" w:eastAsia="宋体" w:cs="宋体"/>
      <w:kern w:val="0"/>
      <w:sz w:val="24"/>
      <w:szCs w:val="24"/>
    </w:rPr>
  </w:style>
  <w:style w:type="paragraph" w:customStyle="1" w:styleId="34">
    <w:name w:val="Table Paragraph"/>
    <w:basedOn w:val="1"/>
    <w:unhideWhenUsed/>
    <w:qFormat/>
    <w:uiPriority w:val="1"/>
    <w:rPr>
      <w:rFonts w:hint="eastAsia"/>
      <w:sz w:val="24"/>
      <w:szCs w:val="24"/>
    </w:rPr>
  </w:style>
  <w:style w:type="character" w:customStyle="1" w:styleId="35">
    <w:name w:val="页眉 Char"/>
    <w:basedOn w:val="17"/>
    <w:link w:val="11"/>
    <w:qFormat/>
    <w:uiPriority w:val="99"/>
    <w:rPr>
      <w:kern w:val="2"/>
      <w:sz w:val="18"/>
      <w:szCs w:val="18"/>
    </w:rPr>
  </w:style>
  <w:style w:type="paragraph" w:customStyle="1" w:styleId="36">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7">
    <w:name w:val="表格文字"/>
    <w:basedOn w:val="1"/>
    <w:qFormat/>
    <w:uiPriority w:val="99"/>
    <w:pPr>
      <w:spacing w:before="25" w:after="25"/>
      <w:jc w:val="left"/>
    </w:pPr>
    <w:rPr>
      <w:bCs/>
      <w:spacing w:val="10"/>
      <w:kern w:val="0"/>
      <w:sz w:val="24"/>
      <w:szCs w:val="22"/>
    </w:rPr>
  </w:style>
  <w:style w:type="character" w:customStyle="1" w:styleId="38">
    <w:name w:val="font21"/>
    <w:basedOn w:val="1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11031</Words>
  <Characters>11562</Characters>
  <Lines>39</Lines>
  <Paragraphs>11</Paragraphs>
  <TotalTime>73</TotalTime>
  <ScaleCrop>false</ScaleCrop>
  <LinksUpToDate>false</LinksUpToDate>
  <CharactersWithSpaces>12935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2025-04-22T09:13:56Z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