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项目名称：南宁中心血站2025年度冷链设备检测、校准服务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南宁中心血站2025年度冷链设备检测、校准服务采购公告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南宁中心血站按照采购计划，对南宁中心血站2025年度冷链设备检测、校准服务进行采购，现就该项目邀请具有资质的单位进行响应，采购信息如下：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项目名称：南宁中心血站2025年度冷链设备检测、校准服务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壹佰贰拾元整（￥120.00/台）</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壹佰贰拾元整（￥120.00/台）</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2A8CC2F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77C188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2025年度冷链设备检测、校准服务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eastAsia" w:ascii="宋体" w:hAnsi="宋体" w:cs="宋体" w:eastAsiaTheme="minorEastAsia"/>
                <w:lang w:eastAsia="zh-CN"/>
              </w:rPr>
            </w:pPr>
            <w:r>
              <w:rPr>
                <w:rFonts w:hint="eastAsia" w:ascii="宋体" w:hAnsi="宋体" w:cs="宋体"/>
                <w:lang w:val="en-US" w:eastAsia="zh-CN"/>
              </w:rPr>
              <w:t>290台</w:t>
            </w:r>
          </w:p>
        </w:tc>
        <w:tc>
          <w:tcPr>
            <w:tcW w:w="6099" w:type="dxa"/>
            <w:tcBorders>
              <w:top w:val="single" w:color="auto" w:sz="4" w:space="0"/>
              <w:left w:val="single" w:color="auto" w:sz="4" w:space="0"/>
              <w:bottom w:val="single" w:color="auto" w:sz="4" w:space="0"/>
              <w:right w:val="single" w:color="auto" w:sz="4" w:space="0"/>
            </w:tcBorders>
            <w:vAlign w:val="center"/>
          </w:tcPr>
          <w:p w14:paraId="230FD441">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1、基本情况：</w:t>
            </w:r>
          </w:p>
          <w:p w14:paraId="78965D1A">
            <w:pPr>
              <w:ind w:firstLine="420" w:firstLineChars="200"/>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现有冷链设备约290台，主要分布于血站本部，各捐血屋。设备涵盖医用血液、试剂冰箱、超低温冰箱、血小板振荡箱等类型。要求设备定期进行检测、校准，确保运行状态安全稳定，保障血液、试剂安全。</w:t>
            </w:r>
          </w:p>
          <w:p w14:paraId="56B504B8">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2、服务地点及设备分布：</w:t>
            </w:r>
          </w:p>
          <w:p w14:paraId="26A508B7">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（1）南宁市区内设备约250台：分布于南宁中心血站本部、南宁市内各捐血屋及采血车。</w:t>
            </w:r>
          </w:p>
          <w:p w14:paraId="65719F6C">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（2）南宁市区外设备约40台（医用血液冰箱）：分布于横州市、武鸣区、宾阳县、上林县、马山县、隆安县共8个捐血屋，。</w:t>
            </w:r>
          </w:p>
          <w:p w14:paraId="35F0025F">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3、冷链设备数量：</w:t>
            </w:r>
          </w:p>
          <w:p w14:paraId="5EC84659">
            <w:pPr>
              <w:ind w:firstLine="420" w:firstLineChars="200"/>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冷链设备总台数约为290台，其中医用血液、试剂冰箱约220台，超低温冰箱约45台，血小板振荡箱约25台，最终结算以实际检测、校准数量为准。</w:t>
            </w:r>
          </w:p>
          <w:p w14:paraId="12F085E5">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4、服务内容：</w:t>
            </w:r>
          </w:p>
          <w:p w14:paraId="1D9D4F4D">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（1）依据《环境试验设备温度、湿度参数校准规范JJF1101》等规范和标准对医用血液、试剂冰箱、超低温冰箱，血小板振荡箱等冷链设备进行检测、校准。</w:t>
            </w:r>
          </w:p>
          <w:p w14:paraId="2151D542">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（2）检测、校准所依据的规范和标准应符合现行国家最新相关标准。</w:t>
            </w:r>
          </w:p>
          <w:p w14:paraId="49EEAA69">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5、其他要求：</w:t>
            </w:r>
          </w:p>
          <w:p w14:paraId="7C80E435">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（1）结合采购人需求提供相应服务方案，用于项目评选参考。</w:t>
            </w:r>
          </w:p>
          <w:p w14:paraId="5B4A8298">
            <w:pPr>
              <w:jc w:val="left"/>
              <w:rPr>
                <w:rFonts w:ascii="宋体" w:cs="Times New Roman"/>
              </w:rPr>
            </w:pPr>
            <w:r>
              <w:rPr>
                <w:rFonts w:hint="eastAsia" w:ascii="宋体" w:hAnsi="宋体" w:eastAsia="宋体" w:cs="宋体"/>
                <w:b w:val="0"/>
                <w:bCs w:val="0"/>
                <w:sz w:val="21"/>
                <w:szCs w:val="21"/>
                <w:lang w:eastAsia="zh-CN"/>
              </w:rPr>
              <w:t>（2）提供类似业绩及服务能力水平等有关证明材料，用于项目评选参考。（如有请提供）</w:t>
            </w:r>
          </w:p>
        </w:tc>
        <w:tc>
          <w:tcPr>
            <w:tcW w:w="796"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120元/台</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6763BD74">
            <w:pPr>
              <w:rPr>
                <w:rFonts w:hint="eastAsia"/>
                <w:b w:val="0"/>
                <w:bCs w:val="0"/>
                <w:color w:val="auto"/>
                <w:sz w:val="21"/>
                <w:szCs w:val="21"/>
                <w:highlight w:val="none"/>
                <w:lang w:val="en-US" w:eastAsia="zh-CN"/>
              </w:rPr>
            </w:pPr>
            <w:r>
              <w:rPr>
                <w:rFonts w:hint="eastAsia"/>
                <w:b/>
                <w:bCs/>
                <w:color w:val="auto"/>
                <w:sz w:val="21"/>
                <w:szCs w:val="21"/>
                <w:highlight w:val="none"/>
                <w:lang w:val="en-US" w:eastAsia="zh-CN"/>
              </w:rPr>
              <w:t>一、合同签订期：</w:t>
            </w:r>
            <w:r>
              <w:rPr>
                <w:rFonts w:hint="eastAsia"/>
                <w:b w:val="0"/>
                <w:bCs w:val="0"/>
                <w:color w:val="auto"/>
                <w:sz w:val="21"/>
                <w:szCs w:val="21"/>
                <w:highlight w:val="none"/>
                <w:lang w:val="en-US" w:eastAsia="zh-CN"/>
              </w:rPr>
              <w:t>自成交通知书发出之日起 20 日内。</w:t>
            </w:r>
          </w:p>
          <w:p w14:paraId="66BABBDB">
            <w:pPr>
              <w:rPr>
                <w:rFonts w:hint="eastAsia"/>
                <w:b w:val="0"/>
                <w:bCs w:val="0"/>
                <w:color w:val="auto"/>
                <w:sz w:val="21"/>
                <w:szCs w:val="21"/>
                <w:highlight w:val="none"/>
                <w:lang w:val="en-US" w:eastAsia="zh-CN"/>
              </w:rPr>
            </w:pPr>
            <w:r>
              <w:rPr>
                <w:rFonts w:hint="eastAsia"/>
                <w:b/>
                <w:bCs/>
                <w:color w:val="auto"/>
                <w:sz w:val="21"/>
                <w:szCs w:val="21"/>
                <w:highlight w:val="none"/>
                <w:lang w:val="en-US" w:eastAsia="zh-CN"/>
              </w:rPr>
              <w:t>二、服务时间：</w:t>
            </w:r>
            <w:r>
              <w:rPr>
                <w:rFonts w:hint="eastAsia"/>
                <w:b w:val="0"/>
                <w:bCs w:val="0"/>
                <w:color w:val="auto"/>
                <w:sz w:val="21"/>
                <w:szCs w:val="21"/>
                <w:highlight w:val="none"/>
                <w:lang w:val="en-US" w:eastAsia="zh-CN"/>
              </w:rPr>
              <w:t>签订合同后30日内完成。</w:t>
            </w:r>
          </w:p>
          <w:p w14:paraId="471C2324">
            <w:pPr>
              <w:rPr>
                <w:rFonts w:hint="eastAsia"/>
                <w:b/>
                <w:bCs/>
                <w:color w:val="auto"/>
                <w:sz w:val="21"/>
                <w:szCs w:val="21"/>
                <w:highlight w:val="none"/>
                <w:lang w:val="en-US" w:eastAsia="zh-CN"/>
              </w:rPr>
            </w:pPr>
            <w:r>
              <w:rPr>
                <w:rFonts w:hint="eastAsia"/>
                <w:b/>
                <w:bCs/>
                <w:color w:val="auto"/>
                <w:sz w:val="21"/>
                <w:szCs w:val="21"/>
                <w:highlight w:val="none"/>
                <w:lang w:val="en-US" w:eastAsia="zh-CN"/>
              </w:rPr>
              <w:t>三、合同延续年限、条件和方式:</w:t>
            </w:r>
          </w:p>
          <w:p w14:paraId="3C3D832E">
            <w:pPr>
              <w:ind w:firstLine="420" w:firstLineChars="200"/>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2EA59F2B">
            <w:pPr>
              <w:rPr>
                <w:rFonts w:hint="eastAsia"/>
                <w:b w:val="0"/>
                <w:bCs w:val="0"/>
                <w:color w:val="auto"/>
                <w:sz w:val="21"/>
                <w:szCs w:val="21"/>
                <w:highlight w:val="none"/>
                <w:lang w:val="en-US" w:eastAsia="zh-CN"/>
              </w:rPr>
            </w:pPr>
            <w:r>
              <w:rPr>
                <w:rFonts w:hint="eastAsia"/>
                <w:b/>
                <w:bCs/>
                <w:color w:val="auto"/>
                <w:sz w:val="21"/>
                <w:szCs w:val="21"/>
                <w:highlight w:val="none"/>
                <w:lang w:val="en-US" w:eastAsia="zh-CN"/>
              </w:rPr>
              <w:t>四、提交服务成果地点：</w:t>
            </w:r>
            <w:r>
              <w:rPr>
                <w:rFonts w:hint="eastAsia"/>
                <w:b w:val="0"/>
                <w:bCs w:val="0"/>
                <w:color w:val="auto"/>
                <w:sz w:val="21"/>
                <w:szCs w:val="21"/>
                <w:highlight w:val="none"/>
                <w:lang w:val="en-US" w:eastAsia="zh-CN"/>
              </w:rPr>
              <w:t xml:space="preserve">南宁市区及南宁市县区。           </w:t>
            </w:r>
          </w:p>
          <w:p w14:paraId="225935F7">
            <w:pPr>
              <w:rPr>
                <w:rFonts w:hint="eastAsia"/>
                <w:b w:val="0"/>
                <w:bCs w:val="0"/>
                <w:color w:val="auto"/>
                <w:sz w:val="21"/>
                <w:szCs w:val="21"/>
                <w:highlight w:val="none"/>
                <w:lang w:val="en-US" w:eastAsia="zh-CN"/>
              </w:rPr>
            </w:pPr>
            <w:r>
              <w:rPr>
                <w:rFonts w:hint="eastAsia"/>
                <w:b/>
                <w:bCs/>
                <w:color w:val="auto"/>
                <w:sz w:val="21"/>
                <w:szCs w:val="21"/>
                <w:highlight w:val="none"/>
                <w:lang w:val="en-US" w:eastAsia="zh-CN"/>
              </w:rPr>
              <w:t>五、服务要求：</w:t>
            </w:r>
            <w:r>
              <w:rPr>
                <w:rFonts w:hint="eastAsia"/>
                <w:b w:val="0"/>
                <w:bCs w:val="0"/>
                <w:color w:val="auto"/>
                <w:sz w:val="21"/>
                <w:szCs w:val="21"/>
                <w:highlight w:val="none"/>
                <w:lang w:val="en-US" w:eastAsia="zh-CN"/>
              </w:rPr>
              <w:t xml:space="preserve">签订合同后30日内完成检测、校准，出具检测、校准相关证书/报告，并按要求对冷链设备粘贴检测、校准标签。    </w:t>
            </w:r>
          </w:p>
          <w:p w14:paraId="57D47C84">
            <w:pPr>
              <w:rPr>
                <w:rFonts w:hint="eastAsia"/>
                <w:b/>
                <w:bCs/>
                <w:color w:val="auto"/>
                <w:sz w:val="21"/>
                <w:szCs w:val="21"/>
                <w:highlight w:val="none"/>
                <w:lang w:val="en-US" w:eastAsia="zh-CN"/>
              </w:rPr>
            </w:pPr>
            <w:r>
              <w:rPr>
                <w:rFonts w:hint="eastAsia"/>
                <w:b/>
                <w:bCs/>
                <w:color w:val="auto"/>
                <w:sz w:val="21"/>
                <w:szCs w:val="21"/>
                <w:highlight w:val="none"/>
                <w:lang w:val="en-US" w:eastAsia="zh-CN"/>
              </w:rPr>
              <w:t>六、其他要求：</w:t>
            </w:r>
          </w:p>
          <w:p w14:paraId="2CCE186B">
            <w:pP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1、报价必须含以下部分:</w:t>
            </w:r>
          </w:p>
          <w:p w14:paraId="3E7B02FE">
            <w:pP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(1)服务价格;</w:t>
            </w:r>
          </w:p>
          <w:p w14:paraId="4C290E90">
            <w:pP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(2)各项费用包括:</w:t>
            </w:r>
          </w:p>
          <w:p w14:paraId="518E5068">
            <w:pP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①管理、工作人员的工资和按规定提取的福利费、保险费等。</w:t>
            </w:r>
          </w:p>
          <w:p w14:paraId="68F82B97">
            <w:pP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②工作人员修理检测等工具费用。</w:t>
            </w:r>
          </w:p>
          <w:p w14:paraId="72B06DC5">
            <w:pP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③培训、技术支持、售后服务等费用。</w:t>
            </w:r>
          </w:p>
          <w:p w14:paraId="77EEA362">
            <w:pP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④各种税费、差旅费等。</w:t>
            </w:r>
          </w:p>
          <w:p w14:paraId="0804F86C">
            <w:pPr>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 xml:space="preserve">2、报价已包含完成本项目所有工作任务、出具成果文件（校准相关证书、报告）所需的一切费用，采购人不再支付中标人除报价以外的任何费用。                      </w:t>
            </w:r>
          </w:p>
          <w:p w14:paraId="608D28A2">
            <w:pPr>
              <w:rPr>
                <w:rFonts w:ascii="宋体" w:hAnsi="宋体"/>
              </w:rPr>
            </w:pPr>
            <w:r>
              <w:rPr>
                <w:rFonts w:hint="eastAsia"/>
                <w:b w:val="0"/>
                <w:bCs w:val="0"/>
                <w:color w:val="auto"/>
                <w:sz w:val="21"/>
                <w:szCs w:val="21"/>
                <w:highlight w:val="none"/>
                <w:lang w:val="en-US" w:eastAsia="zh-CN"/>
              </w:rPr>
              <w:t>3、付款方式：以实际检测、校准设备数量结算，按实际票据清单核对检定、校准证书无误并验收合格后一次性支付服务款。（付款前中标人需开具等额合规的增值税普通发票）</w:t>
            </w:r>
            <w:r>
              <w:rPr>
                <w:rFonts w:hint="eastAsia"/>
              </w:rPr>
              <w:t xml:space="preserve">    </w:t>
            </w:r>
            <w:r>
              <w:rPr>
                <w:rFonts w:hint="eastAsia" w:ascii="宋体" w:hAnsi="宋体" w:eastAsia="宋体" w:cs="宋体"/>
                <w:szCs w:val="24"/>
              </w:rPr>
              <w:t xml:space="preserve"> </w:t>
            </w:r>
            <w:r>
              <w:rPr>
                <w:rFonts w:hint="eastAsia"/>
              </w:rPr>
              <w:t xml:space="preserve">             </w:t>
            </w:r>
          </w:p>
        </w:tc>
      </w:tr>
    </w:tbl>
    <w:p w14:paraId="71E99B0E">
      <w:pPr>
        <w:pStyle w:val="36"/>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2"/>
        <w:rPr>
          <w:rFonts w:hint="eastAsia"/>
        </w:rPr>
      </w:pPr>
    </w:p>
    <w:p w14:paraId="21407A9F">
      <w:pPr>
        <w:pStyle w:val="12"/>
        <w:rPr>
          <w:rFonts w:hint="eastAsia"/>
        </w:rPr>
      </w:pPr>
    </w:p>
    <w:p w14:paraId="2627A990">
      <w:pPr>
        <w:pStyle w:val="12"/>
        <w:rPr>
          <w:rFonts w:hint="eastAsia"/>
        </w:rPr>
      </w:pPr>
    </w:p>
    <w:p w14:paraId="6209508A">
      <w:pPr>
        <w:pStyle w:val="12"/>
        <w:rPr>
          <w:rFonts w:hint="eastAsia"/>
        </w:rPr>
      </w:pPr>
    </w:p>
    <w:p w14:paraId="050562B7">
      <w:pPr>
        <w:pStyle w:val="12"/>
        <w:rPr>
          <w:rFonts w:hint="eastAsia"/>
        </w:rPr>
      </w:pPr>
    </w:p>
    <w:p w14:paraId="01372AD1">
      <w:pPr>
        <w:pStyle w:val="12"/>
        <w:rPr>
          <w:rFonts w:hint="eastAsia"/>
        </w:rPr>
      </w:pPr>
    </w:p>
    <w:p w14:paraId="3549232F">
      <w:pPr>
        <w:pStyle w:val="12"/>
        <w:rPr>
          <w:rFonts w:hint="eastAsia"/>
        </w:rPr>
      </w:pPr>
    </w:p>
    <w:p w14:paraId="2C3AA47E">
      <w:pPr>
        <w:pStyle w:val="12"/>
        <w:rPr>
          <w:rFonts w:hint="eastAsia"/>
        </w:rPr>
      </w:pPr>
    </w:p>
    <w:p w14:paraId="731B2301">
      <w:pPr>
        <w:pStyle w:val="12"/>
        <w:rPr>
          <w:rFonts w:hint="eastAsia"/>
        </w:rPr>
      </w:pPr>
    </w:p>
    <w:p w14:paraId="0A047AFC">
      <w:pPr>
        <w:pStyle w:val="12"/>
        <w:rPr>
          <w:rFonts w:hint="eastAsia"/>
        </w:rPr>
      </w:pPr>
    </w:p>
    <w:p w14:paraId="3213B0E6">
      <w:pPr>
        <w:pStyle w:val="12"/>
        <w:rPr>
          <w:rFonts w:hint="eastAsia"/>
        </w:rPr>
      </w:pPr>
    </w:p>
    <w:p w14:paraId="7CA84130">
      <w:pPr>
        <w:pStyle w:val="12"/>
        <w:rPr>
          <w:rFonts w:hint="eastAsia"/>
        </w:rPr>
      </w:pPr>
    </w:p>
    <w:p w14:paraId="56DD2F2E">
      <w:pPr>
        <w:pStyle w:val="12"/>
        <w:rPr>
          <w:rFonts w:hint="eastAsia"/>
        </w:rPr>
      </w:pPr>
    </w:p>
    <w:p w14:paraId="29F009D7">
      <w:pPr>
        <w:pStyle w:val="12"/>
        <w:rPr>
          <w:rFonts w:hint="eastAsia"/>
        </w:rPr>
      </w:pPr>
    </w:p>
    <w:p w14:paraId="729FAA30">
      <w:pPr>
        <w:pStyle w:val="12"/>
        <w:rPr>
          <w:rFonts w:hint="eastAsia"/>
        </w:rPr>
      </w:pPr>
    </w:p>
    <w:p w14:paraId="4B963475">
      <w:pPr>
        <w:pStyle w:val="12"/>
        <w:rPr>
          <w:rFonts w:hint="eastAsia"/>
        </w:rPr>
      </w:pPr>
    </w:p>
    <w:p w14:paraId="17419703">
      <w:pPr>
        <w:pStyle w:val="12"/>
        <w:rPr>
          <w:rFonts w:hint="eastAsia"/>
        </w:rPr>
      </w:pPr>
    </w:p>
    <w:p w14:paraId="211FDCC3">
      <w:pPr>
        <w:pStyle w:val="12"/>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南宁中心血站2025年度冷链设备检测、校准服务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3B53E540">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南宁中心血站2025年度冷链设备检测、校准服务</w:t>
            </w:r>
          </w:p>
          <w:p w14:paraId="414F90AA">
            <w:pPr>
              <w:jc w:val="center"/>
              <w:rPr>
                <w:rFonts w:hint="eastAsia" w:ascii="宋体" w:hAnsi="宋体" w:eastAsia="宋体" w:cs="宋体"/>
                <w:kern w:val="0"/>
                <w:sz w:val="20"/>
                <w:szCs w:val="21"/>
                <w:lang w:val="zh-TW" w:eastAsia="zh-TW"/>
              </w:rPr>
            </w:pP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590C060D">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南宁中心血站2025年度冷链设备检测、校准服务</w:t>
            </w:r>
          </w:p>
        </w:tc>
        <w:tc>
          <w:tcPr>
            <w:tcW w:w="3157" w:type="dxa"/>
            <w:vAlign w:val="center"/>
          </w:tcPr>
          <w:p w14:paraId="038FCE26">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1、基本情况：</w:t>
            </w:r>
          </w:p>
          <w:p w14:paraId="32D964C9">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现有冷链设备约290台，主要分布于血站本部，各捐血屋。设备涵盖医用血液、试剂冰箱、超低温冰箱、血小板振荡箱等类型。要求设备定期进行检测、校准，确保运行状态安全稳定，保障血液、试剂安全。</w:t>
            </w:r>
          </w:p>
          <w:p w14:paraId="6E1894B1">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2、服务地点及设备分布：</w:t>
            </w:r>
          </w:p>
          <w:p w14:paraId="226BEF3A">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（1）南宁市区内设备约250台：分布于南宁中心血站本部、南宁市内各捐血屋及采血车。</w:t>
            </w:r>
          </w:p>
          <w:p w14:paraId="12EF7A39">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（2）南宁市区外设备约40台（医用血液冰箱）：分布于横州市、武鸣区、宾阳县、上林县、马山县、隆安县共8个捐血屋，。</w:t>
            </w:r>
          </w:p>
          <w:p w14:paraId="5C2A6C61">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3、冷链设备数量：</w:t>
            </w:r>
          </w:p>
          <w:p w14:paraId="542F374D">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冷链设备总台数约为290台，其中医用血液、试剂冰箱约220台，超低温冰箱约45台，血小板振荡箱约25台，最终结算以实际检测、校准数量为准。</w:t>
            </w:r>
          </w:p>
          <w:p w14:paraId="414A2F32">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4、服务内容：</w:t>
            </w:r>
          </w:p>
          <w:p w14:paraId="719EB2EB">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（1）依据《环境试验设备温度、湿度参数校准规范JJF1101》等规范和标准对医用血液、试剂冰箱、超低温冰箱，血小板振荡箱等冷链设备进行检测、校准。</w:t>
            </w:r>
          </w:p>
          <w:p w14:paraId="4EA6353F">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（2）检测、校准所依据的规范和标准应符合现行国家最新相关标准。</w:t>
            </w:r>
          </w:p>
          <w:p w14:paraId="54CE694D">
            <w:pPr>
              <w:jc w:val="left"/>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5、其他要求：</w:t>
            </w:r>
          </w:p>
          <w:p w14:paraId="23FF8226">
            <w:pPr>
              <w:jc w:val="lef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（1）结合采购人需求提供相应服务方案，用于项目评选参考。</w:t>
            </w:r>
          </w:p>
          <w:p w14:paraId="76A00BEB">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b w:val="0"/>
                <w:bCs w:val="0"/>
                <w:sz w:val="21"/>
                <w:szCs w:val="21"/>
                <w:lang w:eastAsia="zh-CN"/>
              </w:rPr>
              <w:t>（2）提供类似业绩及服务能力水平等有关证明材料，用于项目评选参考。（如有请提供）</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南宁中心血站2025年度冷链设备检测、校准服务</w:t>
            </w:r>
          </w:p>
        </w:tc>
        <w:tc>
          <w:tcPr>
            <w:tcW w:w="26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1A29199">
      <w:pPr>
        <w:rPr>
          <w:rFonts w:hint="eastAsia" w:ascii="仿宋" w:hAnsi="仿宋" w:eastAsia="仿宋"/>
          <w:color w:val="auto"/>
          <w:sz w:val="30"/>
          <w:szCs w:val="30"/>
        </w:rPr>
      </w:pPr>
    </w:p>
    <w:p w14:paraId="4D67A8AD">
      <w:pPr>
        <w:rPr>
          <w:rFonts w:hint="eastAsia" w:ascii="仿宋" w:hAnsi="仿宋" w:eastAsia="仿宋"/>
          <w:color w:val="auto"/>
          <w:sz w:val="30"/>
          <w:szCs w:val="30"/>
        </w:rPr>
      </w:pPr>
    </w:p>
    <w:p w14:paraId="01676D90">
      <w:pPr>
        <w:rPr>
          <w:rFonts w:hint="eastAsia" w:ascii="仿宋" w:hAnsi="仿宋" w:eastAsia="仿宋"/>
          <w:color w:val="auto"/>
          <w:sz w:val="30"/>
          <w:szCs w:val="30"/>
        </w:rPr>
      </w:pPr>
    </w:p>
    <w:p w14:paraId="3CC93943">
      <w:pPr>
        <w:rPr>
          <w:rFonts w:hint="eastAsia" w:ascii="仿宋" w:hAnsi="仿宋" w:eastAsia="仿宋"/>
          <w:color w:val="auto"/>
          <w:sz w:val="30"/>
          <w:szCs w:val="30"/>
        </w:rPr>
      </w:pPr>
    </w:p>
    <w:p w14:paraId="7C6B87A5">
      <w:pPr>
        <w:rPr>
          <w:rFonts w:hint="eastAsia" w:ascii="仿宋" w:hAnsi="仿宋" w:eastAsia="仿宋"/>
          <w:color w:val="auto"/>
          <w:sz w:val="30"/>
          <w:szCs w:val="30"/>
        </w:rPr>
      </w:pPr>
    </w:p>
    <w:p w14:paraId="0DF1B8B8">
      <w:pPr>
        <w:rPr>
          <w:rFonts w:hint="eastAsia" w:ascii="仿宋" w:hAnsi="仿宋" w:eastAsia="仿宋"/>
          <w:color w:val="auto"/>
          <w:sz w:val="30"/>
          <w:szCs w:val="30"/>
        </w:rPr>
      </w:pPr>
    </w:p>
    <w:p w14:paraId="21FC1CEA">
      <w:pPr>
        <w:rPr>
          <w:rFonts w:hint="eastAsia" w:ascii="仿宋" w:hAnsi="仿宋" w:eastAsia="仿宋"/>
          <w:color w:val="auto"/>
          <w:sz w:val="30"/>
          <w:szCs w:val="30"/>
        </w:rPr>
      </w:pPr>
    </w:p>
    <w:p w14:paraId="3180F49F">
      <w:pPr>
        <w:rPr>
          <w:rFonts w:hint="eastAsia" w:ascii="仿宋" w:hAnsi="仿宋" w:eastAsia="仿宋"/>
          <w:color w:val="auto"/>
          <w:sz w:val="30"/>
          <w:szCs w:val="30"/>
        </w:rPr>
      </w:pPr>
    </w:p>
    <w:p w14:paraId="1A54EF66">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合同签订期：</w:t>
            </w:r>
            <w:r>
              <w:rPr>
                <w:rFonts w:hint="eastAsia" w:ascii="宋体" w:hAnsi="宋体"/>
                <w:b w:val="0"/>
                <w:bCs w:val="0"/>
                <w:szCs w:val="21"/>
                <w:lang w:val="en-US" w:eastAsia="zh-CN"/>
              </w:rPr>
              <w:t>自成交通知书发出之日起 20 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2C4EAB2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服务时间：</w:t>
            </w:r>
            <w:r>
              <w:rPr>
                <w:rFonts w:hint="eastAsia" w:ascii="宋体" w:hAnsi="宋体" w:eastAsia="宋体" w:cs="Times New Roman"/>
                <w:b w:val="0"/>
                <w:bCs w:val="0"/>
                <w:kern w:val="2"/>
                <w:sz w:val="21"/>
                <w:szCs w:val="21"/>
                <w:lang w:val="en-US" w:eastAsia="zh-CN" w:bidi="ar-SA"/>
              </w:rPr>
              <w:t>签订合同后30日内完成</w:t>
            </w:r>
            <w:r>
              <w:rPr>
                <w:rFonts w:hint="eastAsia" w:ascii="宋体" w:hAnsi="宋体" w:cs="Times New Roman"/>
                <w:b w:val="0"/>
                <w:bCs w:val="0"/>
                <w:kern w:val="2"/>
                <w:sz w:val="21"/>
                <w:szCs w:val="21"/>
                <w:lang w:val="en-US" w:eastAsia="zh-CN" w:bidi="ar-SA"/>
              </w:rPr>
              <w:t>。</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38"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1580B245">
            <w:pPr>
              <w:pStyle w:val="9"/>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p>
          <w:p w14:paraId="5C6150AE">
            <w:pPr>
              <w:bidi w:val="0"/>
              <w:ind w:firstLine="420" w:firstLineChars="200"/>
              <w:rPr>
                <w:rFonts w:hint="eastAsia" w:asciiTheme="minorEastAsia" w:hAnsiTheme="minorEastAsia" w:eastAsiaTheme="minorEastAsia" w:cstheme="minorEastAsia"/>
                <w:color w:val="auto"/>
                <w:kern w:val="2"/>
                <w:szCs w:val="21"/>
                <w:lang w:val="en-US" w:eastAsia="zh-CN" w:bidi="ar-SA"/>
              </w:rPr>
            </w:pP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83D948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Times New Roman"/>
                <w:b/>
                <w:bCs/>
                <w:kern w:val="2"/>
                <w:sz w:val="21"/>
                <w:szCs w:val="21"/>
                <w:lang w:val="en-US" w:eastAsia="zh-CN" w:bidi="ar-SA"/>
              </w:rPr>
              <w:t>提交服务成果地点：</w:t>
            </w:r>
            <w:r>
              <w:rPr>
                <w:rFonts w:hint="eastAsia" w:ascii="宋体" w:hAnsi="宋体" w:eastAsia="宋体" w:cs="Times New Roman"/>
                <w:b w:val="0"/>
                <w:bCs w:val="0"/>
                <w:kern w:val="2"/>
                <w:sz w:val="21"/>
                <w:szCs w:val="21"/>
                <w:lang w:val="en-US" w:eastAsia="zh-CN" w:bidi="ar-SA"/>
              </w:rPr>
              <w:t>南宁市</w:t>
            </w:r>
            <w:r>
              <w:rPr>
                <w:rFonts w:hint="eastAsia" w:ascii="宋体" w:hAnsi="宋体" w:cs="Times New Roman"/>
                <w:b w:val="0"/>
                <w:bCs w:val="0"/>
                <w:kern w:val="2"/>
                <w:sz w:val="21"/>
                <w:szCs w:val="21"/>
                <w:lang w:val="en-US" w:eastAsia="zh-CN" w:bidi="ar-SA"/>
              </w:rPr>
              <w:t>区及南宁市县区</w:t>
            </w:r>
            <w:r>
              <w:rPr>
                <w:rFonts w:hint="eastAsia" w:ascii="宋体" w:hAnsi="宋体" w:eastAsia="宋体" w:cs="Times New Roman"/>
                <w:b w:val="0"/>
                <w:bCs w:val="0"/>
                <w:kern w:val="2"/>
                <w:sz w:val="21"/>
                <w:szCs w:val="21"/>
                <w:lang w:val="en-US" w:eastAsia="zh-CN" w:bidi="ar-SA"/>
              </w:rPr>
              <w:t xml:space="preserve">。  </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1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15E7C7C1">
            <w:pPr>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Times New Roman"/>
                <w:b/>
                <w:bCs/>
                <w:kern w:val="2"/>
                <w:sz w:val="21"/>
                <w:szCs w:val="21"/>
                <w:lang w:val="en-US" w:eastAsia="zh-CN" w:bidi="ar-SA"/>
              </w:rPr>
              <w:t>服务要求：</w:t>
            </w:r>
            <w:r>
              <w:rPr>
                <w:rFonts w:hint="eastAsia" w:ascii="宋体" w:hAnsi="宋体" w:eastAsia="宋体" w:cs="Times New Roman"/>
                <w:b w:val="0"/>
                <w:bCs w:val="0"/>
                <w:kern w:val="2"/>
                <w:sz w:val="21"/>
                <w:szCs w:val="21"/>
                <w:lang w:val="en-US" w:eastAsia="zh-CN" w:bidi="ar-SA"/>
              </w:rPr>
              <w:t>签订合同后30日内完成检测、校准，出具检测、校准相关证书/报告，并按要求对冷链设备粘贴检测、校准标签。</w:t>
            </w:r>
            <w:r>
              <w:rPr>
                <w:rFonts w:hint="eastAsia"/>
                <w:color w:val="auto"/>
                <w:sz w:val="21"/>
                <w:szCs w:val="21"/>
                <w:highlight w:val="none"/>
                <w:lang w:val="en-US" w:eastAsia="zh-CN"/>
              </w:rPr>
              <w:t xml:space="preserve"> </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021078C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其他要求：</w:t>
            </w:r>
          </w:p>
          <w:p w14:paraId="11C10CCE">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w:t>
            </w:r>
          </w:p>
          <w:p w14:paraId="2325C9E7">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(1)服务价格;</w:t>
            </w:r>
          </w:p>
          <w:p w14:paraId="41CC1362">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(2)各项费用包括:</w:t>
            </w:r>
          </w:p>
          <w:p w14:paraId="3CBF10C2">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①管理、工作人员的工资和按规定提取的福利费、保险费等。</w:t>
            </w:r>
          </w:p>
          <w:p w14:paraId="3A8B7BC4">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②工作人员修理检测等工具费用。</w:t>
            </w:r>
          </w:p>
          <w:p w14:paraId="5EB98529">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③培训、技术支持、售后服务等费用。</w:t>
            </w:r>
          </w:p>
          <w:p w14:paraId="7A9A0624">
            <w:pPr>
              <w:keepNext w:val="0"/>
              <w:keepLines w:val="0"/>
              <w:pageBreakBefore w:val="0"/>
              <w:widowControl/>
              <w:shd w:val="clear" w:color="auto"/>
              <w:kinsoku/>
              <w:wordWrap/>
              <w:overflowPunct/>
              <w:topLinePunct w:val="0"/>
              <w:autoSpaceDE/>
              <w:autoSpaceDN/>
              <w:bidi w:val="0"/>
              <w:adjustRightInd/>
              <w:spacing w:line="240" w:lineRule="auto"/>
              <w:ind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④各种税费、差旅费等。</w:t>
            </w:r>
          </w:p>
          <w:p w14:paraId="0E442AF6">
            <w:pPr>
              <w:keepNext w:val="0"/>
              <w:keepLines w:val="0"/>
              <w:pageBreakBefore w:val="0"/>
              <w:widowControl/>
              <w:numPr>
                <w:ilvl w:val="-1"/>
                <w:numId w:val="0"/>
              </w:numPr>
              <w:shd w:val="clear" w:color="auto"/>
              <w:kinsoku/>
              <w:wordWrap/>
              <w:overflowPunct/>
              <w:topLinePunct w:val="0"/>
              <w:autoSpaceDE/>
              <w:autoSpaceDN/>
              <w:bidi w:val="0"/>
              <w:adjustRightInd/>
              <w:spacing w:line="240" w:lineRule="auto"/>
              <w:ind w:leftChars="0" w:firstLine="0" w:firstLineChars="0"/>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2、报价已包含完成本项目所有工作任务、出具成果文件（校准相关证书、报告）所需的一切费用，采购人不再支付中标人除报价以外的任何费用。                      </w:t>
            </w:r>
          </w:p>
          <w:p w14:paraId="6D347A66">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val="0"/>
                <w:bCs w:val="0"/>
                <w:szCs w:val="21"/>
                <w:lang w:val="en-US" w:eastAsia="zh-CN"/>
              </w:rPr>
              <w:t>3、付款方式：</w:t>
            </w:r>
            <w:r>
              <w:rPr>
                <w:rFonts w:hint="eastAsia" w:ascii="宋体" w:hAnsi="宋体" w:eastAsia="宋体" w:cs="Times New Roman"/>
                <w:b w:val="0"/>
                <w:bCs w:val="0"/>
                <w:szCs w:val="21"/>
                <w:lang w:val="en-US" w:eastAsia="zh-CN"/>
              </w:rPr>
              <w:t>以实际检测、校准</w:t>
            </w:r>
            <w:r>
              <w:rPr>
                <w:rFonts w:hint="eastAsia" w:ascii="宋体" w:hAnsi="宋体" w:cs="Times New Roman"/>
                <w:b w:val="0"/>
                <w:bCs w:val="0"/>
                <w:szCs w:val="21"/>
                <w:lang w:val="en-US" w:eastAsia="zh-CN"/>
              </w:rPr>
              <w:t>设备</w:t>
            </w:r>
            <w:r>
              <w:rPr>
                <w:rFonts w:hint="eastAsia" w:ascii="宋体" w:hAnsi="宋体" w:eastAsia="宋体" w:cs="Times New Roman"/>
                <w:b w:val="0"/>
                <w:bCs w:val="0"/>
                <w:szCs w:val="21"/>
                <w:lang w:val="en-US" w:eastAsia="zh-CN"/>
              </w:rPr>
              <w:t>数量</w:t>
            </w:r>
            <w:r>
              <w:rPr>
                <w:rFonts w:hint="eastAsia" w:ascii="宋体" w:hAnsi="宋体" w:cs="Times New Roman"/>
                <w:b w:val="0"/>
                <w:bCs w:val="0"/>
                <w:szCs w:val="21"/>
                <w:lang w:val="en-US" w:eastAsia="zh-CN"/>
              </w:rPr>
              <w:t>结算</w:t>
            </w:r>
            <w:r>
              <w:rPr>
                <w:rFonts w:hint="eastAsia" w:ascii="宋体" w:hAnsi="宋体" w:eastAsia="宋体" w:cs="Times New Roman"/>
                <w:b w:val="0"/>
                <w:bCs w:val="0"/>
                <w:szCs w:val="21"/>
                <w:lang w:val="en-US" w:eastAsia="zh-CN"/>
              </w:rPr>
              <w:t>，按实际票据清单核对检定、校准证书无误</w:t>
            </w:r>
            <w:r>
              <w:rPr>
                <w:rFonts w:hint="eastAsia" w:ascii="宋体" w:hAnsi="宋体" w:cs="Times New Roman"/>
                <w:b w:val="0"/>
                <w:bCs w:val="0"/>
                <w:szCs w:val="21"/>
                <w:lang w:val="en-US" w:eastAsia="zh-CN"/>
              </w:rPr>
              <w:t>并</w:t>
            </w:r>
            <w:r>
              <w:rPr>
                <w:rFonts w:hint="eastAsia" w:ascii="宋体" w:hAnsi="宋体" w:eastAsia="宋体" w:cs="Times New Roman"/>
                <w:b w:val="0"/>
                <w:bCs w:val="0"/>
                <w:szCs w:val="21"/>
                <w:lang w:val="en-US" w:eastAsia="zh-CN"/>
              </w:rPr>
              <w:t>验收合格后一次性</w:t>
            </w:r>
            <w:r>
              <w:rPr>
                <w:rFonts w:hint="eastAsia" w:ascii="宋体" w:hAnsi="宋体" w:cs="Times New Roman"/>
                <w:b w:val="0"/>
                <w:bCs w:val="0"/>
                <w:szCs w:val="21"/>
                <w:lang w:val="en-US" w:eastAsia="zh-CN"/>
              </w:rPr>
              <w:t>支付服务</w:t>
            </w:r>
            <w:bookmarkStart w:id="18" w:name="_GoBack"/>
            <w:bookmarkEnd w:id="18"/>
            <w:r>
              <w:rPr>
                <w:rFonts w:hint="eastAsia" w:ascii="宋体" w:hAnsi="宋体" w:cs="Times New Roman"/>
                <w:b w:val="0"/>
                <w:bCs w:val="0"/>
                <w:szCs w:val="21"/>
                <w:lang w:val="en-US" w:eastAsia="zh-CN"/>
              </w:rPr>
              <w:t>款</w:t>
            </w:r>
            <w:r>
              <w:rPr>
                <w:rFonts w:hint="eastAsia" w:ascii="宋体" w:hAnsi="宋体" w:eastAsia="宋体" w:cs="Times New Roman"/>
                <w:b w:val="0"/>
                <w:bCs w:val="0"/>
                <w:szCs w:val="21"/>
                <w:lang w:val="en-US" w:eastAsia="zh-CN"/>
              </w:rPr>
              <w:t>。</w:t>
            </w:r>
            <w:r>
              <w:rPr>
                <w:rFonts w:hint="eastAsia" w:ascii="宋体" w:hAnsi="宋体" w:cs="Times New Roman"/>
                <w:b w:val="0"/>
                <w:bCs w:val="0"/>
                <w:szCs w:val="21"/>
                <w:lang w:val="en-US" w:eastAsia="zh-CN"/>
              </w:rPr>
              <w:t>（</w:t>
            </w:r>
            <w:r>
              <w:rPr>
                <w:rFonts w:hint="eastAsia" w:ascii="宋体" w:hAnsi="宋体" w:eastAsia="宋体" w:cs="Times New Roman"/>
                <w:b w:val="0"/>
                <w:bCs w:val="0"/>
                <w:szCs w:val="21"/>
                <w:lang w:val="en-US" w:eastAsia="zh-CN"/>
              </w:rPr>
              <w:t>付款前</w:t>
            </w:r>
            <w:r>
              <w:rPr>
                <w:rFonts w:hint="eastAsia" w:ascii="宋体" w:hAnsi="宋体" w:cs="Times New Roman"/>
                <w:b w:val="0"/>
                <w:bCs w:val="0"/>
                <w:szCs w:val="21"/>
                <w:lang w:val="en-US" w:eastAsia="zh-CN"/>
              </w:rPr>
              <w:t>中标人</w:t>
            </w:r>
            <w:r>
              <w:rPr>
                <w:rFonts w:hint="eastAsia" w:ascii="宋体" w:hAnsi="宋体" w:eastAsia="宋体" w:cs="Times New Roman"/>
                <w:b w:val="0"/>
                <w:bCs w:val="0"/>
                <w:szCs w:val="21"/>
                <w:lang w:val="en-US" w:eastAsia="zh-CN"/>
              </w:rPr>
              <w:t>需开具</w:t>
            </w:r>
            <w:r>
              <w:rPr>
                <w:rFonts w:hint="eastAsia" w:ascii="宋体" w:hAnsi="宋体" w:cs="Times New Roman"/>
                <w:b w:val="0"/>
                <w:bCs w:val="0"/>
                <w:szCs w:val="21"/>
                <w:lang w:val="en-US" w:eastAsia="zh-CN"/>
              </w:rPr>
              <w:t>等额合规</w:t>
            </w:r>
            <w:r>
              <w:rPr>
                <w:rFonts w:hint="eastAsia" w:ascii="宋体" w:hAnsi="宋体" w:eastAsia="宋体" w:cs="Times New Roman"/>
                <w:b w:val="0"/>
                <w:bCs w:val="0"/>
                <w:szCs w:val="21"/>
                <w:lang w:val="en-US" w:eastAsia="zh-CN"/>
              </w:rPr>
              <w:t>的增值税</w:t>
            </w:r>
            <w:r>
              <w:rPr>
                <w:rFonts w:hint="eastAsia" w:ascii="宋体" w:hAnsi="宋体" w:cs="Times New Roman"/>
                <w:b w:val="0"/>
                <w:bCs w:val="0"/>
                <w:szCs w:val="21"/>
                <w:lang w:val="en-US" w:eastAsia="zh-CN"/>
              </w:rPr>
              <w:t>普通</w:t>
            </w:r>
            <w:r>
              <w:rPr>
                <w:rFonts w:hint="eastAsia" w:ascii="宋体" w:hAnsi="宋体" w:eastAsia="宋体" w:cs="Times New Roman"/>
                <w:b w:val="0"/>
                <w:bCs w:val="0"/>
                <w:szCs w:val="21"/>
                <w:lang w:val="en-US" w:eastAsia="zh-CN"/>
              </w:rPr>
              <w:t>发票</w:t>
            </w:r>
            <w:r>
              <w:rPr>
                <w:rFonts w:hint="eastAsia" w:ascii="宋体" w:hAnsi="宋体" w:cs="Times New Roman"/>
                <w:b w:val="0"/>
                <w:bCs w:val="0"/>
                <w:szCs w:val="21"/>
                <w:lang w:val="en-US" w:eastAsia="zh-CN"/>
              </w:rPr>
              <w:t>）</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4"/>
        <w:rPr>
          <w:rFonts w:hint="eastAsia" w:asciiTheme="minorEastAsia" w:hAnsiTheme="minorEastAsia" w:eastAsiaTheme="minorEastAsia" w:cstheme="minorEastAsia"/>
          <w:color w:val="auto"/>
          <w:kern w:val="2"/>
          <w:sz w:val="21"/>
          <w:szCs w:val="21"/>
          <w:lang w:val="en-US" w:eastAsia="zh-CN" w:bidi="ar-SA"/>
        </w:rPr>
      </w:pPr>
    </w:p>
    <w:p w14:paraId="76A0E463">
      <w:pPr>
        <w:pStyle w:val="4"/>
        <w:rPr>
          <w:rFonts w:hint="eastAsia" w:asciiTheme="minorEastAsia" w:hAnsiTheme="minorEastAsia" w:eastAsiaTheme="minorEastAsia" w:cstheme="minorEastAsia"/>
          <w:color w:val="auto"/>
          <w:kern w:val="2"/>
          <w:sz w:val="21"/>
          <w:szCs w:val="21"/>
          <w:lang w:val="en-US" w:eastAsia="zh-CN" w:bidi="ar-SA"/>
        </w:rPr>
      </w:pPr>
    </w:p>
    <w:p w14:paraId="0D3EB538">
      <w:pPr>
        <w:pStyle w:val="4"/>
        <w:rPr>
          <w:rFonts w:hint="eastAsia" w:asciiTheme="minorEastAsia" w:hAnsiTheme="minorEastAsia" w:eastAsiaTheme="minorEastAsia" w:cstheme="minorEastAsia"/>
          <w:color w:val="auto"/>
          <w:kern w:val="2"/>
          <w:sz w:val="21"/>
          <w:szCs w:val="21"/>
          <w:lang w:val="en-US" w:eastAsia="zh-CN" w:bidi="ar-SA"/>
        </w:rPr>
      </w:pPr>
    </w:p>
    <w:p w14:paraId="62865823">
      <w:pPr>
        <w:pStyle w:val="4"/>
        <w:rPr>
          <w:rFonts w:hint="eastAsia" w:asciiTheme="minorEastAsia" w:hAnsiTheme="minorEastAsia" w:eastAsiaTheme="minorEastAsia" w:cstheme="minorEastAsia"/>
          <w:color w:val="auto"/>
          <w:kern w:val="2"/>
          <w:sz w:val="21"/>
          <w:szCs w:val="21"/>
          <w:lang w:val="en-US" w:eastAsia="zh-CN" w:bidi="ar-SA"/>
        </w:rPr>
      </w:pPr>
    </w:p>
    <w:p w14:paraId="355B3326">
      <w:pPr>
        <w:pStyle w:val="4"/>
        <w:rPr>
          <w:rFonts w:hint="eastAsia" w:asciiTheme="minorEastAsia" w:hAnsiTheme="minorEastAsia" w:eastAsiaTheme="minorEastAsia" w:cstheme="minorEastAsia"/>
          <w:color w:val="auto"/>
          <w:kern w:val="2"/>
          <w:sz w:val="21"/>
          <w:szCs w:val="21"/>
          <w:lang w:val="en-US" w:eastAsia="zh-CN" w:bidi="ar-SA"/>
        </w:rPr>
      </w:pPr>
    </w:p>
    <w:p w14:paraId="1413B680">
      <w:pPr>
        <w:pStyle w:val="6"/>
        <w:spacing w:line="560" w:lineRule="exact"/>
        <w:rPr>
          <w:rFonts w:hint="eastAsia" w:ascii="仿宋" w:hAnsi="仿宋" w:eastAsia="仿宋" w:cstheme="minorEastAsia"/>
          <w:color w:val="auto"/>
          <w:sz w:val="28"/>
          <w:szCs w:val="28"/>
        </w:rPr>
      </w:pPr>
    </w:p>
    <w:p w14:paraId="0B21A7DA">
      <w:pPr>
        <w:pStyle w:val="6"/>
        <w:spacing w:line="560" w:lineRule="exact"/>
        <w:rPr>
          <w:rFonts w:hint="eastAsia" w:ascii="仿宋" w:hAnsi="仿宋" w:eastAsia="仿宋" w:cstheme="minorEastAsia"/>
          <w:color w:val="auto"/>
          <w:sz w:val="28"/>
          <w:szCs w:val="28"/>
        </w:rPr>
      </w:pPr>
    </w:p>
    <w:p w14:paraId="482C9270">
      <w:pPr>
        <w:pStyle w:val="6"/>
        <w:spacing w:line="560" w:lineRule="exact"/>
        <w:rPr>
          <w:rFonts w:hint="eastAsia" w:ascii="仿宋" w:hAnsi="仿宋" w:eastAsia="仿宋" w:cstheme="minorEastAsia"/>
          <w:color w:val="auto"/>
          <w:sz w:val="28"/>
          <w:szCs w:val="28"/>
        </w:rPr>
      </w:pPr>
    </w:p>
    <w:p w14:paraId="75EBDFCC">
      <w:pPr>
        <w:pStyle w:val="6"/>
        <w:spacing w:line="560" w:lineRule="exact"/>
        <w:rPr>
          <w:rFonts w:hint="eastAsia" w:ascii="仿宋" w:hAnsi="仿宋" w:eastAsia="仿宋" w:cstheme="minorEastAsia"/>
          <w:color w:val="auto"/>
          <w:sz w:val="28"/>
          <w:szCs w:val="28"/>
        </w:rPr>
      </w:pPr>
    </w:p>
    <w:p w14:paraId="71A2E006">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南宁中心血站2025年度冷链设备检测、校准服务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6318D55-B8CC-450C-9C91-37A9941551F8}"/>
  </w:font>
  <w:font w:name="Courier New">
    <w:panose1 w:val="02070309020205020404"/>
    <w:charset w:val="01"/>
    <w:family w:val="modern"/>
    <w:pitch w:val="default"/>
    <w:sig w:usb0="E0002EFF" w:usb1="C0007843" w:usb2="00000009" w:usb3="00000000" w:csb0="400001FF" w:csb1="FFFF0000"/>
    <w:embedRegular r:id="rId2" w:fontKey="{2B2FCD58-11CA-4C64-B3AF-4DD0D17B5D2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FD340D6-1CE9-4285-A702-C792AA0F1019}"/>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3D32C26-42E8-46F1-A85F-92C7136508A0}"/>
  </w:font>
  <w:font w:name="仿宋_GB2312">
    <w:panose1 w:val="02010609030101010101"/>
    <w:charset w:val="86"/>
    <w:family w:val="modern"/>
    <w:pitch w:val="default"/>
    <w:sig w:usb0="00000001" w:usb1="080E0000" w:usb2="00000000" w:usb3="00000000" w:csb0="00040000" w:csb1="00000000"/>
    <w:embedRegular r:id="rId5" w:fontKey="{C3F80EAC-3864-41B2-B07A-A6CCDC7155AD}"/>
  </w:font>
  <w:font w:name="Lucida Sans Unicode">
    <w:panose1 w:val="020B0602030504020204"/>
    <w:charset w:val="00"/>
    <w:family w:val="swiss"/>
    <w:pitch w:val="default"/>
    <w:sig w:usb0="80001AFF" w:usb1="0000396B" w:usb2="00000000" w:usb3="00000000" w:csb0="200000BF" w:csb1="D7F70000"/>
    <w:embedRegular r:id="rId6" w:fontKey="{85178FEE-857E-4960-B61E-75F31612F720}"/>
  </w:font>
  <w:font w:name="方正楷体_GB2312">
    <w:panose1 w:val="02000000000000000000"/>
    <w:charset w:val="86"/>
    <w:family w:val="auto"/>
    <w:pitch w:val="default"/>
    <w:sig w:usb0="A00002BF" w:usb1="184F6CFA" w:usb2="00000012" w:usb3="00000000" w:csb0="00040001" w:csb1="00000000"/>
    <w:embedRegular r:id="rId7" w:fontKey="{0DE9B7F1-3414-4643-995A-2FC77D72252C}"/>
  </w:font>
  <w:font w:name="仿宋">
    <w:panose1 w:val="02010609060101010101"/>
    <w:charset w:val="86"/>
    <w:family w:val="modern"/>
    <w:pitch w:val="default"/>
    <w:sig w:usb0="800002BF" w:usb1="38CF7CFA" w:usb2="00000016" w:usb3="00000000" w:csb0="00040001" w:csb1="00000000"/>
    <w:embedRegular r:id="rId8" w:fontKey="{FDA46DF8-E7C7-46DE-BF23-63BAC55596F8}"/>
  </w:font>
  <w:font w:name="Wingdings 2">
    <w:panose1 w:val="05020102010507070707"/>
    <w:charset w:val="02"/>
    <w:family w:val="roman"/>
    <w:pitch w:val="default"/>
    <w:sig w:usb0="00000000" w:usb1="00000000" w:usb2="00000000" w:usb3="00000000" w:csb0="80000000" w:csb1="00000000"/>
    <w:embedRegular r:id="rId9" w:fontKey="{34522E88-29F0-4673-BE45-F2687D2EE1B4}"/>
  </w:font>
  <w:font w:name="方正公文小标宋">
    <w:panose1 w:val="02000500000000000000"/>
    <w:charset w:val="86"/>
    <w:family w:val="auto"/>
    <w:pitch w:val="default"/>
    <w:sig w:usb0="A00002BF" w:usb1="38CF7CFA" w:usb2="00000016" w:usb3="00000000" w:csb0="00040001" w:csb1="00000000"/>
    <w:embedRegular r:id="rId10" w:fontKey="{7431D210-7675-4375-88A5-F46C012DF49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6B1259"/>
    <w:rsid w:val="02D74B40"/>
    <w:rsid w:val="02F15A46"/>
    <w:rsid w:val="031B2C7F"/>
    <w:rsid w:val="0350496E"/>
    <w:rsid w:val="03670C57"/>
    <w:rsid w:val="03937D91"/>
    <w:rsid w:val="046C750A"/>
    <w:rsid w:val="047A748A"/>
    <w:rsid w:val="05040F0B"/>
    <w:rsid w:val="05154836"/>
    <w:rsid w:val="08517143"/>
    <w:rsid w:val="0B656E1E"/>
    <w:rsid w:val="0C0A5403"/>
    <w:rsid w:val="0C145497"/>
    <w:rsid w:val="0DBF3613"/>
    <w:rsid w:val="0DC81C4F"/>
    <w:rsid w:val="0F2E5AE8"/>
    <w:rsid w:val="10D74B39"/>
    <w:rsid w:val="1194486F"/>
    <w:rsid w:val="12C67FE1"/>
    <w:rsid w:val="14DC1B42"/>
    <w:rsid w:val="15D77522"/>
    <w:rsid w:val="16022C53"/>
    <w:rsid w:val="16F969DB"/>
    <w:rsid w:val="177D28D5"/>
    <w:rsid w:val="18504D21"/>
    <w:rsid w:val="18ED07C2"/>
    <w:rsid w:val="19A5109C"/>
    <w:rsid w:val="1B1F4E7E"/>
    <w:rsid w:val="1B2F36F2"/>
    <w:rsid w:val="1B5C39DD"/>
    <w:rsid w:val="1C9D2311"/>
    <w:rsid w:val="1CFD0F69"/>
    <w:rsid w:val="1D1B7434"/>
    <w:rsid w:val="1E4569AA"/>
    <w:rsid w:val="1E4824ED"/>
    <w:rsid w:val="1E6848B0"/>
    <w:rsid w:val="1EC97AD9"/>
    <w:rsid w:val="20EC5803"/>
    <w:rsid w:val="22794E74"/>
    <w:rsid w:val="22DC5488"/>
    <w:rsid w:val="23DF7159"/>
    <w:rsid w:val="24880C9A"/>
    <w:rsid w:val="24C95406"/>
    <w:rsid w:val="25030284"/>
    <w:rsid w:val="27392E24"/>
    <w:rsid w:val="2758774E"/>
    <w:rsid w:val="2A3A75DF"/>
    <w:rsid w:val="2A9B5BE2"/>
    <w:rsid w:val="2BAB4636"/>
    <w:rsid w:val="2BEE5268"/>
    <w:rsid w:val="2BF57C61"/>
    <w:rsid w:val="2C752B50"/>
    <w:rsid w:val="2CED0939"/>
    <w:rsid w:val="2D7E5110"/>
    <w:rsid w:val="2E620CC5"/>
    <w:rsid w:val="2EB76AF9"/>
    <w:rsid w:val="2F4A332F"/>
    <w:rsid w:val="31DE6E0A"/>
    <w:rsid w:val="32A86C88"/>
    <w:rsid w:val="34711E4F"/>
    <w:rsid w:val="34806536"/>
    <w:rsid w:val="35234768"/>
    <w:rsid w:val="35AD02FE"/>
    <w:rsid w:val="35C3060D"/>
    <w:rsid w:val="35CA2F0A"/>
    <w:rsid w:val="36323860"/>
    <w:rsid w:val="380D6333"/>
    <w:rsid w:val="38575800"/>
    <w:rsid w:val="388C54AA"/>
    <w:rsid w:val="38DD5D05"/>
    <w:rsid w:val="38E946AA"/>
    <w:rsid w:val="39254A49"/>
    <w:rsid w:val="3A155D47"/>
    <w:rsid w:val="3AB72586"/>
    <w:rsid w:val="3BF55114"/>
    <w:rsid w:val="3E03620E"/>
    <w:rsid w:val="3EC14DCA"/>
    <w:rsid w:val="3EDF7B5A"/>
    <w:rsid w:val="3EF757D7"/>
    <w:rsid w:val="3F794BDA"/>
    <w:rsid w:val="41431D95"/>
    <w:rsid w:val="41455C40"/>
    <w:rsid w:val="41717D14"/>
    <w:rsid w:val="437E1E93"/>
    <w:rsid w:val="444D69AF"/>
    <w:rsid w:val="44942BEF"/>
    <w:rsid w:val="454C2B49"/>
    <w:rsid w:val="45D636A5"/>
    <w:rsid w:val="45EF323D"/>
    <w:rsid w:val="49575660"/>
    <w:rsid w:val="495E2059"/>
    <w:rsid w:val="49CF5B75"/>
    <w:rsid w:val="49DE5B2D"/>
    <w:rsid w:val="4A2E27D8"/>
    <w:rsid w:val="4B7122DD"/>
    <w:rsid w:val="4BBE19C6"/>
    <w:rsid w:val="4BE930B0"/>
    <w:rsid w:val="4DF267BC"/>
    <w:rsid w:val="4E451EC7"/>
    <w:rsid w:val="4F0B33B8"/>
    <w:rsid w:val="508825A3"/>
    <w:rsid w:val="50901C87"/>
    <w:rsid w:val="5099641F"/>
    <w:rsid w:val="511030CC"/>
    <w:rsid w:val="526F3A1A"/>
    <w:rsid w:val="539011C5"/>
    <w:rsid w:val="53DA23BC"/>
    <w:rsid w:val="53E47AF0"/>
    <w:rsid w:val="54077FBB"/>
    <w:rsid w:val="541C5F97"/>
    <w:rsid w:val="54714A29"/>
    <w:rsid w:val="5522237F"/>
    <w:rsid w:val="55731FB9"/>
    <w:rsid w:val="56B440F1"/>
    <w:rsid w:val="5745560C"/>
    <w:rsid w:val="57671164"/>
    <w:rsid w:val="58B629CB"/>
    <w:rsid w:val="59401951"/>
    <w:rsid w:val="59DB7BE7"/>
    <w:rsid w:val="5B2D3245"/>
    <w:rsid w:val="5B71396D"/>
    <w:rsid w:val="5C81097C"/>
    <w:rsid w:val="5DFB7A90"/>
    <w:rsid w:val="5F443AD7"/>
    <w:rsid w:val="60884935"/>
    <w:rsid w:val="61F52ED8"/>
    <w:rsid w:val="6213192F"/>
    <w:rsid w:val="63267838"/>
    <w:rsid w:val="63957059"/>
    <w:rsid w:val="667523D3"/>
    <w:rsid w:val="66F31915"/>
    <w:rsid w:val="674A2C89"/>
    <w:rsid w:val="69C60B52"/>
    <w:rsid w:val="6A0A3D2C"/>
    <w:rsid w:val="6AC63F9C"/>
    <w:rsid w:val="6B311A3F"/>
    <w:rsid w:val="6BE16838"/>
    <w:rsid w:val="6F15104E"/>
    <w:rsid w:val="7030084F"/>
    <w:rsid w:val="703B4AE4"/>
    <w:rsid w:val="71596F70"/>
    <w:rsid w:val="718A5132"/>
    <w:rsid w:val="71A92322"/>
    <w:rsid w:val="71BD7A27"/>
    <w:rsid w:val="71C86016"/>
    <w:rsid w:val="71CD28BF"/>
    <w:rsid w:val="726C367A"/>
    <w:rsid w:val="732B5B1E"/>
    <w:rsid w:val="745C607B"/>
    <w:rsid w:val="75CC2D87"/>
    <w:rsid w:val="7877401B"/>
    <w:rsid w:val="78CC1807"/>
    <w:rsid w:val="792579EC"/>
    <w:rsid w:val="7A19098A"/>
    <w:rsid w:val="7AAD6DF1"/>
    <w:rsid w:val="7B430CF1"/>
    <w:rsid w:val="7B5E6224"/>
    <w:rsid w:val="7C1867F4"/>
    <w:rsid w:val="7C4223E5"/>
    <w:rsid w:val="7C812D3F"/>
    <w:rsid w:val="7D9D65DA"/>
    <w:rsid w:val="7DA21751"/>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 w:type="character" w:customStyle="1" w:styleId="37">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9256</Words>
  <Characters>9719</Characters>
  <Lines>39</Lines>
  <Paragraphs>11</Paragraphs>
  <TotalTime>0</TotalTime>
  <ScaleCrop>false</ScaleCrop>
  <LinksUpToDate>false</LinksUpToDate>
  <CharactersWithSpaces>11143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2025-07-07T03:11:30Z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