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760D626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项目名称：南宁中心血站2025年淡季无偿献血宣传品（洗衣粉）采购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37</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8</w:t>
      </w:r>
      <w:r>
        <w:rPr>
          <w:rFonts w:hint="eastAsia" w:ascii="仿宋_GB2312" w:hAnsi="Courier New" w:eastAsia="仿宋_GB2312" w:cs="Courier New"/>
          <w:b/>
          <w:bCs/>
          <w:color w:val="000000"/>
          <w:kern w:val="0"/>
          <w:sz w:val="32"/>
          <w:szCs w:val="32"/>
          <w:lang w:val="zh-TW" w:eastAsia="zh-TW"/>
        </w:rPr>
        <w:t>月</w:t>
      </w:r>
    </w:p>
    <w:p w14:paraId="14CCDB7F">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南宁中心血站2025年淡季无偿献血宣传品（洗衣粉）采购</w:t>
      </w:r>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南宁中心血站按照采购计划对南宁中心血站2025年淡季无偿献血宣传品（洗衣粉）进行采购，现就该项目邀请具有资质的单位进行响应，采购信息如下：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37</w:t>
      </w:r>
    </w:p>
    <w:p w14:paraId="754A102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项目名称：南宁中心血站2025年淡季无偿献血宣传品（洗衣粉）采购</w:t>
      </w:r>
    </w:p>
    <w:p w14:paraId="46018D6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壹万</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10000</w:t>
      </w:r>
      <w:r>
        <w:rPr>
          <w:rFonts w:hint="eastAsia" w:ascii="仿宋_GB2312" w:hAnsi="Courier New" w:eastAsia="仿宋_GB2312" w:cs="Courier New"/>
          <w:color w:val="000000"/>
          <w:kern w:val="0"/>
          <w:sz w:val="32"/>
          <w:szCs w:val="32"/>
          <w:lang w:val="zh-TW" w:eastAsia="zh-TW"/>
        </w:rPr>
        <w:t>.00）</w:t>
      </w:r>
    </w:p>
    <w:p w14:paraId="3056349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壹万</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10000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EBEC2D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（十）可根据</w:t>
      </w:r>
      <w:r>
        <w:rPr>
          <w:rFonts w:hint="eastAsia" w:ascii="仿宋_GB2312" w:hAnsi="Courier New" w:eastAsia="仿宋_GB2312" w:cs="Courier New"/>
          <w:color w:val="000000"/>
          <w:kern w:val="0"/>
          <w:sz w:val="32"/>
          <w:szCs w:val="32"/>
          <w:lang w:val="zh-TW" w:eastAsia="zh-TW"/>
        </w:rPr>
        <w:t>采购需求提供</w:t>
      </w:r>
      <w:r>
        <w:rPr>
          <w:rFonts w:hint="eastAsia" w:ascii="仿宋_GB2312" w:hAnsi="Courier New" w:eastAsia="仿宋_GB2312" w:cs="Courier New"/>
          <w:color w:val="000000"/>
          <w:kern w:val="0"/>
          <w:sz w:val="32"/>
          <w:szCs w:val="32"/>
          <w:lang w:val="en-US" w:eastAsia="zh-CN"/>
        </w:rPr>
        <w:t>样品（如有请提供）</w:t>
      </w:r>
      <w:r>
        <w:rPr>
          <w:rFonts w:hint="eastAsia" w:ascii="仿宋_GB2312" w:hAnsi="Courier New" w:eastAsia="仿宋_GB2312" w:cs="Courier New"/>
          <w:color w:val="000000"/>
          <w:kern w:val="0"/>
          <w:sz w:val="32"/>
          <w:szCs w:val="32"/>
          <w:lang w:val="zh-TW" w:eastAsia="zh-TW"/>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3560A58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en-US" w:eastAsia="zh-CN" w:bidi="ar-SA"/>
        </w:rPr>
        <w:t>（三）样品提供要求</w:t>
      </w:r>
    </w:p>
    <w:p w14:paraId="7213215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1.本项目对样品提供不做强制要求，响应人可根据采购需求提供符合采购人需求的样品1份，样品的费用、运输等所有费用由样品提供人承担，样品随响应文件一并提交。</w:t>
      </w:r>
    </w:p>
    <w:p w14:paraId="48E819B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2.提供的样品作为项目货物评选的参考，同时作为交货和验收的参考。</w:t>
      </w:r>
    </w:p>
    <w:p w14:paraId="3CD6DE0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3.项目评选结果公告发布之日起，未中标供应商应在10个工作日内自行到样品提交指定地点取回样品，逾期采购人自行处理，如需邮寄样品费用由响应人自理；中标供应商投标样品作为采购人交货验收参考，待全部供货及验收完成后退回中标供应商。4.样品外包装用便签纸标记响应人名称。</w:t>
      </w:r>
    </w:p>
    <w:p w14:paraId="48ADD5BA">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w:t>
      </w:r>
      <w:r>
        <w:rPr>
          <w:rFonts w:hint="eastAsia" w:ascii="仿宋_GB2312" w:hAnsi="Courier New" w:eastAsia="仿宋_GB2312" w:cs="Courier New"/>
          <w:color w:val="000000"/>
          <w:kern w:val="0"/>
          <w:sz w:val="32"/>
          <w:szCs w:val="32"/>
          <w:lang w:val="en-US" w:eastAsia="zh-CN" w:bidi="ar-SA"/>
        </w:rPr>
        <w:t>封</w:t>
      </w:r>
      <w:r>
        <w:rPr>
          <w:rFonts w:hint="eastAsia" w:ascii="仿宋_GB2312" w:hAnsi="Courier New" w:eastAsia="仿宋_GB2312" w:cs="Courier New"/>
          <w:color w:val="000000"/>
          <w:kern w:val="0"/>
          <w:sz w:val="32"/>
          <w:szCs w:val="32"/>
          <w:lang w:val="zh-TW" w:eastAsia="zh-CN" w:bidi="ar-SA"/>
        </w:rPr>
        <w:t>装。</w:t>
      </w:r>
    </w:p>
    <w:p w14:paraId="66381C0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五</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六</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05C00696">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29DB6D98">
      <w:pPr>
        <w:pStyle w:val="6"/>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6A286B59">
      <w:pPr>
        <w:pStyle w:val="6"/>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3F471898">
      <w:pPr>
        <w:pStyle w:val="6"/>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6C253348">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6</w:t>
      </w:r>
      <w:bookmarkStart w:id="19" w:name="_GoBack"/>
      <w:bookmarkEnd w:id="19"/>
      <w:r>
        <w:rPr>
          <w:rFonts w:hint="eastAsia" w:ascii="仿宋_GB2312" w:hAnsi="Courier New" w:eastAsia="仿宋_GB2312" w:cs="Courier New"/>
          <w:color w:val="000000"/>
          <w:kern w:val="0"/>
          <w:sz w:val="32"/>
          <w:szCs w:val="32"/>
          <w:lang w:val="zh-TW" w:eastAsia="zh-CN" w:bidi="ar-SA"/>
        </w:rPr>
        <w:t>日</w:t>
      </w:r>
    </w:p>
    <w:p w14:paraId="051D3017">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0DE3A7EE">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2E7BE1CA">
      <w:pPr>
        <w:ind w:firstLine="560" w:firstLineChars="200"/>
        <w:jc w:val="left"/>
        <w:rPr>
          <w:rFonts w:hint="eastAsia" w:ascii="宋体" w:hAnsi="宋体" w:eastAsia="宋体" w:cs="宋体"/>
          <w:sz w:val="28"/>
          <w:szCs w:val="28"/>
        </w:rPr>
      </w:pPr>
    </w:p>
    <w:p w14:paraId="120B5853">
      <w:pPr>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43BB656A">
      <w:pPr>
        <w:pStyle w:val="3"/>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firstLine="0"/>
        <w:textAlignment w:val="baseline"/>
        <w:rPr>
          <w:b/>
          <w:bCs/>
        </w:rPr>
      </w:pPr>
      <w:r>
        <w:rPr>
          <w:rFonts w:hint="eastAsia" w:ascii="宋体" w:hAnsi="宋体" w:eastAsia="宋体" w:cs="宋体"/>
          <w:b/>
          <w:bCs/>
          <w:kern w:val="2"/>
          <w:sz w:val="21"/>
          <w:szCs w:val="21"/>
        </w:rPr>
        <w:t>说明：本采购需求一览表的内容为实质性要求和条件，供应商必须满足，不满足或负偏离视为无效响应。</w:t>
      </w:r>
    </w:p>
    <w:tbl>
      <w:tblPr>
        <w:tblStyle w:val="17"/>
        <w:tblW w:w="546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9"/>
        <w:gridCol w:w="815"/>
        <w:gridCol w:w="883"/>
        <w:gridCol w:w="5834"/>
        <w:gridCol w:w="1351"/>
      </w:tblGrid>
      <w:tr w14:paraId="6F5F5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4A2E04C">
            <w:pPr>
              <w:jc w:val="center"/>
              <w:rPr>
                <w:rFonts w:ascii="宋体" w:hAnsi="宋体"/>
                <w:b/>
                <w:szCs w:val="21"/>
              </w:rPr>
            </w:pPr>
            <w:r>
              <w:rPr>
                <w:rFonts w:hint="eastAsia" w:ascii="宋体" w:hAnsi="宋体"/>
                <w:b/>
                <w:szCs w:val="21"/>
              </w:rPr>
              <w:t>项号</w:t>
            </w:r>
          </w:p>
        </w:tc>
        <w:tc>
          <w:tcPr>
            <w:tcW w:w="427" w:type="pct"/>
            <w:tcBorders>
              <w:top w:val="single" w:color="auto" w:sz="4" w:space="0"/>
              <w:left w:val="single" w:color="auto" w:sz="4" w:space="0"/>
              <w:bottom w:val="single" w:color="auto" w:sz="4" w:space="0"/>
              <w:right w:val="single" w:color="auto" w:sz="4" w:space="0"/>
            </w:tcBorders>
            <w:vAlign w:val="center"/>
          </w:tcPr>
          <w:p w14:paraId="3BB7817A">
            <w:pPr>
              <w:jc w:val="center"/>
              <w:rPr>
                <w:rFonts w:ascii="宋体" w:hAnsi="宋体"/>
                <w:b/>
                <w:szCs w:val="21"/>
              </w:rPr>
            </w:pPr>
            <w:r>
              <w:rPr>
                <w:rFonts w:hint="eastAsia" w:ascii="宋体" w:hAnsi="宋体"/>
                <w:b/>
                <w:szCs w:val="21"/>
              </w:rPr>
              <w:t>货物名称</w:t>
            </w:r>
          </w:p>
        </w:tc>
        <w:tc>
          <w:tcPr>
            <w:tcW w:w="457" w:type="pct"/>
            <w:tcBorders>
              <w:top w:val="single" w:color="auto" w:sz="4" w:space="0"/>
              <w:left w:val="single" w:color="auto" w:sz="4" w:space="0"/>
              <w:bottom w:val="single" w:color="auto" w:sz="4" w:space="0"/>
              <w:right w:val="single" w:color="auto" w:sz="4" w:space="0"/>
            </w:tcBorders>
            <w:vAlign w:val="center"/>
          </w:tcPr>
          <w:p w14:paraId="2B38BBC6">
            <w:pPr>
              <w:jc w:val="center"/>
              <w:rPr>
                <w:rFonts w:ascii="宋体" w:hAnsi="宋体"/>
                <w:b/>
                <w:szCs w:val="21"/>
              </w:rPr>
            </w:pPr>
            <w:r>
              <w:rPr>
                <w:rFonts w:hint="eastAsia" w:ascii="宋体" w:hAnsi="宋体"/>
                <w:b/>
                <w:szCs w:val="21"/>
              </w:rPr>
              <w:t>数量</w:t>
            </w:r>
          </w:p>
        </w:tc>
        <w:tc>
          <w:tcPr>
            <w:tcW w:w="3019" w:type="pct"/>
            <w:tcBorders>
              <w:top w:val="single" w:color="auto" w:sz="4" w:space="0"/>
              <w:left w:val="single" w:color="auto" w:sz="4" w:space="0"/>
              <w:bottom w:val="single" w:color="auto" w:sz="4" w:space="0"/>
              <w:right w:val="single" w:color="auto" w:sz="4" w:space="0"/>
            </w:tcBorders>
            <w:vAlign w:val="center"/>
          </w:tcPr>
          <w:p w14:paraId="741E7D1D">
            <w:pPr>
              <w:jc w:val="center"/>
              <w:rPr>
                <w:rFonts w:ascii="宋体" w:hAnsi="宋体"/>
                <w:b/>
                <w:szCs w:val="21"/>
              </w:rPr>
            </w:pPr>
            <w:r>
              <w:rPr>
                <w:rFonts w:hint="eastAsia" w:ascii="宋体" w:hAnsi="宋体"/>
                <w:b/>
                <w:szCs w:val="21"/>
              </w:rPr>
              <w:t>技术参数</w:t>
            </w:r>
          </w:p>
        </w:tc>
        <w:tc>
          <w:tcPr>
            <w:tcW w:w="635" w:type="pct"/>
            <w:tcBorders>
              <w:top w:val="single" w:color="auto" w:sz="4" w:space="0"/>
              <w:left w:val="single" w:color="auto" w:sz="4" w:space="0"/>
              <w:bottom w:val="single" w:color="auto" w:sz="4" w:space="0"/>
              <w:right w:val="single" w:color="auto" w:sz="4" w:space="0"/>
            </w:tcBorders>
            <w:vAlign w:val="center"/>
          </w:tcPr>
          <w:p w14:paraId="76FAFCFE">
            <w:pPr>
              <w:jc w:val="both"/>
              <w:rPr>
                <w:rFonts w:ascii="宋体" w:hAnsi="宋体"/>
                <w:b/>
                <w:szCs w:val="21"/>
              </w:rPr>
            </w:pPr>
            <w:r>
              <w:rPr>
                <w:rFonts w:hint="eastAsia" w:ascii="宋体" w:hAnsi="宋体"/>
                <w:b/>
                <w:szCs w:val="21"/>
              </w:rPr>
              <w:t>预算合价（元）</w:t>
            </w:r>
          </w:p>
        </w:tc>
      </w:tr>
      <w:tr w14:paraId="40A982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698543E">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w:t>
            </w:r>
          </w:p>
        </w:tc>
        <w:tc>
          <w:tcPr>
            <w:tcW w:w="427" w:type="pct"/>
            <w:tcBorders>
              <w:top w:val="single" w:color="auto" w:sz="4" w:space="0"/>
              <w:left w:val="single" w:color="auto" w:sz="4" w:space="0"/>
              <w:bottom w:val="single" w:color="auto" w:sz="4" w:space="0"/>
              <w:right w:val="single" w:color="auto" w:sz="4" w:space="0"/>
            </w:tcBorders>
            <w:vAlign w:val="center"/>
          </w:tcPr>
          <w:p w14:paraId="31D516E8">
            <w:pPr>
              <w:widowControl/>
              <w:spacing w:line="400" w:lineRule="exact"/>
              <w:jc w:val="center"/>
              <w:textAlignment w:val="center"/>
              <w:rPr>
                <w:rFonts w:hint="eastAsia" w:ascii="宋体" w:hAnsi="宋体" w:cs="宋体"/>
                <w:szCs w:val="21"/>
                <w:lang w:val="en-US" w:eastAsia="zh-CN"/>
              </w:rPr>
            </w:pPr>
            <w:r>
              <w:rPr>
                <w:rFonts w:hint="eastAsia" w:ascii="宋体" w:hAnsi="宋体" w:cs="宋体"/>
                <w:szCs w:val="21"/>
                <w:lang w:val="en-US" w:eastAsia="zh-CN"/>
              </w:rPr>
              <w:t>洗衣粉</w:t>
            </w:r>
          </w:p>
        </w:tc>
        <w:tc>
          <w:tcPr>
            <w:tcW w:w="457" w:type="pct"/>
            <w:tcBorders>
              <w:top w:val="single" w:color="auto" w:sz="4" w:space="0"/>
              <w:left w:val="single" w:color="auto" w:sz="4" w:space="0"/>
              <w:bottom w:val="single" w:color="auto" w:sz="4" w:space="0"/>
              <w:right w:val="single" w:color="auto" w:sz="4" w:space="0"/>
            </w:tcBorders>
            <w:vAlign w:val="center"/>
          </w:tcPr>
          <w:p w14:paraId="33A9DDBD">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1000袋</w:t>
            </w:r>
          </w:p>
        </w:tc>
        <w:tc>
          <w:tcPr>
            <w:tcW w:w="3019" w:type="pct"/>
            <w:tcBorders>
              <w:top w:val="single" w:color="auto" w:sz="4" w:space="0"/>
              <w:left w:val="single" w:color="auto" w:sz="4" w:space="0"/>
              <w:bottom w:val="single" w:color="auto" w:sz="4" w:space="0"/>
              <w:right w:val="single" w:color="auto" w:sz="4" w:space="0"/>
            </w:tcBorders>
            <w:vAlign w:val="center"/>
          </w:tcPr>
          <w:p w14:paraId="6CB74B43">
            <w:pPr>
              <w:bidi w:val="0"/>
              <w:rPr>
                <w:rFonts w:hint="default"/>
                <w:lang w:val="en-US" w:eastAsia="zh-CN"/>
              </w:rPr>
            </w:pPr>
            <w:r>
              <w:rPr>
                <w:rFonts w:hint="default"/>
                <w:lang w:val="en-US" w:eastAsia="zh-CN"/>
              </w:rPr>
              <w:t>1</w:t>
            </w:r>
            <w:r>
              <w:rPr>
                <w:rFonts w:hint="eastAsia"/>
                <w:lang w:val="en-US" w:eastAsia="zh-CN"/>
              </w:rPr>
              <w:t>、</w:t>
            </w:r>
            <w:r>
              <w:rPr>
                <w:rFonts w:hint="default"/>
                <w:lang w:val="en-US" w:eastAsia="zh-CN"/>
              </w:rPr>
              <w:t>净含量：≥1kg</w:t>
            </w:r>
          </w:p>
          <w:p w14:paraId="3135286A">
            <w:pPr>
              <w:bidi w:val="0"/>
              <w:rPr>
                <w:rFonts w:hint="default"/>
                <w:lang w:val="en-US" w:eastAsia="zh-CN"/>
              </w:rPr>
            </w:pPr>
            <w:r>
              <w:rPr>
                <w:rFonts w:hint="default"/>
                <w:lang w:val="en-US" w:eastAsia="zh-CN"/>
              </w:rPr>
              <w:t>2</w:t>
            </w:r>
            <w:r>
              <w:rPr>
                <w:rFonts w:hint="eastAsia"/>
                <w:lang w:val="en-US" w:eastAsia="zh-CN"/>
              </w:rPr>
              <w:t>、</w:t>
            </w:r>
            <w:r>
              <w:rPr>
                <w:rFonts w:hint="default"/>
                <w:lang w:val="en-US" w:eastAsia="zh-CN"/>
              </w:rPr>
              <w:t>适用：清洗棉、麻、化纤及混纺织物等</w:t>
            </w:r>
          </w:p>
          <w:p w14:paraId="16A5396F">
            <w:pPr>
              <w:bidi w:val="0"/>
              <w:rPr>
                <w:rFonts w:hint="default"/>
                <w:lang w:val="en-US" w:eastAsia="zh-CN"/>
              </w:rPr>
            </w:pPr>
            <w:r>
              <w:rPr>
                <w:rFonts w:hint="default"/>
                <w:lang w:val="en-US" w:eastAsia="zh-CN"/>
              </w:rPr>
              <w:t>3</w:t>
            </w:r>
            <w:r>
              <w:rPr>
                <w:rFonts w:hint="eastAsia"/>
                <w:lang w:val="en-US" w:eastAsia="zh-CN"/>
              </w:rPr>
              <w:t>、</w:t>
            </w:r>
            <w:r>
              <w:rPr>
                <w:rFonts w:hint="default"/>
                <w:lang w:val="en-US" w:eastAsia="zh-CN"/>
              </w:rPr>
              <w:t>不低于 GB/T 13171.1-2022《洗衣粉第1部分:技术要求》。</w:t>
            </w:r>
          </w:p>
          <w:p w14:paraId="53C9B795">
            <w:pPr>
              <w:bidi w:val="0"/>
              <w:rPr>
                <w:rFonts w:hint="default"/>
                <w:lang w:val="en-US" w:eastAsia="zh-CN"/>
              </w:rPr>
            </w:pPr>
            <w:r>
              <w:rPr>
                <w:rFonts w:hint="default"/>
                <w:lang w:val="en-US" w:eastAsia="zh-CN"/>
              </w:rPr>
              <w:t>4</w:t>
            </w:r>
            <w:r>
              <w:rPr>
                <w:rFonts w:hint="eastAsia"/>
                <w:lang w:val="en-US" w:eastAsia="zh-CN"/>
              </w:rPr>
              <w:t>、</w:t>
            </w:r>
            <w:r>
              <w:rPr>
                <w:rFonts w:hint="default"/>
                <w:lang w:val="en-US" w:eastAsia="zh-CN"/>
              </w:rPr>
              <w:t>保质期:≥2年。</w:t>
            </w:r>
          </w:p>
          <w:p w14:paraId="2E3685FB">
            <w:pPr>
              <w:bidi w:val="0"/>
              <w:rPr>
                <w:rFonts w:hint="default"/>
                <w:lang w:val="en-US" w:eastAsia="zh-CN"/>
              </w:rPr>
            </w:pPr>
            <w:r>
              <w:rPr>
                <w:rFonts w:hint="default"/>
                <w:lang w:val="en-US" w:eastAsia="zh-CN"/>
              </w:rPr>
              <w:t>5</w:t>
            </w:r>
            <w:r>
              <w:rPr>
                <w:rFonts w:hint="eastAsia"/>
                <w:lang w:val="en-US" w:eastAsia="zh-CN"/>
              </w:rPr>
              <w:t>、</w:t>
            </w:r>
            <w:r>
              <w:rPr>
                <w:rFonts w:hint="default"/>
                <w:lang w:val="en-US" w:eastAsia="zh-CN"/>
              </w:rPr>
              <w:t>供货时产品生产日期为 2025 年1月及以后。</w:t>
            </w:r>
          </w:p>
          <w:p w14:paraId="73380E31">
            <w:pPr>
              <w:rPr>
                <w:rFonts w:hint="eastAsia" w:asciiTheme="minorEastAsia" w:hAnsiTheme="minorEastAsia" w:eastAsiaTheme="minorEastAsia" w:cstheme="minorEastAsia"/>
                <w:b w:val="0"/>
                <w:bCs w:val="0"/>
                <w:sz w:val="21"/>
                <w:szCs w:val="21"/>
                <w:lang w:val="en-US" w:eastAsia="zh-CN"/>
              </w:rPr>
            </w:pPr>
            <w:r>
              <w:rPr>
                <w:rFonts w:hint="default"/>
                <w:lang w:val="en-US" w:eastAsia="zh-CN"/>
              </w:rPr>
              <w:t>6</w:t>
            </w:r>
            <w:r>
              <w:rPr>
                <w:rFonts w:hint="eastAsia"/>
                <w:lang w:val="en-US" w:eastAsia="zh-CN"/>
              </w:rPr>
              <w:t>、</w:t>
            </w:r>
            <w:r>
              <w:rPr>
                <w:rFonts w:hint="default"/>
                <w:lang w:val="en-US" w:eastAsia="zh-CN"/>
              </w:rPr>
              <w:t>供货时提供所供产品具有由CMA/CNAS 认证的第三方检测机构出具的的质量检测报告(检测时间为</w:t>
            </w:r>
            <w:r>
              <w:rPr>
                <w:rFonts w:hint="eastAsia"/>
                <w:lang w:val="en-US" w:eastAsia="zh-CN"/>
              </w:rPr>
              <w:t>2025年及以后</w:t>
            </w:r>
            <w:r>
              <w:rPr>
                <w:rFonts w:hint="default"/>
                <w:lang w:val="en-US" w:eastAsia="zh-CN"/>
              </w:rPr>
              <w:t>)。</w:t>
            </w:r>
          </w:p>
        </w:tc>
        <w:tc>
          <w:tcPr>
            <w:tcW w:w="635" w:type="pct"/>
            <w:tcBorders>
              <w:top w:val="single" w:color="auto" w:sz="4" w:space="0"/>
              <w:left w:val="single" w:color="auto" w:sz="4" w:space="0"/>
              <w:bottom w:val="single" w:color="auto" w:sz="4" w:space="0"/>
              <w:right w:val="single" w:color="auto" w:sz="4" w:space="0"/>
            </w:tcBorders>
            <w:vAlign w:val="center"/>
          </w:tcPr>
          <w:p w14:paraId="0CCBE462">
            <w:pPr>
              <w:pStyle w:val="6"/>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10000元（10元/袋）</w:t>
            </w:r>
          </w:p>
        </w:tc>
      </w:tr>
      <w:tr w14:paraId="500890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C01D405">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4540" w:type="pct"/>
            <w:gridSpan w:val="4"/>
            <w:tcBorders>
              <w:top w:val="single" w:color="auto" w:sz="4" w:space="0"/>
              <w:left w:val="single" w:color="auto" w:sz="4" w:space="0"/>
              <w:bottom w:val="single" w:color="auto" w:sz="4" w:space="0"/>
              <w:right w:val="single" w:color="auto" w:sz="4" w:space="0"/>
            </w:tcBorders>
          </w:tcPr>
          <w:p w14:paraId="7D85859A">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default" w:ascii="宋体" w:hAnsi="宋体"/>
                <w:szCs w:val="21"/>
                <w:u w:val="none"/>
                <w:lang w:val="en-US" w:eastAsia="zh-CN"/>
              </w:rPr>
            </w:pPr>
            <w:r>
              <w:rPr>
                <w:rFonts w:hint="default" w:ascii="宋体" w:hAnsi="宋体"/>
                <w:b/>
                <w:bCs/>
                <w:szCs w:val="21"/>
                <w:u w:val="none"/>
                <w:lang w:val="en-US" w:eastAsia="zh-CN"/>
              </w:rPr>
              <w:t>一、合同签订期</w:t>
            </w:r>
            <w:r>
              <w:rPr>
                <w:rFonts w:hint="default" w:ascii="宋体" w:hAnsi="宋体"/>
                <w:szCs w:val="21"/>
                <w:u w:val="none"/>
                <w:lang w:val="en-US" w:eastAsia="zh-CN"/>
              </w:rPr>
              <w:t>：自采购结果公告结束之日起 10 个工作日内。</w:t>
            </w:r>
          </w:p>
          <w:p w14:paraId="032243A6">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default" w:ascii="宋体" w:hAnsi="宋体"/>
                <w:szCs w:val="21"/>
                <w:u w:val="none"/>
                <w:lang w:val="en-US" w:eastAsia="zh-CN"/>
              </w:rPr>
            </w:pPr>
            <w:r>
              <w:rPr>
                <w:rFonts w:hint="default" w:ascii="宋体" w:hAnsi="宋体"/>
                <w:b/>
                <w:bCs/>
                <w:szCs w:val="21"/>
                <w:u w:val="none"/>
                <w:lang w:val="en-US" w:eastAsia="zh-CN"/>
              </w:rPr>
              <w:t>二、交货期</w:t>
            </w:r>
            <w:r>
              <w:rPr>
                <w:rFonts w:hint="default" w:ascii="宋体" w:hAnsi="宋体"/>
                <w:szCs w:val="21"/>
                <w:u w:val="none"/>
                <w:lang w:val="en-US" w:eastAsia="zh-CN"/>
              </w:rPr>
              <w:t>：自合同签订之日起5个工作日内，按照采购人要求送货。</w:t>
            </w:r>
          </w:p>
          <w:p w14:paraId="1337FA43">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default" w:ascii="宋体" w:hAnsi="宋体"/>
                <w:szCs w:val="21"/>
                <w:u w:val="none"/>
                <w:lang w:val="en-US" w:eastAsia="zh-CN"/>
              </w:rPr>
            </w:pPr>
            <w:r>
              <w:rPr>
                <w:rFonts w:hint="default" w:ascii="宋体" w:hAnsi="宋体"/>
                <w:b/>
                <w:bCs/>
                <w:szCs w:val="21"/>
                <w:u w:val="none"/>
                <w:lang w:val="en-US" w:eastAsia="zh-CN"/>
              </w:rPr>
              <w:t>三、交货地点</w:t>
            </w:r>
            <w:r>
              <w:rPr>
                <w:rFonts w:hint="default" w:ascii="宋体" w:hAnsi="宋体"/>
                <w:szCs w:val="21"/>
                <w:u w:val="none"/>
                <w:lang w:val="en-US" w:eastAsia="zh-CN"/>
              </w:rPr>
              <w:t xml:space="preserve">：南宁中心血站指定地点。 </w:t>
            </w:r>
          </w:p>
          <w:p w14:paraId="2C48EE57">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default" w:ascii="宋体" w:hAnsi="宋体"/>
                <w:b/>
                <w:bCs/>
                <w:szCs w:val="21"/>
                <w:u w:val="none"/>
                <w:lang w:val="en-US" w:eastAsia="zh-CN"/>
              </w:rPr>
            </w:pPr>
            <w:r>
              <w:rPr>
                <w:rFonts w:hint="default" w:ascii="宋体" w:hAnsi="宋体"/>
                <w:b/>
                <w:bCs/>
                <w:szCs w:val="21"/>
                <w:u w:val="none"/>
                <w:lang w:val="en-US" w:eastAsia="zh-CN"/>
              </w:rPr>
              <w:t>四、交货方式及要求：</w:t>
            </w:r>
          </w:p>
          <w:p w14:paraId="4161AD79">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default" w:ascii="宋体" w:hAnsi="宋体"/>
                <w:szCs w:val="21"/>
                <w:u w:val="none"/>
                <w:lang w:val="en-US" w:eastAsia="zh-CN"/>
              </w:rPr>
            </w:pPr>
            <w:r>
              <w:rPr>
                <w:rFonts w:hint="default" w:ascii="宋体" w:hAnsi="宋体"/>
                <w:szCs w:val="21"/>
                <w:u w:val="none"/>
                <w:lang w:val="en-US" w:eastAsia="zh-CN"/>
              </w:rPr>
              <w:t>1. 交货方式：现场交货</w:t>
            </w:r>
          </w:p>
          <w:p w14:paraId="34D00363">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default" w:ascii="宋体" w:hAnsi="宋体"/>
                <w:szCs w:val="21"/>
                <w:u w:val="none"/>
                <w:lang w:val="en-US" w:eastAsia="zh-CN"/>
              </w:rPr>
            </w:pPr>
            <w:r>
              <w:rPr>
                <w:rFonts w:hint="default" w:ascii="宋体" w:hAnsi="宋体"/>
                <w:szCs w:val="21"/>
                <w:u w:val="none"/>
                <w:lang w:val="en-US" w:eastAsia="zh-CN"/>
              </w:rPr>
              <w:t>2. 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14:paraId="1ED1ED6A">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default" w:ascii="宋体" w:hAnsi="宋体"/>
                <w:b/>
                <w:bCs/>
                <w:szCs w:val="21"/>
                <w:u w:val="none"/>
                <w:lang w:val="en-US" w:eastAsia="zh-CN"/>
              </w:rPr>
            </w:pPr>
            <w:r>
              <w:rPr>
                <w:rFonts w:hint="default" w:ascii="宋体" w:hAnsi="宋体"/>
                <w:b/>
                <w:bCs/>
                <w:szCs w:val="21"/>
                <w:u w:val="none"/>
                <w:lang w:val="en-US" w:eastAsia="zh-CN"/>
              </w:rPr>
              <w:t>五、验收方式及要求：</w:t>
            </w:r>
          </w:p>
          <w:p w14:paraId="3B90BDE8">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default" w:ascii="宋体" w:hAnsi="宋体"/>
                <w:szCs w:val="21"/>
                <w:u w:val="none"/>
                <w:lang w:val="en-US" w:eastAsia="zh-CN"/>
              </w:rPr>
            </w:pPr>
            <w:r>
              <w:rPr>
                <w:rFonts w:hint="default" w:ascii="宋体" w:hAnsi="宋体"/>
                <w:szCs w:val="21"/>
                <w:u w:val="none"/>
                <w:lang w:val="en-US" w:eastAsia="zh-CN"/>
              </w:rPr>
              <w:t>1. 交货时，所有产品均严格按采购文件上的技术参数要求，采购人按中标人响应和承诺的技术参数及性能和国家有关标准进行验收，达不到要求的不予验收，视为产品验收不合格，并且保留追究成交供应商虚假响应的法律责任。</w:t>
            </w:r>
          </w:p>
          <w:p w14:paraId="6252A55B">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default" w:ascii="宋体" w:hAnsi="宋体"/>
                <w:szCs w:val="21"/>
                <w:u w:val="none"/>
                <w:lang w:val="en-US" w:eastAsia="zh-CN"/>
              </w:rPr>
            </w:pPr>
            <w:r>
              <w:rPr>
                <w:rFonts w:hint="default" w:ascii="宋体" w:hAnsi="宋体"/>
                <w:szCs w:val="21"/>
                <w:u w:val="none"/>
                <w:lang w:val="en-US" w:eastAsia="zh-CN"/>
              </w:rPr>
              <w:t>2. 按要求供货到现场（包括包装、卸货及搬运）。</w:t>
            </w:r>
          </w:p>
          <w:p w14:paraId="051A46B2">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default" w:ascii="宋体" w:hAnsi="宋体"/>
                <w:b/>
                <w:bCs/>
                <w:szCs w:val="21"/>
                <w:u w:val="none"/>
                <w:lang w:val="en-US" w:eastAsia="zh-CN"/>
              </w:rPr>
            </w:pPr>
            <w:r>
              <w:rPr>
                <w:rFonts w:hint="default" w:ascii="宋体" w:hAnsi="宋体"/>
                <w:b/>
                <w:bCs/>
                <w:szCs w:val="21"/>
                <w:u w:val="none"/>
                <w:lang w:val="en-US" w:eastAsia="zh-CN"/>
              </w:rPr>
              <w:t>六、售后服务要求：</w:t>
            </w:r>
          </w:p>
          <w:p w14:paraId="49116C34">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default" w:ascii="宋体" w:hAnsi="宋体"/>
                <w:szCs w:val="21"/>
                <w:u w:val="none"/>
                <w:lang w:val="en-US" w:eastAsia="zh-CN"/>
              </w:rPr>
            </w:pPr>
            <w:r>
              <w:rPr>
                <w:rFonts w:hint="default" w:ascii="宋体" w:hAnsi="宋体"/>
                <w:szCs w:val="21"/>
                <w:u w:val="none"/>
                <w:lang w:val="en-US" w:eastAsia="zh-CN"/>
              </w:rPr>
              <w:t>1. 质量保证期1 年（自交货并验收合格之日起计），质量保证期内按国家有关产品“三包”规定执行“三包”，质量保证期内因产品质量问题发生的相关费用由成交供应商承担。</w:t>
            </w:r>
          </w:p>
          <w:p w14:paraId="050F502E">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default" w:ascii="宋体" w:hAnsi="宋体"/>
                <w:szCs w:val="21"/>
                <w:u w:val="none"/>
                <w:lang w:val="en-US" w:eastAsia="zh-CN"/>
              </w:rPr>
            </w:pPr>
            <w:r>
              <w:rPr>
                <w:rFonts w:hint="default" w:ascii="宋体" w:hAnsi="宋体"/>
                <w:szCs w:val="21"/>
                <w:u w:val="none"/>
                <w:lang w:val="en-US" w:eastAsia="zh-CN"/>
              </w:rPr>
              <w:t>2.服务响应时间：对于服务请求，须在 1小时内响应；一般问题24小时内解决；对于重大问题不能超过 72 小时解决且要求8小时内到现场服务。</w:t>
            </w:r>
          </w:p>
          <w:p w14:paraId="31FA9851">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default" w:ascii="宋体" w:hAnsi="宋体"/>
                <w:b/>
                <w:bCs/>
                <w:szCs w:val="21"/>
                <w:u w:val="none"/>
                <w:lang w:val="en-US" w:eastAsia="zh-CN"/>
              </w:rPr>
            </w:pPr>
            <w:r>
              <w:rPr>
                <w:rFonts w:hint="default" w:ascii="宋体" w:hAnsi="宋体"/>
                <w:b/>
                <w:bCs/>
                <w:szCs w:val="21"/>
                <w:u w:val="none"/>
                <w:lang w:val="en-US" w:eastAsia="zh-CN"/>
              </w:rPr>
              <w:t>七、其他要求：</w:t>
            </w:r>
          </w:p>
          <w:p w14:paraId="09C223E9">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default" w:ascii="宋体" w:hAnsi="宋体"/>
                <w:szCs w:val="21"/>
                <w:u w:val="none"/>
                <w:lang w:val="en-US" w:eastAsia="zh-CN"/>
              </w:rPr>
            </w:pPr>
            <w:r>
              <w:rPr>
                <w:rFonts w:hint="default" w:ascii="宋体" w:hAnsi="宋体"/>
                <w:szCs w:val="21"/>
                <w:u w:val="none"/>
                <w:lang w:val="en-US" w:eastAsia="zh-CN"/>
              </w:rPr>
              <w:t>1.投标报价为采购人指定地点的现场交货价，包括：</w:t>
            </w:r>
          </w:p>
          <w:p w14:paraId="3A6433E3">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default" w:ascii="宋体" w:hAnsi="宋体"/>
                <w:szCs w:val="21"/>
                <w:u w:val="none"/>
                <w:lang w:val="en-US" w:eastAsia="zh-CN"/>
              </w:rPr>
            </w:pPr>
            <w:r>
              <w:rPr>
                <w:rFonts w:hint="default" w:ascii="宋体" w:hAnsi="宋体"/>
                <w:szCs w:val="21"/>
                <w:u w:val="none"/>
                <w:lang w:val="en-US" w:eastAsia="zh-CN"/>
              </w:rPr>
              <w:t>（1）货物的价格；</w:t>
            </w:r>
          </w:p>
          <w:p w14:paraId="740C9509">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default" w:ascii="宋体" w:hAnsi="宋体"/>
                <w:szCs w:val="21"/>
                <w:u w:val="none"/>
                <w:lang w:val="en-US" w:eastAsia="zh-CN"/>
              </w:rPr>
            </w:pPr>
            <w:r>
              <w:rPr>
                <w:rFonts w:hint="default" w:ascii="宋体" w:hAnsi="宋体"/>
                <w:szCs w:val="21"/>
                <w:u w:val="none"/>
                <w:lang w:val="en-US" w:eastAsia="zh-CN"/>
              </w:rPr>
              <w:t>（2）货物的标准附件、备品备件、专用工具的价格；</w:t>
            </w:r>
          </w:p>
          <w:p w14:paraId="392AF18E">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default" w:ascii="宋体" w:hAnsi="宋体"/>
                <w:szCs w:val="21"/>
                <w:u w:val="none"/>
                <w:lang w:val="en-US" w:eastAsia="zh-CN"/>
              </w:rPr>
            </w:pPr>
            <w:r>
              <w:rPr>
                <w:rFonts w:hint="default" w:ascii="宋体" w:hAnsi="宋体"/>
                <w:szCs w:val="21"/>
                <w:u w:val="none"/>
                <w:lang w:val="en-US" w:eastAsia="zh-CN"/>
              </w:rPr>
              <w:t>（3）运输、装卸、搬运、技术支持、售后服务等费用；</w:t>
            </w:r>
          </w:p>
          <w:p w14:paraId="26A2F614">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default" w:ascii="宋体" w:hAnsi="宋体"/>
                <w:szCs w:val="21"/>
                <w:u w:val="none"/>
                <w:lang w:val="en-US" w:eastAsia="zh-CN"/>
              </w:rPr>
            </w:pPr>
            <w:r>
              <w:rPr>
                <w:rFonts w:hint="default" w:ascii="宋体" w:hAnsi="宋体"/>
                <w:szCs w:val="21"/>
                <w:u w:val="none"/>
                <w:lang w:val="en-US" w:eastAsia="zh-CN"/>
              </w:rPr>
              <w:t>（4）必要的保险费用和各项税费；</w:t>
            </w:r>
          </w:p>
          <w:p w14:paraId="442D7C7A">
            <w:pPr>
              <w:widowControl/>
              <w:shd w:val="clear" w:color="auto" w:fill="FFFFFF"/>
              <w:spacing w:line="360" w:lineRule="auto"/>
              <w:ind w:firstLine="0" w:firstLineChars="0"/>
              <w:rPr>
                <w:rFonts w:ascii="宋体" w:hAnsi="宋体"/>
                <w:b/>
                <w:sz w:val="21"/>
                <w:szCs w:val="21"/>
              </w:rPr>
            </w:pPr>
            <w:r>
              <w:rPr>
                <w:rFonts w:hint="default" w:ascii="宋体" w:hAnsi="宋体"/>
                <w:szCs w:val="21"/>
                <w:u w:val="none"/>
                <w:lang w:val="en-US" w:eastAsia="zh-CN"/>
              </w:rPr>
              <w:t>2.付款方式：货物</w:t>
            </w:r>
            <w:r>
              <w:rPr>
                <w:rFonts w:hint="eastAsia" w:ascii="宋体" w:hAnsi="宋体"/>
                <w:szCs w:val="21"/>
                <w:u w:val="none"/>
                <w:lang w:val="en-US" w:eastAsia="zh-CN"/>
              </w:rPr>
              <w:t>交货完毕并经采购人</w:t>
            </w:r>
            <w:r>
              <w:rPr>
                <w:rFonts w:hint="default" w:ascii="宋体" w:hAnsi="宋体"/>
                <w:szCs w:val="21"/>
                <w:u w:val="none"/>
                <w:lang w:val="en-US" w:eastAsia="zh-CN"/>
              </w:rPr>
              <w:t>验收合格后，</w:t>
            </w:r>
            <w:r>
              <w:rPr>
                <w:rFonts w:hint="eastAsia" w:ascii="宋体" w:hAnsi="宋体"/>
                <w:szCs w:val="21"/>
                <w:u w:val="none"/>
                <w:lang w:val="en-US" w:eastAsia="zh-CN"/>
              </w:rPr>
              <w:t>采购人一次性支付合同款</w:t>
            </w:r>
            <w:r>
              <w:rPr>
                <w:rFonts w:hint="default" w:ascii="宋体" w:hAnsi="宋体"/>
                <w:szCs w:val="21"/>
                <w:u w:val="none"/>
                <w:lang w:val="en-US" w:eastAsia="zh-CN"/>
              </w:rPr>
              <w:t>（付款前中标人需开具等额合规的增值税普通发票）。</w:t>
            </w:r>
          </w:p>
        </w:tc>
      </w:tr>
    </w:tbl>
    <w:p w14:paraId="3D9325E3">
      <w:pPr>
        <w:pStyle w:val="3"/>
        <w:numPr>
          <w:ilvl w:val="3"/>
          <w:numId w:val="0"/>
        </w:numPr>
        <w:rPr>
          <w:rFonts w:hint="eastAsia"/>
        </w:rPr>
      </w:pPr>
    </w:p>
    <w:p w14:paraId="46569E58">
      <w:pPr>
        <w:rPr>
          <w:rFonts w:hint="eastAsia"/>
        </w:rPr>
      </w:pPr>
    </w:p>
    <w:p w14:paraId="5DD02014">
      <w:pPr>
        <w:rPr>
          <w:rFonts w:hint="eastAsia"/>
        </w:rPr>
      </w:pPr>
    </w:p>
    <w:p w14:paraId="227FC90C">
      <w:pPr>
        <w:pStyle w:val="8"/>
        <w:ind w:firstLine="560" w:firstLineChars="200"/>
        <w:jc w:val="left"/>
        <w:rPr>
          <w:rFonts w:hint="eastAsia"/>
          <w:sz w:val="28"/>
          <w:szCs w:val="28"/>
        </w:rPr>
      </w:pPr>
    </w:p>
    <w:p w14:paraId="59B471AA">
      <w:pPr>
        <w:pStyle w:val="8"/>
        <w:ind w:firstLine="560" w:firstLineChars="200"/>
        <w:jc w:val="left"/>
        <w:rPr>
          <w:rFonts w:hint="eastAsia"/>
          <w:sz w:val="28"/>
          <w:szCs w:val="28"/>
        </w:rPr>
      </w:pPr>
    </w:p>
    <w:p w14:paraId="653D7CB8">
      <w:pPr>
        <w:pStyle w:val="8"/>
        <w:ind w:firstLine="560" w:firstLineChars="200"/>
        <w:jc w:val="left"/>
        <w:rPr>
          <w:rFonts w:hint="eastAsia"/>
          <w:sz w:val="28"/>
          <w:szCs w:val="28"/>
        </w:rPr>
      </w:pPr>
    </w:p>
    <w:p w14:paraId="783F6BB3">
      <w:pPr>
        <w:pStyle w:val="8"/>
        <w:ind w:firstLine="560" w:firstLineChars="200"/>
        <w:jc w:val="left"/>
        <w:rPr>
          <w:rFonts w:hint="eastAsia"/>
          <w:sz w:val="28"/>
          <w:szCs w:val="28"/>
        </w:rPr>
      </w:pPr>
    </w:p>
    <w:p w14:paraId="722E18B7">
      <w:pPr>
        <w:pStyle w:val="8"/>
        <w:ind w:firstLine="560" w:firstLineChars="200"/>
        <w:jc w:val="left"/>
        <w:rPr>
          <w:rFonts w:hint="eastAsia"/>
          <w:sz w:val="28"/>
          <w:szCs w:val="28"/>
        </w:rPr>
      </w:pPr>
    </w:p>
    <w:p w14:paraId="29351DF1">
      <w:pPr>
        <w:pStyle w:val="8"/>
        <w:ind w:firstLine="560" w:firstLineChars="200"/>
        <w:jc w:val="left"/>
        <w:rPr>
          <w:rFonts w:hint="eastAsia"/>
          <w:sz w:val="28"/>
          <w:szCs w:val="28"/>
        </w:rPr>
      </w:pPr>
    </w:p>
    <w:p w14:paraId="7F72024B">
      <w:pPr>
        <w:pStyle w:val="8"/>
        <w:ind w:firstLine="560" w:firstLineChars="200"/>
        <w:jc w:val="left"/>
        <w:rPr>
          <w:rFonts w:hint="eastAsia"/>
          <w:sz w:val="28"/>
          <w:szCs w:val="28"/>
        </w:rPr>
      </w:pPr>
    </w:p>
    <w:p w14:paraId="7026445E">
      <w:pPr>
        <w:pStyle w:val="8"/>
        <w:ind w:firstLine="560" w:firstLineChars="200"/>
        <w:jc w:val="left"/>
        <w:rPr>
          <w:rFonts w:hint="eastAsia"/>
          <w:sz w:val="28"/>
          <w:szCs w:val="28"/>
        </w:rPr>
      </w:pPr>
    </w:p>
    <w:p w14:paraId="0427633A">
      <w:pPr>
        <w:pStyle w:val="8"/>
        <w:ind w:firstLine="560" w:firstLineChars="200"/>
        <w:jc w:val="left"/>
        <w:rPr>
          <w:rFonts w:hint="eastAsia"/>
          <w:sz w:val="28"/>
          <w:szCs w:val="28"/>
        </w:rPr>
      </w:pPr>
    </w:p>
    <w:p w14:paraId="65B2A06A">
      <w:pPr>
        <w:pStyle w:val="8"/>
        <w:ind w:firstLine="560" w:firstLineChars="200"/>
        <w:jc w:val="left"/>
        <w:rPr>
          <w:rFonts w:hint="eastAsia"/>
          <w:sz w:val="28"/>
          <w:szCs w:val="28"/>
        </w:rPr>
      </w:pPr>
    </w:p>
    <w:p w14:paraId="361BE980">
      <w:pPr>
        <w:pStyle w:val="8"/>
        <w:ind w:firstLine="560" w:firstLineChars="200"/>
        <w:jc w:val="left"/>
        <w:rPr>
          <w:rFonts w:hint="eastAsia"/>
          <w:sz w:val="28"/>
          <w:szCs w:val="28"/>
        </w:rPr>
      </w:pPr>
    </w:p>
    <w:p w14:paraId="5DF91BE2">
      <w:pPr>
        <w:pStyle w:val="8"/>
        <w:ind w:firstLine="560" w:firstLineChars="200"/>
        <w:jc w:val="left"/>
        <w:rPr>
          <w:rFonts w:hint="eastAsia"/>
          <w:sz w:val="28"/>
          <w:szCs w:val="28"/>
        </w:rPr>
      </w:pPr>
    </w:p>
    <w:p w14:paraId="1274E21B">
      <w:pPr>
        <w:pStyle w:val="8"/>
        <w:ind w:firstLine="560" w:firstLineChars="200"/>
        <w:jc w:val="left"/>
        <w:rPr>
          <w:rFonts w:hint="eastAsia"/>
          <w:sz w:val="28"/>
          <w:szCs w:val="28"/>
        </w:rPr>
      </w:pPr>
    </w:p>
    <w:p w14:paraId="52CE5070">
      <w:pPr>
        <w:pStyle w:val="8"/>
        <w:ind w:firstLine="560" w:firstLineChars="200"/>
        <w:jc w:val="left"/>
        <w:rPr>
          <w:rFonts w:hint="eastAsia"/>
          <w:sz w:val="28"/>
          <w:szCs w:val="28"/>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南宁中心血站2025年淡季无偿献血宣传品（洗衣粉）采购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180B424C">
      <w:pPr>
        <w:rPr>
          <w:rFonts w:hint="eastAsia"/>
          <w:sz w:val="28"/>
          <w:szCs w:val="28"/>
        </w:rPr>
      </w:pPr>
      <w:r>
        <w:rPr>
          <w:rFonts w:hint="eastAsia"/>
          <w:color w:val="auto"/>
        </w:rPr>
        <w:t>3. 法人、其他组织竞标时“我方”是指“我单位”，自然人竞标时“我方”是指“本人”。</w:t>
      </w: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6"/>
      </w:pP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南宁中心血站2025年淡季无偿献血宣传品（洗衣粉）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46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672"/>
        <w:gridCol w:w="963"/>
        <w:gridCol w:w="1012"/>
        <w:gridCol w:w="1438"/>
        <w:gridCol w:w="1375"/>
        <w:gridCol w:w="1288"/>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83"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996"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573" w:type="pct"/>
            <w:vAlign w:val="center"/>
          </w:tcPr>
          <w:p w14:paraId="443FF386">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603" w:type="pct"/>
            <w:vAlign w:val="center"/>
          </w:tcPr>
          <w:p w14:paraId="1329B7AA">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856" w:type="pct"/>
            <w:vAlign w:val="center"/>
          </w:tcPr>
          <w:p w14:paraId="12EAC7D2">
            <w:pPr>
              <w:pStyle w:val="8"/>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8"/>
              <w:jc w:val="center"/>
              <w:rPr>
                <w:rFonts w:asciiTheme="minorEastAsia" w:hAnsiTheme="minorEastAsia" w:cstheme="minorEastAsia"/>
                <w:szCs w:val="21"/>
              </w:rPr>
            </w:pPr>
            <w:r>
              <w:rPr>
                <w:rFonts w:hint="eastAsia" w:asciiTheme="minorEastAsia" w:hAnsiTheme="minorEastAsia" w:cstheme="minorEastAsia"/>
                <w:szCs w:val="21"/>
              </w:rPr>
              <w:t>②</w:t>
            </w:r>
          </w:p>
        </w:tc>
        <w:tc>
          <w:tcPr>
            <w:tcW w:w="819" w:type="pct"/>
            <w:vAlign w:val="center"/>
          </w:tcPr>
          <w:p w14:paraId="7C566DE1">
            <w:pPr>
              <w:pStyle w:val="8"/>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8"/>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767"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6A70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exact"/>
          <w:jc w:val="center"/>
        </w:trPr>
        <w:tc>
          <w:tcPr>
            <w:tcW w:w="383" w:type="pct"/>
            <w:vAlign w:val="center"/>
          </w:tcPr>
          <w:p w14:paraId="752A4836">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1</w:t>
            </w:r>
          </w:p>
        </w:tc>
        <w:tc>
          <w:tcPr>
            <w:tcW w:w="996" w:type="pct"/>
            <w:vAlign w:val="center"/>
          </w:tcPr>
          <w:p w14:paraId="2E0F6A79">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洗衣粉</w:t>
            </w:r>
            <w:r>
              <w:rPr>
                <w:rFonts w:hint="eastAsia" w:ascii="宋体" w:hAnsi="宋体" w:cs="宋体"/>
                <w:szCs w:val="21"/>
                <w:lang w:val="en-US" w:eastAsia="zh-CN"/>
              </w:rPr>
              <w:br w:type="textWrapping"/>
            </w:r>
            <w:r>
              <w:rPr>
                <w:rFonts w:hAnsi="宋体"/>
                <w:color w:val="FF0000"/>
                <w:szCs w:val="21"/>
              </w:rPr>
              <w:t>（请贵</w:t>
            </w:r>
            <w:r>
              <w:rPr>
                <w:rFonts w:hint="eastAsia" w:hAnsi="宋体"/>
                <w:color w:val="FF0000"/>
                <w:szCs w:val="21"/>
                <w:lang w:val="en-US" w:eastAsia="zh-CN"/>
              </w:rPr>
              <w:t>单位</w:t>
            </w:r>
            <w:r>
              <w:rPr>
                <w:rFonts w:hAnsi="宋体"/>
                <w:color w:val="FF0000"/>
                <w:szCs w:val="21"/>
              </w:rPr>
              <w:t>填入响应货物品牌</w:t>
            </w:r>
            <w:r>
              <w:rPr>
                <w:rFonts w:hint="eastAsia" w:hAnsi="宋体"/>
                <w:color w:val="FF0000"/>
                <w:szCs w:val="21"/>
                <w:lang w:eastAsia="zh-CN"/>
              </w:rPr>
              <w:t>、</w:t>
            </w:r>
            <w:r>
              <w:rPr>
                <w:rFonts w:hint="eastAsia" w:hAnsi="宋体"/>
                <w:color w:val="FF0000"/>
                <w:szCs w:val="21"/>
                <w:lang w:val="en-US" w:eastAsia="zh-CN"/>
              </w:rPr>
              <w:t>型号</w:t>
            </w:r>
            <w:r>
              <w:rPr>
                <w:rFonts w:hAnsi="宋体"/>
                <w:color w:val="FF0000"/>
                <w:szCs w:val="21"/>
              </w:rPr>
              <w:t>）</w:t>
            </w:r>
          </w:p>
        </w:tc>
        <w:tc>
          <w:tcPr>
            <w:tcW w:w="573" w:type="pct"/>
            <w:vAlign w:val="center"/>
          </w:tcPr>
          <w:p w14:paraId="58A56D19">
            <w:pPr>
              <w:pStyle w:val="8"/>
              <w:ind w:firstLine="210" w:firstLineChars="100"/>
              <w:rPr>
                <w:rFonts w:hint="eastAsia" w:asciiTheme="minorEastAsia" w:hAnsiTheme="minorEastAsia" w:cstheme="minorEastAsia"/>
                <w:szCs w:val="21"/>
                <w:lang w:val="en-US" w:eastAsia="zh-CN"/>
              </w:rPr>
            </w:pPr>
            <w:r>
              <w:rPr>
                <w:rFonts w:hint="eastAsia" w:asciiTheme="minorEastAsia" w:hAnsiTheme="minorEastAsia" w:cstheme="minorEastAsia"/>
                <w:szCs w:val="21"/>
                <w:lang w:val="en-US" w:eastAsia="zh-CN"/>
              </w:rPr>
              <w:t>袋</w:t>
            </w:r>
          </w:p>
        </w:tc>
        <w:tc>
          <w:tcPr>
            <w:tcW w:w="603" w:type="pct"/>
            <w:vAlign w:val="center"/>
          </w:tcPr>
          <w:p w14:paraId="27A42B44">
            <w:pPr>
              <w:pStyle w:val="8"/>
              <w:jc w:val="center"/>
              <w:rPr>
                <w:rFonts w:hint="eastAsia" w:asciiTheme="minorEastAsia" w:hAnsiTheme="minorEastAsia" w:cstheme="minorEastAsia"/>
                <w:szCs w:val="21"/>
                <w:lang w:val="en-US" w:eastAsia="zh-CN"/>
              </w:rPr>
            </w:pPr>
            <w:r>
              <w:rPr>
                <w:rFonts w:hint="eastAsia" w:asciiTheme="minorEastAsia" w:hAnsiTheme="minorEastAsia" w:cstheme="minorEastAsia"/>
                <w:szCs w:val="21"/>
                <w:lang w:val="en-US" w:eastAsia="zh-CN"/>
              </w:rPr>
              <w:t>1000</w:t>
            </w:r>
          </w:p>
        </w:tc>
        <w:tc>
          <w:tcPr>
            <w:tcW w:w="856" w:type="pct"/>
            <w:vAlign w:val="center"/>
          </w:tcPr>
          <w:p w14:paraId="5C26E29B">
            <w:pPr>
              <w:pStyle w:val="8"/>
              <w:rPr>
                <w:rFonts w:hint="eastAsia" w:ascii="宋体" w:hAnsi="宋体" w:eastAsia="宋体" w:cs="宋体"/>
                <w:sz w:val="21"/>
                <w:szCs w:val="21"/>
              </w:rPr>
            </w:pPr>
          </w:p>
        </w:tc>
        <w:tc>
          <w:tcPr>
            <w:tcW w:w="819" w:type="pct"/>
            <w:vAlign w:val="center"/>
          </w:tcPr>
          <w:p w14:paraId="507BE8BA">
            <w:pPr>
              <w:pStyle w:val="8"/>
              <w:rPr>
                <w:rFonts w:hint="eastAsia" w:ascii="宋体" w:hAnsi="宋体" w:eastAsia="宋体" w:cs="宋体"/>
                <w:sz w:val="21"/>
                <w:szCs w:val="21"/>
              </w:rPr>
            </w:pPr>
          </w:p>
        </w:tc>
        <w:tc>
          <w:tcPr>
            <w:tcW w:w="767" w:type="pct"/>
            <w:vAlign w:val="center"/>
          </w:tcPr>
          <w:p w14:paraId="61E3D01C">
            <w:pPr>
              <w:pStyle w:val="8"/>
              <w:rPr>
                <w:rFonts w:hint="eastAsia" w:ascii="宋体" w:hAnsi="宋体" w:eastAsia="宋体" w:cs="宋体"/>
                <w:sz w:val="21"/>
                <w:szCs w:val="21"/>
              </w:rPr>
            </w:pPr>
          </w:p>
        </w:tc>
      </w:tr>
      <w:tr w14:paraId="0C91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461127C8">
            <w:pPr>
              <w:pStyle w:val="8"/>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58BBE023">
            <w:pPr>
              <w:pStyle w:val="8"/>
              <w:rPr>
                <w:rFonts w:hint="eastAsia" w:asciiTheme="minorEastAsia" w:hAnsiTheme="minorEastAsia" w:eastAsiaTheme="minorEastAsia"/>
                <w:b/>
                <w:color w:val="0000FF"/>
                <w:sz w:val="21"/>
                <w:szCs w:val="21"/>
                <w:lang w:val="en-US" w:eastAsia="zh-CN"/>
              </w:rPr>
            </w:pPr>
            <w:r>
              <w:rPr>
                <w:rFonts w:hint="eastAsia" w:asciiTheme="minorEastAsia" w:hAnsiTheme="minorEastAsia" w:eastAsiaTheme="minorEastAsia"/>
                <w:b/>
                <w:color w:val="0000FF"/>
                <w:sz w:val="21"/>
                <w:szCs w:val="21"/>
              </w:rPr>
              <w:t>说明：</w:t>
            </w:r>
            <w:r>
              <w:rPr>
                <w:rFonts w:hint="eastAsia" w:asciiTheme="minorEastAsia" w:hAnsiTheme="minorEastAsia" w:eastAsiaTheme="minorEastAsia"/>
                <w:b/>
                <w:color w:val="0000FF"/>
                <w:sz w:val="21"/>
                <w:szCs w:val="21"/>
                <w:lang w:val="en-US" w:eastAsia="zh-CN"/>
              </w:rPr>
              <w:t>1、本项目仅做一次报价，请响应供应商一次报出不得更改的价格且</w:t>
            </w:r>
            <w:r>
              <w:rPr>
                <w:rFonts w:hint="eastAsia" w:asciiTheme="minorEastAsia" w:hAnsiTheme="minorEastAsia"/>
                <w:b/>
                <w:color w:val="0000FF"/>
                <w:sz w:val="21"/>
                <w:szCs w:val="21"/>
                <w:lang w:val="en-US" w:eastAsia="zh-CN"/>
              </w:rPr>
              <w:t>报价合计</w:t>
            </w:r>
            <w:r>
              <w:rPr>
                <w:rFonts w:hint="eastAsia" w:asciiTheme="minorEastAsia" w:hAnsiTheme="minorEastAsia" w:eastAsiaTheme="minorEastAsia"/>
                <w:b/>
                <w:color w:val="0000FF"/>
                <w:sz w:val="21"/>
                <w:szCs w:val="21"/>
                <w:lang w:val="en-US" w:eastAsia="zh-CN"/>
              </w:rPr>
              <w:t>金额不能超过本项目</w:t>
            </w:r>
            <w:r>
              <w:rPr>
                <w:rFonts w:hint="eastAsia" w:asciiTheme="minorEastAsia" w:hAnsiTheme="minorEastAsia"/>
                <w:b/>
                <w:color w:val="0000FF"/>
                <w:sz w:val="21"/>
                <w:szCs w:val="21"/>
                <w:lang w:val="en-US" w:eastAsia="zh-CN"/>
              </w:rPr>
              <w:t>最高限价（¥10000.00元）</w:t>
            </w:r>
            <w:r>
              <w:rPr>
                <w:rFonts w:hint="eastAsia" w:asciiTheme="minorEastAsia" w:hAnsiTheme="minorEastAsia" w:eastAsiaTheme="minorEastAsia"/>
                <w:b/>
                <w:color w:val="0000FF"/>
                <w:sz w:val="21"/>
                <w:szCs w:val="21"/>
                <w:lang w:val="en-US" w:eastAsia="zh-CN"/>
              </w:rPr>
              <w:t>。</w:t>
            </w:r>
          </w:p>
          <w:p w14:paraId="78E13616">
            <w:pPr>
              <w:pStyle w:val="8"/>
              <w:rPr>
                <w:rFonts w:hint="eastAsia" w:asciiTheme="minorEastAsia" w:hAnsiTheme="minorEastAsia" w:eastAsiaTheme="minorEastAsia"/>
                <w:b/>
                <w:color w:val="0000FF"/>
                <w:sz w:val="21"/>
                <w:szCs w:val="21"/>
              </w:rPr>
            </w:pPr>
          </w:p>
          <w:p w14:paraId="30E65E86">
            <w:pPr>
              <w:pStyle w:val="3"/>
              <w:rPr>
                <w:rFonts w:hint="eastAsia"/>
              </w:rPr>
            </w:pPr>
          </w:p>
        </w:tc>
      </w:tr>
    </w:tbl>
    <w:p w14:paraId="43B9D039">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3"/>
        <w:numPr>
          <w:ilvl w:val="3"/>
          <w:numId w:val="0"/>
        </w:numPr>
        <w:ind w:left="1077" w:leftChars="0"/>
      </w:pPr>
    </w:p>
    <w:p w14:paraId="416DC118"/>
    <w:p w14:paraId="2F6E8D8B">
      <w:pPr>
        <w:pStyle w:val="8"/>
        <w:spacing w:line="500" w:lineRule="exact"/>
        <w:ind w:firstLine="560" w:firstLineChars="200"/>
        <w:jc w:val="left"/>
        <w:rPr>
          <w:rFonts w:hint="eastAsia" w:asciiTheme="minorEastAsia" w:hAnsiTheme="minorEastAsia" w:cstheme="majorEastAsia"/>
          <w:bCs/>
          <w:color w:val="000000"/>
          <w:sz w:val="28"/>
          <w:szCs w:val="28"/>
        </w:rPr>
      </w:pPr>
    </w:p>
    <w:p w14:paraId="675F7670">
      <w:pPr>
        <w:pStyle w:val="8"/>
        <w:spacing w:line="500" w:lineRule="exact"/>
        <w:ind w:firstLine="560" w:firstLineChars="200"/>
        <w:jc w:val="left"/>
        <w:rPr>
          <w:rFonts w:hint="eastAsia" w:asciiTheme="minorEastAsia" w:hAnsiTheme="minorEastAsia" w:cstheme="majorEastAsia"/>
          <w:bCs/>
          <w:color w:val="000000"/>
          <w:sz w:val="28"/>
          <w:szCs w:val="28"/>
        </w:rPr>
      </w:pPr>
    </w:p>
    <w:p w14:paraId="1ADD5BD4">
      <w:pPr>
        <w:pStyle w:val="8"/>
        <w:spacing w:line="500" w:lineRule="exact"/>
        <w:ind w:firstLine="560" w:firstLineChars="200"/>
        <w:jc w:val="left"/>
        <w:rPr>
          <w:rFonts w:hint="eastAsia" w:asciiTheme="minorEastAsia" w:hAnsiTheme="minorEastAsia" w:cstheme="majorEastAsia"/>
          <w:bCs/>
          <w:color w:val="000000"/>
          <w:sz w:val="28"/>
          <w:szCs w:val="28"/>
        </w:rPr>
      </w:pPr>
    </w:p>
    <w:p w14:paraId="2297D8BF">
      <w:pPr>
        <w:pStyle w:val="8"/>
        <w:spacing w:line="500" w:lineRule="exact"/>
        <w:ind w:firstLine="560" w:firstLineChars="200"/>
        <w:jc w:val="left"/>
        <w:rPr>
          <w:rFonts w:hint="eastAsia" w:asciiTheme="minorEastAsia" w:hAnsiTheme="minorEastAsia" w:cstheme="majorEastAsia"/>
          <w:bCs/>
          <w:color w:val="000000"/>
          <w:sz w:val="28"/>
          <w:szCs w:val="28"/>
        </w:rPr>
      </w:pPr>
    </w:p>
    <w:p w14:paraId="686BBD0B">
      <w:pPr>
        <w:pStyle w:val="8"/>
        <w:spacing w:line="500" w:lineRule="exact"/>
        <w:ind w:firstLine="560" w:firstLineChars="200"/>
        <w:jc w:val="left"/>
        <w:rPr>
          <w:rFonts w:hint="eastAsia" w:asciiTheme="minorEastAsia" w:hAnsiTheme="minorEastAsia" w:cstheme="majorEastAsia"/>
          <w:bCs/>
          <w:color w:val="000000"/>
          <w:sz w:val="28"/>
          <w:szCs w:val="28"/>
        </w:rPr>
      </w:pPr>
    </w:p>
    <w:p w14:paraId="56AF17DC">
      <w:pPr>
        <w:pStyle w:val="8"/>
        <w:spacing w:line="500" w:lineRule="exact"/>
        <w:ind w:firstLine="560" w:firstLineChars="200"/>
        <w:jc w:val="left"/>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p>
    <w:p w14:paraId="4B9610A9">
      <w:pPr>
        <w:pStyle w:val="8"/>
        <w:spacing w:line="500" w:lineRule="exact"/>
        <w:ind w:firstLine="602" w:firstLineChars="200"/>
        <w:jc w:val="center"/>
        <w:rPr>
          <w:rFonts w:hAnsi="宋体"/>
          <w:b/>
          <w:bCs/>
          <w:color w:val="auto"/>
          <w:sz w:val="30"/>
          <w:szCs w:val="30"/>
        </w:rPr>
      </w:pP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本采购需求一览表的内容为实质性要求和条件，供应商必须满足，不满足或负偏离视为无效响应。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622"/>
        <w:gridCol w:w="647"/>
        <w:gridCol w:w="3165"/>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350" w:type="pct"/>
            <w:gridSpan w:val="2"/>
            <w:vAlign w:val="center"/>
          </w:tcPr>
          <w:p w14:paraId="6400F0E2">
            <w:pPr>
              <w:jc w:val="center"/>
              <w:rPr>
                <w:rFonts w:ascii="宋体"/>
                <w:szCs w:val="21"/>
              </w:rPr>
            </w:pPr>
            <w:r>
              <w:rPr>
                <w:rFonts w:hint="eastAsia" w:ascii="宋体" w:hAnsi="宋体"/>
                <w:szCs w:val="21"/>
              </w:rPr>
              <w:t>采购文件需求</w:t>
            </w:r>
          </w:p>
        </w:tc>
        <w:tc>
          <w:tcPr>
            <w:tcW w:w="2085"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5" w:type="pct"/>
            <w:vMerge w:val="continue"/>
            <w:vAlign w:val="center"/>
          </w:tcPr>
          <w:p w14:paraId="49B33CFA">
            <w:pPr>
              <w:pStyle w:val="8"/>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81" w:type="pct"/>
            <w:vAlign w:val="center"/>
          </w:tcPr>
          <w:p w14:paraId="090188AF">
            <w:pPr>
              <w:jc w:val="center"/>
              <w:rPr>
                <w:rFonts w:ascii="宋体"/>
                <w:szCs w:val="21"/>
              </w:rPr>
            </w:pPr>
            <w:r>
              <w:rPr>
                <w:rFonts w:hint="eastAsia" w:ascii="宋体" w:hAnsi="宋体"/>
                <w:szCs w:val="21"/>
              </w:rPr>
              <w:t>采购内容及要求</w:t>
            </w:r>
          </w:p>
        </w:tc>
        <w:tc>
          <w:tcPr>
            <w:tcW w:w="354" w:type="pct"/>
            <w:vAlign w:val="center"/>
          </w:tcPr>
          <w:p w14:paraId="7D0F43AF">
            <w:pPr>
              <w:jc w:val="center"/>
              <w:rPr>
                <w:rFonts w:ascii="宋体"/>
                <w:szCs w:val="21"/>
              </w:rPr>
            </w:pPr>
            <w:r>
              <w:rPr>
                <w:rFonts w:hint="eastAsia" w:ascii="宋体" w:hAnsi="宋体"/>
                <w:szCs w:val="21"/>
              </w:rPr>
              <w:t>货物名称</w:t>
            </w:r>
          </w:p>
        </w:tc>
        <w:tc>
          <w:tcPr>
            <w:tcW w:w="1731"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46EA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413F821A">
            <w:pPr>
              <w:pStyle w:val="6"/>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2</w:t>
            </w:r>
          </w:p>
        </w:tc>
        <w:tc>
          <w:tcPr>
            <w:tcW w:w="368" w:type="pct"/>
            <w:vAlign w:val="center"/>
          </w:tcPr>
          <w:p w14:paraId="1A694FBF">
            <w:pPr>
              <w:jc w:val="center"/>
              <w:rPr>
                <w:rFonts w:hint="eastAsia" w:ascii="宋体" w:hAnsi="宋体" w:cs="宋体"/>
                <w:szCs w:val="21"/>
                <w:lang w:val="en-US" w:eastAsia="zh-CN"/>
              </w:rPr>
            </w:pPr>
            <w:r>
              <w:rPr>
                <w:rFonts w:hint="eastAsia" w:ascii="宋体" w:hAnsi="宋体" w:cs="宋体"/>
                <w:szCs w:val="21"/>
                <w:lang w:val="en-US" w:eastAsia="zh-CN"/>
              </w:rPr>
              <w:t>洗衣粉</w:t>
            </w:r>
            <w:r>
              <w:rPr>
                <w:rFonts w:hint="eastAsia" w:ascii="宋体" w:hAnsi="宋体" w:cs="宋体"/>
                <w:szCs w:val="21"/>
                <w:lang w:val="en-US" w:eastAsia="zh-CN"/>
              </w:rPr>
              <w:br w:type="textWrapping"/>
            </w:r>
          </w:p>
        </w:tc>
        <w:tc>
          <w:tcPr>
            <w:tcW w:w="1981" w:type="pct"/>
            <w:shd w:val="clear" w:color="auto" w:fill="auto"/>
            <w:vAlign w:val="center"/>
          </w:tcPr>
          <w:p w14:paraId="169F2D93">
            <w:pPr>
              <w:pStyle w:val="15"/>
              <w:keepNext w:val="0"/>
              <w:keepLines w:val="0"/>
              <w:pageBreakBefore w:val="0"/>
              <w:widowControl w:val="0"/>
              <w:kinsoku/>
              <w:wordWrap/>
              <w:overflowPunct/>
              <w:topLinePunct w:val="0"/>
              <w:bidi w:val="0"/>
              <w:snapToGrid/>
              <w:spacing w:line="360" w:lineRule="exact"/>
              <w:ind w:firstLine="0" w:firstLineChars="0"/>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1.净含量：≥1kg</w:t>
            </w:r>
          </w:p>
          <w:p w14:paraId="4CB5A0EB">
            <w:pPr>
              <w:pStyle w:val="15"/>
              <w:keepNext w:val="0"/>
              <w:keepLines w:val="0"/>
              <w:pageBreakBefore w:val="0"/>
              <w:widowControl w:val="0"/>
              <w:kinsoku/>
              <w:wordWrap/>
              <w:overflowPunct/>
              <w:topLinePunct w:val="0"/>
              <w:bidi w:val="0"/>
              <w:snapToGrid/>
              <w:spacing w:line="360" w:lineRule="exact"/>
              <w:ind w:firstLine="0" w:firstLineChars="0"/>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2.适用：清洗棉、麻、化纤及混纺织物等</w:t>
            </w:r>
          </w:p>
          <w:p w14:paraId="492E9513">
            <w:pPr>
              <w:pStyle w:val="15"/>
              <w:keepNext w:val="0"/>
              <w:keepLines w:val="0"/>
              <w:pageBreakBefore w:val="0"/>
              <w:widowControl w:val="0"/>
              <w:kinsoku/>
              <w:wordWrap/>
              <w:overflowPunct/>
              <w:topLinePunct w:val="0"/>
              <w:bidi w:val="0"/>
              <w:snapToGrid/>
              <w:spacing w:line="360" w:lineRule="exact"/>
              <w:ind w:firstLine="0" w:firstLineChars="0"/>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3.不低于 GB/T 13171.1-2022《洗衣粉第1部分:技术要求》。</w:t>
            </w:r>
          </w:p>
          <w:p w14:paraId="42D1784B">
            <w:pPr>
              <w:pStyle w:val="15"/>
              <w:keepNext w:val="0"/>
              <w:keepLines w:val="0"/>
              <w:pageBreakBefore w:val="0"/>
              <w:widowControl w:val="0"/>
              <w:kinsoku/>
              <w:wordWrap/>
              <w:overflowPunct/>
              <w:topLinePunct w:val="0"/>
              <w:bidi w:val="0"/>
              <w:snapToGrid/>
              <w:spacing w:line="360" w:lineRule="exact"/>
              <w:ind w:firstLine="0" w:firstLineChars="0"/>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4.保质期:≥2年。</w:t>
            </w:r>
          </w:p>
          <w:p w14:paraId="3A8C4070">
            <w:pPr>
              <w:pStyle w:val="15"/>
              <w:keepNext w:val="0"/>
              <w:keepLines w:val="0"/>
              <w:pageBreakBefore w:val="0"/>
              <w:widowControl w:val="0"/>
              <w:kinsoku/>
              <w:wordWrap/>
              <w:overflowPunct/>
              <w:topLinePunct w:val="0"/>
              <w:bidi w:val="0"/>
              <w:snapToGrid/>
              <w:spacing w:line="360" w:lineRule="exact"/>
              <w:ind w:firstLine="0" w:firstLineChars="0"/>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5.供货时产品生产日期为 2025 年1月及以后。</w:t>
            </w:r>
          </w:p>
          <w:p w14:paraId="4FF1CAC6">
            <w:pPr>
              <w:pStyle w:val="15"/>
              <w:keepNext w:val="0"/>
              <w:keepLines w:val="0"/>
              <w:pageBreakBefore w:val="0"/>
              <w:widowControl w:val="0"/>
              <w:kinsoku/>
              <w:wordWrap/>
              <w:overflowPunct/>
              <w:topLinePunct w:val="0"/>
              <w:bidi w:val="0"/>
              <w:snapToGrid/>
              <w:spacing w:line="360" w:lineRule="exact"/>
              <w:ind w:firstLine="0" w:firstLineChars="0"/>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6.供货时提供所供产品具有由CMA/CNAS 认证的第三方检测机构出具的的质量检测报告(检测时间为202</w:t>
            </w:r>
            <w:r>
              <w:rPr>
                <w:rFonts w:hint="eastAsia" w:asciiTheme="minorEastAsia" w:hAnsiTheme="minorEastAsia" w:cstheme="minorEastAsia"/>
                <w:b w:val="0"/>
                <w:bCs w:val="0"/>
                <w:sz w:val="21"/>
                <w:szCs w:val="21"/>
                <w:lang w:val="en-US" w:eastAsia="zh-CN"/>
              </w:rPr>
              <w:t>5</w:t>
            </w:r>
            <w:r>
              <w:rPr>
                <w:rFonts w:hint="eastAsia" w:asciiTheme="minorEastAsia" w:hAnsiTheme="minorEastAsia" w:eastAsiaTheme="minorEastAsia" w:cstheme="minorEastAsia"/>
                <w:b w:val="0"/>
                <w:bCs w:val="0"/>
                <w:sz w:val="21"/>
                <w:szCs w:val="21"/>
                <w:lang w:val="en-US" w:eastAsia="zh-CN"/>
              </w:rPr>
              <w:t>年及以后)。</w:t>
            </w:r>
          </w:p>
        </w:tc>
        <w:tc>
          <w:tcPr>
            <w:tcW w:w="354" w:type="pct"/>
            <w:vAlign w:val="center"/>
          </w:tcPr>
          <w:p w14:paraId="0EFBC44B">
            <w:pPr>
              <w:pStyle w:val="6"/>
              <w:widowControl w:val="0"/>
              <w:numPr>
                <w:ilvl w:val="0"/>
                <w:numId w:val="0"/>
              </w:numPr>
              <w:spacing w:before="0" w:beforeAutospacing="0" w:after="120" w:afterAutospacing="0"/>
              <w:jc w:val="both"/>
              <w:rPr>
                <w:rFonts w:hint="eastAsia" w:ascii="宋体" w:hAnsi="宋体" w:cs="宋体"/>
                <w:szCs w:val="21"/>
                <w:lang w:val="en-US" w:eastAsia="zh-CN"/>
              </w:rPr>
            </w:pPr>
            <w:r>
              <w:rPr>
                <w:rFonts w:hint="eastAsia" w:ascii="宋体" w:hAnsi="宋体" w:cs="宋体"/>
                <w:szCs w:val="21"/>
                <w:lang w:val="en-US" w:eastAsia="zh-CN"/>
              </w:rPr>
              <w:t>洗衣粉</w:t>
            </w:r>
            <w:r>
              <w:rPr>
                <w:rFonts w:hint="eastAsia" w:ascii="宋体" w:hAnsi="宋体" w:cs="宋体"/>
                <w:szCs w:val="21"/>
                <w:lang w:val="en-US" w:eastAsia="zh-CN"/>
              </w:rPr>
              <w:br w:type="textWrapping"/>
            </w:r>
          </w:p>
        </w:tc>
        <w:tc>
          <w:tcPr>
            <w:tcW w:w="1731" w:type="pct"/>
            <w:vAlign w:val="center"/>
          </w:tcPr>
          <w:p w14:paraId="6FC44CCD">
            <w:pPr>
              <w:pStyle w:val="6"/>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341F38EB">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8"/>
        <w:spacing w:line="400" w:lineRule="exact"/>
        <w:rPr>
          <w:rFonts w:hint="eastAsia" w:hAnsi="宋体"/>
          <w:color w:val="auto"/>
          <w:sz w:val="18"/>
          <w:szCs w:val="18"/>
        </w:rPr>
      </w:pPr>
      <w:bookmarkStart w:id="1" w:name="_Toc460253713"/>
      <w:bookmarkStart w:id="2" w:name="_Toc521096352"/>
    </w:p>
    <w:p w14:paraId="63CC2721">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1"/>
        <w:rPr>
          <w:rFonts w:hint="eastAsia"/>
        </w:rPr>
      </w:pPr>
    </w:p>
    <w:p w14:paraId="4EF3C0F4">
      <w:pPr>
        <w:spacing w:line="400" w:lineRule="exact"/>
        <w:ind w:firstLine="560" w:firstLineChars="200"/>
        <w:jc w:val="left"/>
        <w:rPr>
          <w:rFonts w:hint="eastAsia" w:asciiTheme="minorEastAsia" w:hAnsiTheme="minorEastAsia" w:cstheme="majorEastAsia"/>
          <w:bCs/>
          <w:color w:val="000000"/>
          <w:sz w:val="28"/>
          <w:szCs w:val="28"/>
        </w:rPr>
      </w:pPr>
    </w:p>
    <w:p w14:paraId="7608893B">
      <w:pPr>
        <w:spacing w:line="400" w:lineRule="exact"/>
        <w:jc w:val="left"/>
        <w:rPr>
          <w:rFonts w:hint="eastAsia" w:asciiTheme="minorEastAsia" w:hAnsiTheme="minorEastAsia" w:cstheme="majorEastAsia"/>
          <w:bCs/>
          <w:color w:val="000000"/>
          <w:sz w:val="28"/>
          <w:szCs w:val="28"/>
        </w:rPr>
      </w:pPr>
    </w:p>
    <w:p w14:paraId="6D6B2734">
      <w:pPr>
        <w:spacing w:line="400" w:lineRule="exact"/>
        <w:ind w:firstLine="560" w:firstLineChars="200"/>
        <w:jc w:val="left"/>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p>
    <w:p w14:paraId="4605C699">
      <w:pPr>
        <w:spacing w:line="400" w:lineRule="exact"/>
        <w:ind w:firstLine="723" w:firstLineChars="200"/>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579"/>
        <w:gridCol w:w="1165"/>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18211"/>
            <w:bookmarkStart w:id="4" w:name="_Toc529"/>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3"/>
            <w:bookmarkStart w:id="6" w:name="_Toc1122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579" w:type="dxa"/>
            <w:vAlign w:val="center"/>
          </w:tcPr>
          <w:p w14:paraId="68BBADE5">
            <w:pPr>
              <w:adjustRightInd w:val="0"/>
              <w:snapToGrid w:val="0"/>
              <w:spacing w:line="400" w:lineRule="exact"/>
              <w:jc w:val="center"/>
              <w:outlineLvl w:val="0"/>
              <w:rPr>
                <w:rFonts w:ascii="宋体" w:hAnsi="宋体"/>
                <w:color w:val="auto"/>
                <w:szCs w:val="21"/>
              </w:rPr>
            </w:pPr>
            <w:bookmarkStart w:id="7" w:name="_Toc22733"/>
            <w:bookmarkStart w:id="8" w:name="_Toc3147"/>
            <w:r>
              <w:rPr>
                <w:rFonts w:hint="eastAsia" w:ascii="宋体" w:hAnsi="宋体"/>
                <w:color w:val="auto"/>
                <w:szCs w:val="21"/>
              </w:rPr>
              <w:t>响应文件具体响应</w:t>
            </w:r>
            <w:bookmarkEnd w:id="7"/>
            <w:bookmarkEnd w:id="8"/>
          </w:p>
        </w:tc>
        <w:tc>
          <w:tcPr>
            <w:tcW w:w="1165"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20348"/>
            <w:bookmarkStart w:id="10" w:name="_Toc16246"/>
            <w:r>
              <w:rPr>
                <w:rFonts w:hint="eastAsia" w:ascii="宋体" w:hAnsi="宋体"/>
                <w:color w:val="auto"/>
                <w:szCs w:val="21"/>
              </w:rPr>
              <w:t>1</w:t>
            </w:r>
            <w:bookmarkEnd w:id="9"/>
            <w:bookmarkEnd w:id="10"/>
          </w:p>
        </w:tc>
        <w:tc>
          <w:tcPr>
            <w:tcW w:w="3793" w:type="dxa"/>
            <w:vAlign w:val="center"/>
          </w:tcPr>
          <w:p w14:paraId="51529C41">
            <w:pPr>
              <w:keepNext w:val="0"/>
              <w:keepLines w:val="0"/>
              <w:pageBreakBefore w:val="0"/>
              <w:widowControl/>
              <w:numPr>
                <w:ilvl w:val="0"/>
                <w:numId w:val="0"/>
              </w:numPr>
              <w:shd w:val="clear" w:color="auto" w:fill="FFFFFF"/>
              <w:wordWrap/>
              <w:topLinePunct w:val="0"/>
              <w:autoSpaceDE/>
              <w:autoSpaceDN/>
              <w:bidi w:val="0"/>
              <w:adjustRightInd/>
              <w:snapToGrid/>
              <w:spacing w:line="400" w:lineRule="exact"/>
              <w:textAlignment w:val="auto"/>
              <w:rPr>
                <w:rFonts w:ascii="仿宋" w:hAnsi="仿宋" w:eastAsia="仿宋"/>
                <w:color w:val="auto"/>
                <w:sz w:val="20"/>
                <w:szCs w:val="20"/>
              </w:rPr>
            </w:pPr>
            <w:r>
              <w:rPr>
                <w:rFonts w:hint="eastAsia" w:ascii="宋体" w:hAnsi="宋体"/>
                <w:b/>
                <w:bCs/>
                <w:szCs w:val="21"/>
              </w:rPr>
              <w:t>合同签订期：</w:t>
            </w:r>
            <w:r>
              <w:rPr>
                <w:rFonts w:hint="eastAsia" w:ascii="宋体" w:hAnsi="宋体"/>
                <w:szCs w:val="21"/>
              </w:rPr>
              <w:t>自采购结果公告结束之日起 10 个工作日内。</w:t>
            </w:r>
          </w:p>
        </w:tc>
        <w:tc>
          <w:tcPr>
            <w:tcW w:w="3579"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FF0000"/>
                <w:szCs w:val="21"/>
                <w:highlight w:val="none"/>
                <w:lang w:val="en-US" w:eastAsia="zh-CN"/>
              </w:rPr>
              <w:t>无</w:t>
            </w:r>
            <w:r>
              <w:rPr>
                <w:rFonts w:hint="eastAsia" w:ascii="Times New Roman" w:hAnsi="Times New Roman"/>
                <w:color w:val="FF0000"/>
                <w:szCs w:val="21"/>
                <w:highlight w:val="none"/>
              </w:rPr>
              <w:t>偏离（负偏离或</w:t>
            </w:r>
            <w:r>
              <w:rPr>
                <w:rFonts w:hint="eastAsia" w:ascii="Times New Roman" w:hAnsi="Times New Roman"/>
                <w:color w:val="FF0000"/>
                <w:szCs w:val="21"/>
                <w:highlight w:val="none"/>
                <w:lang w:val="en-US" w:eastAsia="zh-CN"/>
              </w:rPr>
              <w:t>正</w:t>
            </w:r>
            <w:r>
              <w:rPr>
                <w:rFonts w:hint="eastAsia" w:ascii="Times New Roman" w:hAnsi="Times New Roman"/>
                <w:color w:val="FF0000"/>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14139"/>
            <w:bookmarkStart w:id="12" w:name="_Toc29108"/>
            <w:r>
              <w:rPr>
                <w:rFonts w:hint="eastAsia" w:ascii="宋体" w:hAnsi="宋体"/>
                <w:color w:val="auto"/>
                <w:szCs w:val="21"/>
              </w:rPr>
              <w:t>2</w:t>
            </w:r>
            <w:bookmarkEnd w:id="11"/>
            <w:bookmarkEnd w:id="12"/>
          </w:p>
        </w:tc>
        <w:tc>
          <w:tcPr>
            <w:tcW w:w="3793" w:type="dxa"/>
            <w:vAlign w:val="center"/>
          </w:tcPr>
          <w:p w14:paraId="377A9E61">
            <w:pPr>
              <w:keepNext w:val="0"/>
              <w:keepLines w:val="0"/>
              <w:pageBreakBefore w:val="0"/>
              <w:widowControl/>
              <w:numPr>
                <w:ilvl w:val="-1"/>
                <w:numId w:val="0"/>
              </w:numPr>
              <w:shd w:val="clear" w:color="auto" w:fill="FFFFFF"/>
              <w:tabs>
                <w:tab w:val="left" w:pos="312"/>
              </w:tabs>
              <w:wordWrap/>
              <w:topLinePunct w:val="0"/>
              <w:autoSpaceDE/>
              <w:autoSpaceDN/>
              <w:bidi w:val="0"/>
              <w:adjustRightInd/>
              <w:snapToGrid/>
              <w:spacing w:line="400" w:lineRule="exact"/>
              <w:ind w:left="0"/>
              <w:textAlignment w:val="auto"/>
              <w:rPr>
                <w:rFonts w:ascii="仿宋" w:hAnsi="仿宋" w:eastAsia="仿宋" w:cs="宋体"/>
                <w:color w:val="auto"/>
                <w:sz w:val="20"/>
                <w:szCs w:val="20"/>
              </w:rPr>
            </w:pPr>
            <w:r>
              <w:rPr>
                <w:rFonts w:hint="eastAsia" w:ascii="宋体" w:hAnsi="宋体"/>
                <w:b/>
                <w:bCs/>
                <w:szCs w:val="21"/>
              </w:rPr>
              <w:t>交货期：</w:t>
            </w:r>
            <w:r>
              <w:rPr>
                <w:rFonts w:hint="eastAsia" w:ascii="宋体" w:hAnsi="宋体"/>
                <w:szCs w:val="21"/>
                <w:u w:val="none"/>
              </w:rPr>
              <w:t>自合同签订之日起5个工作日内，按照采购人要求送货。</w:t>
            </w:r>
          </w:p>
        </w:tc>
        <w:tc>
          <w:tcPr>
            <w:tcW w:w="3579"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w:t>
            </w:r>
            <w:r>
              <w:rPr>
                <w:rFonts w:hint="eastAsia" w:ascii="Times New Roman" w:hAnsi="Times New Roman"/>
                <w:color w:val="FF0000"/>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360"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5989"/>
            <w:bookmarkStart w:id="14" w:name="_Toc25531"/>
            <w:r>
              <w:rPr>
                <w:rFonts w:hint="eastAsia" w:ascii="宋体" w:hAnsi="宋体"/>
                <w:color w:val="auto"/>
                <w:szCs w:val="21"/>
              </w:rPr>
              <w:t>3</w:t>
            </w:r>
            <w:bookmarkEnd w:id="13"/>
            <w:bookmarkEnd w:id="14"/>
          </w:p>
        </w:tc>
        <w:tc>
          <w:tcPr>
            <w:tcW w:w="3793" w:type="dxa"/>
            <w:vAlign w:val="center"/>
          </w:tcPr>
          <w:p w14:paraId="5697DFB0">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color w:val="auto"/>
                <w:sz w:val="20"/>
                <w:szCs w:val="20"/>
              </w:rPr>
            </w:pPr>
            <w:r>
              <w:rPr>
                <w:rFonts w:hint="eastAsia" w:ascii="宋体" w:hAnsi="宋体"/>
                <w:b/>
                <w:bCs/>
                <w:szCs w:val="21"/>
              </w:rPr>
              <w:t>交货地点：</w:t>
            </w:r>
            <w:r>
              <w:rPr>
                <w:rFonts w:hint="eastAsia" w:ascii="宋体" w:hAnsi="宋体"/>
                <w:bCs/>
                <w:szCs w:val="21"/>
                <w:u w:val="none"/>
              </w:rPr>
              <w:t xml:space="preserve"> 南宁中心</w:t>
            </w:r>
            <w:r>
              <w:rPr>
                <w:rFonts w:ascii="宋体" w:hAnsi="宋体"/>
                <w:bCs/>
                <w:szCs w:val="21"/>
                <w:u w:val="none"/>
              </w:rPr>
              <w:t>血站</w:t>
            </w:r>
            <w:r>
              <w:rPr>
                <w:rFonts w:hint="eastAsia" w:ascii="宋体" w:hAnsi="宋体"/>
                <w:bCs/>
                <w:szCs w:val="21"/>
                <w:u w:val="none"/>
              </w:rPr>
              <w:t xml:space="preserve">指定地点。 </w:t>
            </w:r>
          </w:p>
        </w:tc>
        <w:tc>
          <w:tcPr>
            <w:tcW w:w="3579"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835"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4579"/>
            <w:bookmarkStart w:id="16" w:name="_Toc29620"/>
            <w:r>
              <w:rPr>
                <w:rFonts w:hint="eastAsia" w:ascii="宋体" w:hAnsi="宋体"/>
                <w:color w:val="auto"/>
                <w:szCs w:val="21"/>
              </w:rPr>
              <w:t>4</w:t>
            </w:r>
            <w:bookmarkEnd w:id="15"/>
            <w:bookmarkEnd w:id="16"/>
          </w:p>
        </w:tc>
        <w:tc>
          <w:tcPr>
            <w:tcW w:w="3793" w:type="dxa"/>
            <w:vAlign w:val="center"/>
          </w:tcPr>
          <w:p w14:paraId="073DDB98">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val="0"/>
                <w:szCs w:val="21"/>
              </w:rPr>
            </w:pPr>
            <w:r>
              <w:rPr>
                <w:rFonts w:hint="eastAsia" w:ascii="宋体" w:hAnsi="宋体"/>
                <w:b/>
                <w:bCs w:val="0"/>
                <w:szCs w:val="21"/>
              </w:rPr>
              <w:t>交货方式及要求：</w:t>
            </w:r>
          </w:p>
          <w:p w14:paraId="5864290B">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default" w:ascii="宋体" w:hAnsi="宋体"/>
                <w:szCs w:val="21"/>
                <w:u w:val="none"/>
                <w:lang w:val="en-US" w:eastAsia="zh-CN"/>
              </w:rPr>
            </w:pPr>
            <w:r>
              <w:rPr>
                <w:rFonts w:hint="default" w:ascii="宋体" w:hAnsi="宋体"/>
                <w:szCs w:val="21"/>
                <w:u w:val="none"/>
                <w:lang w:val="en-US" w:eastAsia="zh-CN"/>
              </w:rPr>
              <w:t>1. 交货方式：现场交货</w:t>
            </w:r>
          </w:p>
          <w:p w14:paraId="3E27ED83">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bCs/>
                <w:color w:val="auto"/>
                <w:sz w:val="20"/>
                <w:szCs w:val="20"/>
              </w:rPr>
            </w:pPr>
            <w:r>
              <w:rPr>
                <w:rFonts w:hint="default" w:ascii="宋体" w:hAnsi="宋体"/>
                <w:szCs w:val="21"/>
                <w:u w:val="none"/>
                <w:lang w:val="en-US" w:eastAsia="zh-CN"/>
              </w:rPr>
              <w:t>2. 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tc>
        <w:tc>
          <w:tcPr>
            <w:tcW w:w="3579"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4401"/>
            <w:bookmarkStart w:id="18" w:name="_Toc28228"/>
            <w:r>
              <w:rPr>
                <w:rFonts w:hint="eastAsia" w:ascii="宋体" w:hAnsi="宋体"/>
                <w:color w:val="auto"/>
                <w:szCs w:val="21"/>
              </w:rPr>
              <w:t>5</w:t>
            </w:r>
            <w:bookmarkEnd w:id="17"/>
            <w:bookmarkEnd w:id="18"/>
          </w:p>
        </w:tc>
        <w:tc>
          <w:tcPr>
            <w:tcW w:w="3793" w:type="dxa"/>
            <w:vAlign w:val="center"/>
          </w:tcPr>
          <w:p w14:paraId="5A734E78">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szCs w:val="21"/>
              </w:rPr>
            </w:pPr>
            <w:r>
              <w:rPr>
                <w:rFonts w:hint="eastAsia" w:ascii="宋体" w:hAnsi="宋体"/>
                <w:b/>
                <w:bCs/>
                <w:szCs w:val="21"/>
              </w:rPr>
              <w:t>验收方式及要求：</w:t>
            </w:r>
          </w:p>
          <w:p w14:paraId="0533867C">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eastAsia" w:ascii="宋体" w:hAnsi="宋体"/>
                <w:bCs/>
                <w:szCs w:val="21"/>
              </w:rPr>
            </w:pPr>
            <w:r>
              <w:rPr>
                <w:rFonts w:hint="eastAsia" w:ascii="宋体" w:hAnsi="宋体"/>
                <w:bCs/>
                <w:szCs w:val="21"/>
              </w:rPr>
              <w:t>1. 交货时，所有产品均严格按采购文件上的技术参数要求，采购人按中标人响应和承诺的技术参数及性能和国家有关标准进行验收，达不到要求的不予验收，视为产品验收不合格，并且保留追究成交供应商虚假响应的法律责任。</w:t>
            </w:r>
          </w:p>
          <w:p w14:paraId="2525D123">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bCs/>
                <w:color w:val="auto"/>
                <w:sz w:val="20"/>
                <w:szCs w:val="20"/>
              </w:rPr>
            </w:pPr>
            <w:r>
              <w:rPr>
                <w:rFonts w:hint="eastAsia" w:ascii="宋体" w:hAnsi="宋体"/>
                <w:bCs/>
                <w:szCs w:val="21"/>
              </w:rPr>
              <w:t>2. 按要求供货到现场（包括包装、卸货及搬运）。</w:t>
            </w:r>
          </w:p>
        </w:tc>
        <w:tc>
          <w:tcPr>
            <w:tcW w:w="3579"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15F5C936">
            <w:pPr>
              <w:bidi w:val="0"/>
              <w:rPr>
                <w:b/>
                <w:bCs/>
              </w:rPr>
            </w:pPr>
            <w:r>
              <w:rPr>
                <w:rFonts w:hint="eastAsia"/>
                <w:b/>
                <w:bCs/>
              </w:rPr>
              <w:t>售后服务要求：</w:t>
            </w:r>
          </w:p>
          <w:p w14:paraId="6137BEA3">
            <w:pPr>
              <w:bidi w:val="0"/>
              <w:rPr>
                <w:rFonts w:hint="eastAsia"/>
              </w:rPr>
            </w:pPr>
            <w:r>
              <w:rPr>
                <w:rFonts w:hint="eastAsia"/>
              </w:rPr>
              <w:t>1. 质量保证期  1  年（自交货并验收合格之日起计），质量保证期内按国家有关产品“三包”规定执行“三包”，质量保证期内因产品质量问题发生的相关费用由成交供应商承担。</w:t>
            </w:r>
          </w:p>
          <w:p w14:paraId="50A50BF8">
            <w:pPr>
              <w:bidi w:val="0"/>
              <w:rPr>
                <w:rFonts w:ascii="仿宋" w:hAnsi="仿宋" w:eastAsia="仿宋"/>
                <w:color w:val="auto"/>
                <w:szCs w:val="20"/>
              </w:rPr>
            </w:pPr>
            <w:r>
              <w:rPr>
                <w:rFonts w:hint="eastAsia"/>
              </w:rPr>
              <w:t>2.服务响应时间：对于服务请求，须在 1小时内响应；一般问题24小时内解决；对于重大问题不能超过 72 小时解决且要求8小时内到现场服务。</w:t>
            </w:r>
          </w:p>
        </w:tc>
        <w:tc>
          <w:tcPr>
            <w:tcW w:w="3579"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5CC91E4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3ACC362C">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3" w:type="dxa"/>
            <w:vAlign w:val="center"/>
          </w:tcPr>
          <w:p w14:paraId="0CBFA78D">
            <w:pPr>
              <w:bidi w:val="0"/>
              <w:rPr>
                <w:b/>
                <w:bCs/>
              </w:rPr>
            </w:pPr>
            <w:r>
              <w:rPr>
                <w:rFonts w:hint="eastAsia"/>
                <w:b/>
                <w:bCs/>
              </w:rPr>
              <w:t>其他要求：</w:t>
            </w:r>
          </w:p>
          <w:p w14:paraId="6F335EE6">
            <w:pPr>
              <w:bidi w:val="0"/>
              <w:rPr>
                <w:rFonts w:hint="default"/>
                <w:lang w:val="en-US" w:eastAsia="zh-CN"/>
              </w:rPr>
            </w:pPr>
            <w:r>
              <w:rPr>
                <w:rFonts w:hint="default"/>
                <w:lang w:val="en-US" w:eastAsia="zh-CN"/>
              </w:rPr>
              <w:t>1.投标报价为采购人指定地点的现场交货价，包括：</w:t>
            </w:r>
          </w:p>
          <w:p w14:paraId="3CD40D43">
            <w:pPr>
              <w:bidi w:val="0"/>
              <w:rPr>
                <w:rFonts w:hint="default"/>
                <w:lang w:val="en-US" w:eastAsia="zh-CN"/>
              </w:rPr>
            </w:pPr>
            <w:r>
              <w:rPr>
                <w:rFonts w:hint="default"/>
                <w:lang w:val="en-US" w:eastAsia="zh-CN"/>
              </w:rPr>
              <w:t>（1）货物的价格；</w:t>
            </w:r>
          </w:p>
          <w:p w14:paraId="4058E445">
            <w:pPr>
              <w:bidi w:val="0"/>
              <w:rPr>
                <w:rFonts w:hint="default"/>
                <w:lang w:val="en-US" w:eastAsia="zh-CN"/>
              </w:rPr>
            </w:pPr>
            <w:r>
              <w:rPr>
                <w:rFonts w:hint="default"/>
                <w:lang w:val="en-US" w:eastAsia="zh-CN"/>
              </w:rPr>
              <w:t>（2）货物的标准附件、备品备件、专用工具的价格；</w:t>
            </w:r>
          </w:p>
          <w:p w14:paraId="7F2B55ED">
            <w:pPr>
              <w:bidi w:val="0"/>
              <w:rPr>
                <w:rFonts w:hint="default"/>
                <w:lang w:val="en-US" w:eastAsia="zh-CN"/>
              </w:rPr>
            </w:pPr>
            <w:r>
              <w:rPr>
                <w:rFonts w:hint="default"/>
                <w:lang w:val="en-US" w:eastAsia="zh-CN"/>
              </w:rPr>
              <w:t>（3）运输、装卸、搬运、技术支持、售后服务等费用；</w:t>
            </w:r>
          </w:p>
          <w:p w14:paraId="0E4B7D4E">
            <w:pPr>
              <w:bidi w:val="0"/>
              <w:rPr>
                <w:rFonts w:hint="default"/>
                <w:lang w:val="en-US" w:eastAsia="zh-CN"/>
              </w:rPr>
            </w:pPr>
            <w:r>
              <w:rPr>
                <w:rFonts w:hint="default"/>
                <w:lang w:val="en-US" w:eastAsia="zh-CN"/>
              </w:rPr>
              <w:t>（4）必要的保险费用和各项税费；</w:t>
            </w:r>
          </w:p>
          <w:p w14:paraId="210E7CD3">
            <w:pPr>
              <w:bidi w:val="0"/>
              <w:rPr>
                <w:rFonts w:ascii="仿宋" w:hAnsi="仿宋" w:eastAsia="仿宋"/>
                <w:color w:val="auto"/>
                <w:szCs w:val="20"/>
              </w:rPr>
            </w:pPr>
            <w:r>
              <w:rPr>
                <w:rFonts w:hint="default"/>
                <w:lang w:val="en-US" w:eastAsia="zh-CN"/>
              </w:rPr>
              <w:t>2.付款方式：货物</w:t>
            </w:r>
            <w:r>
              <w:rPr>
                <w:rFonts w:hint="eastAsia"/>
                <w:lang w:val="en-US" w:eastAsia="zh-CN"/>
              </w:rPr>
              <w:t>交货完毕并经采购人</w:t>
            </w:r>
            <w:r>
              <w:rPr>
                <w:rFonts w:hint="default"/>
                <w:lang w:val="en-US" w:eastAsia="zh-CN"/>
              </w:rPr>
              <w:t>验收合格后，</w:t>
            </w:r>
            <w:r>
              <w:rPr>
                <w:rFonts w:hint="eastAsia"/>
                <w:lang w:val="en-US" w:eastAsia="zh-CN"/>
              </w:rPr>
              <w:t>采购人一次性支付合同款</w:t>
            </w:r>
            <w:r>
              <w:rPr>
                <w:rFonts w:hint="default"/>
                <w:lang w:val="en-US" w:eastAsia="zh-CN"/>
              </w:rPr>
              <w:t>（付款前中标人需开具等额合规的增值税普通发票）。</w:t>
            </w:r>
          </w:p>
        </w:tc>
        <w:tc>
          <w:tcPr>
            <w:tcW w:w="3579" w:type="dxa"/>
            <w:vAlign w:val="center"/>
          </w:tcPr>
          <w:p w14:paraId="38E11ADF">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0E5FC429">
            <w:pPr>
              <w:adjustRightInd w:val="0"/>
              <w:snapToGrid w:val="0"/>
              <w:spacing w:line="400" w:lineRule="exact"/>
              <w:jc w:val="center"/>
              <w:outlineLvl w:val="0"/>
              <w:rPr>
                <w:rFonts w:hint="eastAsia" w:ascii="宋体" w:hAnsi="宋体"/>
                <w:szCs w:val="21"/>
                <w:lang w:val="en-US" w:eastAsia="zh-CN"/>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bl>
    <w:p w14:paraId="73A45B53">
      <w:pPr>
        <w:pStyle w:val="11"/>
        <w:rPr>
          <w:rFonts w:hint="eastAsia" w:asciiTheme="minorEastAsia" w:hAnsiTheme="minorEastAsia" w:cstheme="majorEastAsia"/>
          <w:bCs/>
          <w:color w:val="000000"/>
          <w:sz w:val="28"/>
          <w:szCs w:val="28"/>
        </w:rPr>
      </w:pPr>
    </w:p>
    <w:p w14:paraId="570F78B0">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60242EE">
      <w:pPr>
        <w:pStyle w:val="8"/>
        <w:spacing w:line="400" w:lineRule="exact"/>
        <w:rPr>
          <w:rFonts w:hint="eastAsia" w:hAnsi="宋体"/>
          <w:color w:val="auto"/>
          <w:sz w:val="18"/>
          <w:szCs w:val="18"/>
        </w:rPr>
      </w:pPr>
    </w:p>
    <w:p w14:paraId="5B6CB833">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r>
        <w:rPr>
          <w:rFonts w:hint="eastAsia" w:hAnsi="宋体"/>
          <w:color w:val="auto"/>
          <w:sz w:val="18"/>
          <w:szCs w:val="18"/>
          <w:u w:val="single"/>
          <w:lang w:val="en-US" w:eastAsia="zh-CN"/>
        </w:rPr>
        <w:t xml:space="preserve">                         </w:t>
      </w:r>
    </w:p>
    <w:p w14:paraId="3C2BBC69">
      <w:pPr>
        <w:pStyle w:val="11"/>
        <w:rPr>
          <w:rFonts w:hint="eastAsia" w:asciiTheme="minorEastAsia" w:hAnsiTheme="minorEastAsia" w:cstheme="majorEastAsia"/>
          <w:bCs/>
          <w:color w:val="000000"/>
          <w:sz w:val="28"/>
          <w:szCs w:val="28"/>
        </w:rPr>
      </w:pPr>
    </w:p>
    <w:p w14:paraId="42E4EB74">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73E0F118">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03F6F37">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南宁中心血站2025年淡季无偿献血宣传品（洗衣粉）</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3"/>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4"/>
        </w:numPr>
        <w:rPr>
          <w:rFonts w:hint="eastAsia" w:ascii="宋体" w:hAnsi="宋体"/>
          <w:color w:val="auto"/>
          <w:sz w:val="28"/>
        </w:rPr>
      </w:pPr>
      <w:r>
        <w:rPr>
          <w:rFonts w:hint="eastAsia" w:ascii="宋体" w:hAnsi="宋体"/>
          <w:color w:val="auto"/>
          <w:sz w:val="28"/>
        </w:rPr>
        <w:t>采购结果公告</w:t>
      </w:r>
    </w:p>
    <w:p w14:paraId="53018E3B">
      <w:pPr>
        <w:numPr>
          <w:ilvl w:val="0"/>
          <w:numId w:val="4"/>
        </w:numPr>
        <w:rPr>
          <w:rFonts w:hint="eastAsia" w:ascii="宋体" w:hAnsi="宋体"/>
          <w:color w:val="auto"/>
          <w:sz w:val="28"/>
        </w:rPr>
      </w:pPr>
      <w:r>
        <w:rPr>
          <w:rFonts w:hint="eastAsia" w:ascii="宋体" w:hAnsi="宋体"/>
          <w:color w:val="auto"/>
          <w:sz w:val="28"/>
        </w:rPr>
        <w:t>采购需求一览表</w:t>
      </w:r>
    </w:p>
    <w:p w14:paraId="1BAF156E">
      <w:pPr>
        <w:numPr>
          <w:ilvl w:val="0"/>
          <w:numId w:val="4"/>
        </w:numPr>
        <w:rPr>
          <w:rFonts w:hint="eastAsia" w:ascii="宋体" w:hAnsi="宋体"/>
          <w:color w:val="auto"/>
          <w:sz w:val="28"/>
        </w:rPr>
      </w:pPr>
      <w:r>
        <w:rPr>
          <w:rFonts w:hint="eastAsia" w:ascii="宋体" w:hAnsi="宋体"/>
          <w:color w:val="auto"/>
          <w:sz w:val="28"/>
        </w:rPr>
        <w:t>投标报价表</w:t>
      </w:r>
    </w:p>
    <w:p w14:paraId="7A93DFB3">
      <w:pPr>
        <w:numPr>
          <w:ilvl w:val="0"/>
          <w:numId w:val="4"/>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4"/>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4"/>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4"/>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45C92CC-A64B-4F69-9F6E-5DD0919C8839}"/>
  </w:font>
  <w:font w:name="Courier New">
    <w:panose1 w:val="02070309020205020404"/>
    <w:charset w:val="01"/>
    <w:family w:val="modern"/>
    <w:pitch w:val="default"/>
    <w:sig w:usb0="E0002EFF" w:usb1="C0007843" w:usb2="00000009" w:usb3="00000000" w:csb0="400001FF" w:csb1="FFFF0000"/>
    <w:embedRegular r:id="rId2" w:fontKey="{FF167944-CFBB-475F-8FA6-B80764A93D2E}"/>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A7237164-341C-4840-8E28-1112783DC202}"/>
  </w:font>
  <w:font w:name="微软雅黑">
    <w:panose1 w:val="020B0503020204020204"/>
    <w:charset w:val="86"/>
    <w:family w:val="swiss"/>
    <w:pitch w:val="default"/>
    <w:sig w:usb0="80000287" w:usb1="2ACF3C50" w:usb2="00000016" w:usb3="00000000" w:csb0="0004001F" w:csb1="00000000"/>
  </w:font>
  <w:font w:name="Consolas">
    <w:panose1 w:val="020B0609020204030204"/>
    <w:charset w:val="00"/>
    <w:family w:val="auto"/>
    <w:pitch w:val="default"/>
    <w:sig w:usb0="E00006FF" w:usb1="0000FCFF" w:usb2="00000001" w:usb3="00000000" w:csb0="6000019F" w:csb1="DFD70000"/>
  </w:font>
  <w:font w:name="方正小标宋简体">
    <w:panose1 w:val="02000000000000000000"/>
    <w:charset w:val="86"/>
    <w:family w:val="script"/>
    <w:pitch w:val="default"/>
    <w:sig w:usb0="00000001" w:usb1="080E0000" w:usb2="00000000" w:usb3="00000000" w:csb0="00040000" w:csb1="00000000"/>
    <w:embedRegular r:id="rId4" w:fontKey="{9EE5ACE8-32FB-484F-825F-B8E02808ABCC}"/>
  </w:font>
  <w:font w:name="仿宋_GB2312">
    <w:panose1 w:val="02010609030101010101"/>
    <w:charset w:val="86"/>
    <w:family w:val="modern"/>
    <w:pitch w:val="default"/>
    <w:sig w:usb0="00000001" w:usb1="080E0000" w:usb2="00000000" w:usb3="00000000" w:csb0="00040000" w:csb1="00000000"/>
    <w:embedRegular r:id="rId5" w:fontKey="{BD040F40-04A4-4DFE-BA72-AA7007D494F3}"/>
  </w:font>
  <w:font w:name="方正楷体_GB2312">
    <w:panose1 w:val="02000000000000000000"/>
    <w:charset w:val="86"/>
    <w:family w:val="auto"/>
    <w:pitch w:val="default"/>
    <w:sig w:usb0="A00002BF" w:usb1="184F6CFA" w:usb2="00000012" w:usb3="00000000" w:csb0="00040001" w:csb1="00000000"/>
    <w:embedRegular r:id="rId6" w:fontKey="{52AF3B71-E905-462D-905F-D41F98A5E1E4}"/>
  </w:font>
  <w:font w:name="Wingdings 2">
    <w:panose1 w:val="05020102010507070707"/>
    <w:charset w:val="02"/>
    <w:family w:val="roman"/>
    <w:pitch w:val="default"/>
    <w:sig w:usb0="00000000" w:usb1="00000000" w:usb2="00000000" w:usb3="00000000" w:csb0="80000000" w:csb1="00000000"/>
    <w:embedRegular r:id="rId7" w:fontKey="{679A0E65-453B-4785-B80F-39BF4B188B17}"/>
  </w:font>
  <w:font w:name="仿宋">
    <w:panose1 w:val="02010609060101010101"/>
    <w:charset w:val="86"/>
    <w:family w:val="modern"/>
    <w:pitch w:val="default"/>
    <w:sig w:usb0="800002BF" w:usb1="38CF7CFA" w:usb2="00000016" w:usb3="00000000" w:csb0="00040001" w:csb1="00000000"/>
    <w:embedRegular r:id="rId8" w:fontKey="{D1BDF40D-B874-45B8-B0E0-ED74DD1AFD0B}"/>
  </w:font>
  <w:font w:name="方正公文小标宋">
    <w:panose1 w:val="02000500000000000000"/>
    <w:charset w:val="86"/>
    <w:family w:val="auto"/>
    <w:pitch w:val="default"/>
    <w:sig w:usb0="A00002BF" w:usb1="38CF7CFA" w:usb2="00000016" w:usb3="00000000" w:csb0="00040001" w:csb1="00000000"/>
    <w:embedRegular r:id="rId9" w:fontKey="{43E30921-A328-4264-A72B-A5DDBAA7196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0E24"/>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4814"/>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9329D2"/>
    <w:rsid w:val="01BD0DCF"/>
    <w:rsid w:val="01BD17FD"/>
    <w:rsid w:val="01C94FED"/>
    <w:rsid w:val="01D228A5"/>
    <w:rsid w:val="01E90844"/>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591633"/>
    <w:rsid w:val="02616DA5"/>
    <w:rsid w:val="02626BB5"/>
    <w:rsid w:val="02775E4F"/>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556A5"/>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45BBB"/>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51568"/>
    <w:rsid w:val="06A61739"/>
    <w:rsid w:val="06B102B1"/>
    <w:rsid w:val="06B317A1"/>
    <w:rsid w:val="06B353FE"/>
    <w:rsid w:val="06C95DAD"/>
    <w:rsid w:val="06D575E9"/>
    <w:rsid w:val="06D57C4F"/>
    <w:rsid w:val="06D64412"/>
    <w:rsid w:val="06D7608F"/>
    <w:rsid w:val="06E31D05"/>
    <w:rsid w:val="06E662CC"/>
    <w:rsid w:val="06EC6E24"/>
    <w:rsid w:val="06FA5CC9"/>
    <w:rsid w:val="071865FE"/>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033CE1"/>
    <w:rsid w:val="0816016D"/>
    <w:rsid w:val="081976AE"/>
    <w:rsid w:val="081B7C6A"/>
    <w:rsid w:val="081F20B9"/>
    <w:rsid w:val="08305764"/>
    <w:rsid w:val="083E11BD"/>
    <w:rsid w:val="08445425"/>
    <w:rsid w:val="084A14BF"/>
    <w:rsid w:val="085978F1"/>
    <w:rsid w:val="085B3B1D"/>
    <w:rsid w:val="08697585"/>
    <w:rsid w:val="08703746"/>
    <w:rsid w:val="0874698D"/>
    <w:rsid w:val="087662BE"/>
    <w:rsid w:val="08787CCE"/>
    <w:rsid w:val="08837B28"/>
    <w:rsid w:val="088E5CA1"/>
    <w:rsid w:val="088F7117"/>
    <w:rsid w:val="08935419"/>
    <w:rsid w:val="08971CDC"/>
    <w:rsid w:val="0897548B"/>
    <w:rsid w:val="08BE655F"/>
    <w:rsid w:val="08BF64A5"/>
    <w:rsid w:val="08D25F0F"/>
    <w:rsid w:val="08D415F9"/>
    <w:rsid w:val="08D47674"/>
    <w:rsid w:val="08D66CD6"/>
    <w:rsid w:val="08D7287A"/>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505CC"/>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D3EB7"/>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553231"/>
    <w:rsid w:val="0D564D5C"/>
    <w:rsid w:val="0D665437"/>
    <w:rsid w:val="0D753CF4"/>
    <w:rsid w:val="0D9A6E96"/>
    <w:rsid w:val="0D9B5B75"/>
    <w:rsid w:val="0D9E6986"/>
    <w:rsid w:val="0D9F1A2C"/>
    <w:rsid w:val="0DAD4941"/>
    <w:rsid w:val="0DC05FA9"/>
    <w:rsid w:val="0DC3019B"/>
    <w:rsid w:val="0DC56EF5"/>
    <w:rsid w:val="0DD815E5"/>
    <w:rsid w:val="0DD83E1C"/>
    <w:rsid w:val="0DE14C55"/>
    <w:rsid w:val="0DE325EB"/>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87391"/>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AD29DF"/>
    <w:rsid w:val="10D77E40"/>
    <w:rsid w:val="10DE19DB"/>
    <w:rsid w:val="10EC73A6"/>
    <w:rsid w:val="10F05693"/>
    <w:rsid w:val="10F7541F"/>
    <w:rsid w:val="10FA7E3B"/>
    <w:rsid w:val="10FD74C6"/>
    <w:rsid w:val="111E2D74"/>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442667"/>
    <w:rsid w:val="125C1ADE"/>
    <w:rsid w:val="125D0D88"/>
    <w:rsid w:val="126B0E01"/>
    <w:rsid w:val="126D3E19"/>
    <w:rsid w:val="126D6927"/>
    <w:rsid w:val="1273430E"/>
    <w:rsid w:val="128334CA"/>
    <w:rsid w:val="1283614B"/>
    <w:rsid w:val="128C538D"/>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91B4B"/>
    <w:rsid w:val="146D1D12"/>
    <w:rsid w:val="147F5C32"/>
    <w:rsid w:val="1483424E"/>
    <w:rsid w:val="149327E6"/>
    <w:rsid w:val="149C7998"/>
    <w:rsid w:val="14A96ED7"/>
    <w:rsid w:val="14AA25A7"/>
    <w:rsid w:val="14AE1051"/>
    <w:rsid w:val="14AF08A6"/>
    <w:rsid w:val="14B53220"/>
    <w:rsid w:val="14BA00C9"/>
    <w:rsid w:val="14BD48EA"/>
    <w:rsid w:val="14C75042"/>
    <w:rsid w:val="14CF112E"/>
    <w:rsid w:val="14D44793"/>
    <w:rsid w:val="14D471C3"/>
    <w:rsid w:val="14D902A4"/>
    <w:rsid w:val="14FB3D92"/>
    <w:rsid w:val="15087C85"/>
    <w:rsid w:val="150D43F1"/>
    <w:rsid w:val="152D1341"/>
    <w:rsid w:val="15381DF6"/>
    <w:rsid w:val="15587106"/>
    <w:rsid w:val="155A1F76"/>
    <w:rsid w:val="156150CD"/>
    <w:rsid w:val="15681628"/>
    <w:rsid w:val="156B3E24"/>
    <w:rsid w:val="156C736A"/>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3C4B1A"/>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2438A"/>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342B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B82E95"/>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35AB"/>
    <w:rsid w:val="1DC87796"/>
    <w:rsid w:val="1DC934B1"/>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051C8A"/>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4FB0"/>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B14D99"/>
    <w:rsid w:val="24D60477"/>
    <w:rsid w:val="24DE69B8"/>
    <w:rsid w:val="24DF6EA4"/>
    <w:rsid w:val="24E108A6"/>
    <w:rsid w:val="24E567F1"/>
    <w:rsid w:val="24EB69BB"/>
    <w:rsid w:val="24FA696E"/>
    <w:rsid w:val="24FB3714"/>
    <w:rsid w:val="250B2646"/>
    <w:rsid w:val="250E600A"/>
    <w:rsid w:val="251E68D2"/>
    <w:rsid w:val="25200C2B"/>
    <w:rsid w:val="252C178B"/>
    <w:rsid w:val="252D4DA1"/>
    <w:rsid w:val="252F32BF"/>
    <w:rsid w:val="253563E1"/>
    <w:rsid w:val="25403C5A"/>
    <w:rsid w:val="25405AFA"/>
    <w:rsid w:val="25481AF8"/>
    <w:rsid w:val="25611556"/>
    <w:rsid w:val="256231E9"/>
    <w:rsid w:val="256655D6"/>
    <w:rsid w:val="256A4F48"/>
    <w:rsid w:val="256C40AE"/>
    <w:rsid w:val="256D6525"/>
    <w:rsid w:val="256F434C"/>
    <w:rsid w:val="25712B55"/>
    <w:rsid w:val="2576546E"/>
    <w:rsid w:val="25811D5E"/>
    <w:rsid w:val="259812D8"/>
    <w:rsid w:val="25A11320"/>
    <w:rsid w:val="25B9096F"/>
    <w:rsid w:val="25BB54DD"/>
    <w:rsid w:val="25C0067F"/>
    <w:rsid w:val="25C60ECD"/>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027D5"/>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EA51A6"/>
    <w:rsid w:val="27F96370"/>
    <w:rsid w:val="28036D25"/>
    <w:rsid w:val="280F512D"/>
    <w:rsid w:val="28137003"/>
    <w:rsid w:val="28215D92"/>
    <w:rsid w:val="28220B11"/>
    <w:rsid w:val="28353194"/>
    <w:rsid w:val="283677DD"/>
    <w:rsid w:val="283E0982"/>
    <w:rsid w:val="283F31CF"/>
    <w:rsid w:val="28487FF1"/>
    <w:rsid w:val="285964B4"/>
    <w:rsid w:val="285F6F50"/>
    <w:rsid w:val="28650F90"/>
    <w:rsid w:val="28673EB0"/>
    <w:rsid w:val="287C5E6E"/>
    <w:rsid w:val="287D1A92"/>
    <w:rsid w:val="28812B87"/>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74690"/>
    <w:rsid w:val="2A5840FF"/>
    <w:rsid w:val="2A5870B9"/>
    <w:rsid w:val="2A5B12EF"/>
    <w:rsid w:val="2A61691A"/>
    <w:rsid w:val="2A782AC0"/>
    <w:rsid w:val="2A9036A3"/>
    <w:rsid w:val="2A910387"/>
    <w:rsid w:val="2A914AAB"/>
    <w:rsid w:val="2AA94B03"/>
    <w:rsid w:val="2AAA73F2"/>
    <w:rsid w:val="2AB423A1"/>
    <w:rsid w:val="2AB949A8"/>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DF51BF"/>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EA445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3B6099"/>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93B3C"/>
    <w:rsid w:val="32CD3CC7"/>
    <w:rsid w:val="32CE76AE"/>
    <w:rsid w:val="32CF3D02"/>
    <w:rsid w:val="32D47229"/>
    <w:rsid w:val="32D87995"/>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8D684B"/>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24E26"/>
    <w:rsid w:val="3436722A"/>
    <w:rsid w:val="344F393B"/>
    <w:rsid w:val="34593C6A"/>
    <w:rsid w:val="345D7B2D"/>
    <w:rsid w:val="347237AF"/>
    <w:rsid w:val="3481007E"/>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63E83"/>
    <w:rsid w:val="357D319D"/>
    <w:rsid w:val="357E0CC8"/>
    <w:rsid w:val="3583684E"/>
    <w:rsid w:val="358E78BC"/>
    <w:rsid w:val="35902289"/>
    <w:rsid w:val="359A765A"/>
    <w:rsid w:val="359B727A"/>
    <w:rsid w:val="35A17B8F"/>
    <w:rsid w:val="35AE7A80"/>
    <w:rsid w:val="35B22666"/>
    <w:rsid w:val="35B33E11"/>
    <w:rsid w:val="35C061B4"/>
    <w:rsid w:val="35C9081B"/>
    <w:rsid w:val="35CA14D0"/>
    <w:rsid w:val="35CC61A9"/>
    <w:rsid w:val="35CE4FC1"/>
    <w:rsid w:val="35D10E2A"/>
    <w:rsid w:val="35D97A63"/>
    <w:rsid w:val="35DA55BC"/>
    <w:rsid w:val="35EA2607"/>
    <w:rsid w:val="35F745D6"/>
    <w:rsid w:val="35FA4F9F"/>
    <w:rsid w:val="36010FB1"/>
    <w:rsid w:val="36025178"/>
    <w:rsid w:val="362471D1"/>
    <w:rsid w:val="363B2715"/>
    <w:rsid w:val="36414B9C"/>
    <w:rsid w:val="364F6B00"/>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078CE"/>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A7383"/>
    <w:rsid w:val="392C7DC2"/>
    <w:rsid w:val="393B6A95"/>
    <w:rsid w:val="394713D0"/>
    <w:rsid w:val="39630928"/>
    <w:rsid w:val="3963744A"/>
    <w:rsid w:val="396624C6"/>
    <w:rsid w:val="39677CC5"/>
    <w:rsid w:val="3968720C"/>
    <w:rsid w:val="396F5160"/>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644D07"/>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77306C"/>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485717"/>
    <w:rsid w:val="3D55305B"/>
    <w:rsid w:val="3D670A42"/>
    <w:rsid w:val="3D6A462F"/>
    <w:rsid w:val="3D836DBF"/>
    <w:rsid w:val="3D852DCD"/>
    <w:rsid w:val="3D8B46A9"/>
    <w:rsid w:val="3D8D4043"/>
    <w:rsid w:val="3DA07968"/>
    <w:rsid w:val="3DA62541"/>
    <w:rsid w:val="3DB97072"/>
    <w:rsid w:val="3DD07A95"/>
    <w:rsid w:val="3DD55751"/>
    <w:rsid w:val="3DE17730"/>
    <w:rsid w:val="3E0147B1"/>
    <w:rsid w:val="3E014F58"/>
    <w:rsid w:val="3E033B39"/>
    <w:rsid w:val="3E084D4A"/>
    <w:rsid w:val="3E08776F"/>
    <w:rsid w:val="3E0F171F"/>
    <w:rsid w:val="3E1D02F3"/>
    <w:rsid w:val="3E236579"/>
    <w:rsid w:val="3E283F9D"/>
    <w:rsid w:val="3E2B306F"/>
    <w:rsid w:val="3E2E5F79"/>
    <w:rsid w:val="3E31351B"/>
    <w:rsid w:val="3E315B3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64F49"/>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8B498F"/>
    <w:rsid w:val="459528AC"/>
    <w:rsid w:val="459B57B9"/>
    <w:rsid w:val="459E05CA"/>
    <w:rsid w:val="459E169C"/>
    <w:rsid w:val="459F501F"/>
    <w:rsid w:val="45AF3CA8"/>
    <w:rsid w:val="45B56BCF"/>
    <w:rsid w:val="45BD781E"/>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342AF"/>
    <w:rsid w:val="478673E5"/>
    <w:rsid w:val="479A5DE2"/>
    <w:rsid w:val="479A6ECC"/>
    <w:rsid w:val="479B4D0F"/>
    <w:rsid w:val="47AF039F"/>
    <w:rsid w:val="47BF4A37"/>
    <w:rsid w:val="47DB0C72"/>
    <w:rsid w:val="47E572EF"/>
    <w:rsid w:val="47FD669A"/>
    <w:rsid w:val="4803567D"/>
    <w:rsid w:val="48043F53"/>
    <w:rsid w:val="48052B82"/>
    <w:rsid w:val="480665F6"/>
    <w:rsid w:val="48135B10"/>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8A12DA"/>
    <w:rsid w:val="48910643"/>
    <w:rsid w:val="489B36DC"/>
    <w:rsid w:val="489C2EE5"/>
    <w:rsid w:val="48AA54D8"/>
    <w:rsid w:val="48AC1B1D"/>
    <w:rsid w:val="48AF311E"/>
    <w:rsid w:val="48B914EA"/>
    <w:rsid w:val="48C42A3E"/>
    <w:rsid w:val="48D54326"/>
    <w:rsid w:val="48D662CD"/>
    <w:rsid w:val="48D85A8C"/>
    <w:rsid w:val="48DA5442"/>
    <w:rsid w:val="48DC5FB4"/>
    <w:rsid w:val="48DD3AFF"/>
    <w:rsid w:val="48FB174D"/>
    <w:rsid w:val="48FD385A"/>
    <w:rsid w:val="49033566"/>
    <w:rsid w:val="49070C2C"/>
    <w:rsid w:val="4912350A"/>
    <w:rsid w:val="49170DBF"/>
    <w:rsid w:val="491C4628"/>
    <w:rsid w:val="492E0EC7"/>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048F9"/>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0D64AA"/>
    <w:rsid w:val="4C1351A6"/>
    <w:rsid w:val="4C1C75E0"/>
    <w:rsid w:val="4C1E20D1"/>
    <w:rsid w:val="4C207F2B"/>
    <w:rsid w:val="4C235CCD"/>
    <w:rsid w:val="4C267458"/>
    <w:rsid w:val="4C281320"/>
    <w:rsid w:val="4C3E6DE4"/>
    <w:rsid w:val="4C4023DB"/>
    <w:rsid w:val="4C49549E"/>
    <w:rsid w:val="4C5365B2"/>
    <w:rsid w:val="4C584CBE"/>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6F5E6E"/>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327823"/>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C863E9"/>
    <w:rsid w:val="4ECC56E8"/>
    <w:rsid w:val="4ED90FAC"/>
    <w:rsid w:val="4EDE0989"/>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A2B7A"/>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22D7F"/>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001772"/>
    <w:rsid w:val="52102850"/>
    <w:rsid w:val="521A01FF"/>
    <w:rsid w:val="521D530A"/>
    <w:rsid w:val="52203D87"/>
    <w:rsid w:val="52260585"/>
    <w:rsid w:val="52277156"/>
    <w:rsid w:val="524034B4"/>
    <w:rsid w:val="52403D27"/>
    <w:rsid w:val="52412A09"/>
    <w:rsid w:val="524A3FCF"/>
    <w:rsid w:val="52525B83"/>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C86D6D"/>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3FD2903"/>
    <w:rsid w:val="54196AF6"/>
    <w:rsid w:val="541E4BE5"/>
    <w:rsid w:val="543534D1"/>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4F7722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2C39D0"/>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436495"/>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468A8"/>
    <w:rsid w:val="5AEA2CC8"/>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93336D"/>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2605B8"/>
    <w:rsid w:val="5D326C82"/>
    <w:rsid w:val="5D521F6E"/>
    <w:rsid w:val="5D5757D7"/>
    <w:rsid w:val="5D6D51A0"/>
    <w:rsid w:val="5D7A0EFE"/>
    <w:rsid w:val="5D7B06DA"/>
    <w:rsid w:val="5D8A27C8"/>
    <w:rsid w:val="5D8B6530"/>
    <w:rsid w:val="5D8E2CF5"/>
    <w:rsid w:val="5D904324"/>
    <w:rsid w:val="5D9758BA"/>
    <w:rsid w:val="5D9765CC"/>
    <w:rsid w:val="5DA80F61"/>
    <w:rsid w:val="5DAD3AE3"/>
    <w:rsid w:val="5DB83708"/>
    <w:rsid w:val="5DBD01BD"/>
    <w:rsid w:val="5DC1541D"/>
    <w:rsid w:val="5DEA4910"/>
    <w:rsid w:val="5DEB1045"/>
    <w:rsid w:val="5DEE0435"/>
    <w:rsid w:val="5DFC2ACE"/>
    <w:rsid w:val="5E1D5CDD"/>
    <w:rsid w:val="5E341D32"/>
    <w:rsid w:val="5E343906"/>
    <w:rsid w:val="5E3622BE"/>
    <w:rsid w:val="5E414336"/>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455BD"/>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9C5EAE"/>
    <w:rsid w:val="61A66D2D"/>
    <w:rsid w:val="61B5032E"/>
    <w:rsid w:val="61C23BFD"/>
    <w:rsid w:val="61C775AB"/>
    <w:rsid w:val="61CE1ED9"/>
    <w:rsid w:val="61DC552F"/>
    <w:rsid w:val="61DE7B45"/>
    <w:rsid w:val="61E45063"/>
    <w:rsid w:val="61F310A8"/>
    <w:rsid w:val="61F916EC"/>
    <w:rsid w:val="61FC4D45"/>
    <w:rsid w:val="62026C93"/>
    <w:rsid w:val="620360F8"/>
    <w:rsid w:val="621409F7"/>
    <w:rsid w:val="621848F2"/>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64643"/>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DC8"/>
    <w:rsid w:val="64683E83"/>
    <w:rsid w:val="647D015E"/>
    <w:rsid w:val="6486605B"/>
    <w:rsid w:val="649A2A6D"/>
    <w:rsid w:val="649B4A42"/>
    <w:rsid w:val="649F08AC"/>
    <w:rsid w:val="64A20054"/>
    <w:rsid w:val="64A96E67"/>
    <w:rsid w:val="64AF2A42"/>
    <w:rsid w:val="64D04BC0"/>
    <w:rsid w:val="64D67929"/>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901BB"/>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1C1E0E"/>
    <w:rsid w:val="6B25125E"/>
    <w:rsid w:val="6B2A152C"/>
    <w:rsid w:val="6B2C3812"/>
    <w:rsid w:val="6B2D3FF5"/>
    <w:rsid w:val="6B2D67A1"/>
    <w:rsid w:val="6B375BC5"/>
    <w:rsid w:val="6B3C5A82"/>
    <w:rsid w:val="6B4442E6"/>
    <w:rsid w:val="6B4A41DF"/>
    <w:rsid w:val="6B6B4434"/>
    <w:rsid w:val="6B8C71E8"/>
    <w:rsid w:val="6B910106"/>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A3B8C"/>
    <w:rsid w:val="6C3C5733"/>
    <w:rsid w:val="6C465805"/>
    <w:rsid w:val="6C466469"/>
    <w:rsid w:val="6C591257"/>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0D7C60"/>
    <w:rsid w:val="6D1B05CF"/>
    <w:rsid w:val="6D227B17"/>
    <w:rsid w:val="6D2741EF"/>
    <w:rsid w:val="6D2C6A58"/>
    <w:rsid w:val="6D3351DF"/>
    <w:rsid w:val="6D351353"/>
    <w:rsid w:val="6D390868"/>
    <w:rsid w:val="6D3A3FF0"/>
    <w:rsid w:val="6D3D7509"/>
    <w:rsid w:val="6D410FB0"/>
    <w:rsid w:val="6D543AE1"/>
    <w:rsid w:val="6D592EA5"/>
    <w:rsid w:val="6D5A3D59"/>
    <w:rsid w:val="6D5C2BF0"/>
    <w:rsid w:val="6D5D661A"/>
    <w:rsid w:val="6D635677"/>
    <w:rsid w:val="6D641EFA"/>
    <w:rsid w:val="6D6535F8"/>
    <w:rsid w:val="6D720E83"/>
    <w:rsid w:val="6D760E4D"/>
    <w:rsid w:val="6D8D4546"/>
    <w:rsid w:val="6D8E0EF1"/>
    <w:rsid w:val="6D9768D8"/>
    <w:rsid w:val="6DA81105"/>
    <w:rsid w:val="6DAF6F69"/>
    <w:rsid w:val="6DC12810"/>
    <w:rsid w:val="6DD35C0B"/>
    <w:rsid w:val="6DD54110"/>
    <w:rsid w:val="6DD7788F"/>
    <w:rsid w:val="6DE53886"/>
    <w:rsid w:val="6DE61BA4"/>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BE3493"/>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C94F37"/>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A49CD"/>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856E2"/>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322FC"/>
    <w:rsid w:val="755E201E"/>
    <w:rsid w:val="756B158B"/>
    <w:rsid w:val="7584167E"/>
    <w:rsid w:val="75846316"/>
    <w:rsid w:val="758470F8"/>
    <w:rsid w:val="75862E9C"/>
    <w:rsid w:val="7591259A"/>
    <w:rsid w:val="7593319C"/>
    <w:rsid w:val="75A11D2F"/>
    <w:rsid w:val="75A130CA"/>
    <w:rsid w:val="75B65F94"/>
    <w:rsid w:val="75B70869"/>
    <w:rsid w:val="75CE3A9D"/>
    <w:rsid w:val="75D367D1"/>
    <w:rsid w:val="75D415FD"/>
    <w:rsid w:val="75DB3E64"/>
    <w:rsid w:val="75F05AFC"/>
    <w:rsid w:val="75F254A0"/>
    <w:rsid w:val="75F2793E"/>
    <w:rsid w:val="75F61BD9"/>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00C32"/>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47B29"/>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335BE"/>
    <w:rsid w:val="7A841C40"/>
    <w:rsid w:val="7A882E25"/>
    <w:rsid w:val="7A914F76"/>
    <w:rsid w:val="7AA51B2A"/>
    <w:rsid w:val="7AAB1467"/>
    <w:rsid w:val="7AB55C2C"/>
    <w:rsid w:val="7AD26045"/>
    <w:rsid w:val="7AEA7832"/>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9F23CB"/>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54EBB"/>
    <w:rsid w:val="7DB630F9"/>
    <w:rsid w:val="7DB73A20"/>
    <w:rsid w:val="7DBB71BB"/>
    <w:rsid w:val="7DCB4F84"/>
    <w:rsid w:val="7DD562E3"/>
    <w:rsid w:val="7DD77236"/>
    <w:rsid w:val="7DEC5B2F"/>
    <w:rsid w:val="7DF148A5"/>
    <w:rsid w:val="7DF33B0D"/>
    <w:rsid w:val="7DFB302E"/>
    <w:rsid w:val="7E05177A"/>
    <w:rsid w:val="7E07584B"/>
    <w:rsid w:val="7E0B4D22"/>
    <w:rsid w:val="7E0C4F7C"/>
    <w:rsid w:val="7E0E3C07"/>
    <w:rsid w:val="7E0E6B37"/>
    <w:rsid w:val="7E154BC6"/>
    <w:rsid w:val="7E1C41A7"/>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iPriority="0" w:name="HTML Code"/>
    <w:lsdException w:qFormat="1" w:uiPriority="0" w:name="HTML Definition"/>
    <w:lsdException w:qFormat="1" w:uiPriority="0" w:name="HTML Keyboard"/>
    <w:lsdException w:uiPriority="0" w:name="HTML Preformatted"/>
    <w:lsdException w:qFormat="1"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35"/>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33"/>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34"/>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31"/>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7"/>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bCs/>
    </w:rPr>
  </w:style>
  <w:style w:type="character" w:styleId="21">
    <w:name w:val="FollowedHyperlink"/>
    <w:basedOn w:val="19"/>
    <w:semiHidden/>
    <w:unhideWhenUsed/>
    <w:qFormat/>
    <w:uiPriority w:val="0"/>
    <w:rPr>
      <w:color w:val="4D7AD8"/>
      <w:u w:val="none"/>
    </w:rPr>
  </w:style>
  <w:style w:type="character" w:styleId="22">
    <w:name w:val="HTML Definition"/>
    <w:basedOn w:val="19"/>
    <w:semiHidden/>
    <w:unhideWhenUsed/>
    <w:qFormat/>
    <w:uiPriority w:val="0"/>
    <w:rPr>
      <w:i/>
      <w:iCs/>
      <w:bdr w:val="single" w:color="DDDDDD" w:sz="6" w:space="0"/>
      <w:shd w:val="clear" w:fill="FFFFFF"/>
    </w:rPr>
  </w:style>
  <w:style w:type="character" w:styleId="23">
    <w:name w:val="Hyperlink"/>
    <w:basedOn w:val="19"/>
    <w:autoRedefine/>
    <w:qFormat/>
    <w:uiPriority w:val="0"/>
    <w:rPr>
      <w:color w:val="0563C1" w:themeColor="hyperlink"/>
      <w:u w:val="single"/>
      <w14:textFill>
        <w14:solidFill>
          <w14:schemeClr w14:val="hlink"/>
        </w14:solidFill>
      </w14:textFill>
    </w:rPr>
  </w:style>
  <w:style w:type="character" w:styleId="24">
    <w:name w:val="HTML Code"/>
    <w:basedOn w:val="19"/>
    <w:semiHidden/>
    <w:unhideWhenUsed/>
    <w:qFormat/>
    <w:uiPriority w:val="0"/>
    <w:rPr>
      <w:rFonts w:hint="default" w:ascii="Consolas" w:hAnsi="Consolas" w:eastAsia="Consolas" w:cs="Consolas"/>
      <w:sz w:val="21"/>
      <w:szCs w:val="21"/>
    </w:rPr>
  </w:style>
  <w:style w:type="character" w:styleId="25">
    <w:name w:val="HTML Keyboard"/>
    <w:basedOn w:val="19"/>
    <w:semiHidden/>
    <w:unhideWhenUsed/>
    <w:qFormat/>
    <w:uiPriority w:val="0"/>
    <w:rPr>
      <w:rFonts w:hint="default" w:ascii="Consolas" w:hAnsi="Consolas" w:eastAsia="Consolas" w:cs="Consolas"/>
      <w:sz w:val="21"/>
      <w:szCs w:val="21"/>
    </w:rPr>
  </w:style>
  <w:style w:type="character" w:styleId="26">
    <w:name w:val="HTML Sample"/>
    <w:basedOn w:val="19"/>
    <w:semiHidden/>
    <w:unhideWhenUsed/>
    <w:qFormat/>
    <w:uiPriority w:val="0"/>
    <w:rPr>
      <w:rFonts w:ascii="Consolas" w:hAnsi="Consolas" w:eastAsia="Consolas" w:cs="Consolas"/>
      <w:sz w:val="21"/>
      <w:szCs w:val="21"/>
    </w:rPr>
  </w:style>
  <w:style w:type="paragraph" w:customStyle="1" w:styleId="27">
    <w:name w:val="表格文字"/>
    <w:basedOn w:val="1"/>
    <w:autoRedefine/>
    <w:qFormat/>
    <w:uiPriority w:val="0"/>
    <w:pPr>
      <w:jc w:val="left"/>
    </w:pPr>
    <w:rPr>
      <w:kern w:val="21"/>
      <w:szCs w:val="21"/>
    </w:rPr>
  </w:style>
  <w:style w:type="paragraph" w:styleId="28">
    <w:name w:val="List Paragraph"/>
    <w:basedOn w:val="1"/>
    <w:autoRedefine/>
    <w:qFormat/>
    <w:uiPriority w:val="34"/>
    <w:pPr>
      <w:ind w:firstLine="420" w:firstLineChars="200"/>
    </w:pPr>
  </w:style>
  <w:style w:type="paragraph" w:customStyle="1" w:styleId="29">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0">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31">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32">
    <w:name w:val="列出段落1"/>
    <w:basedOn w:val="1"/>
    <w:autoRedefine/>
    <w:qFormat/>
    <w:uiPriority w:val="34"/>
    <w:pPr>
      <w:ind w:firstLine="420" w:firstLineChars="200"/>
    </w:pPr>
  </w:style>
  <w:style w:type="character" w:customStyle="1" w:styleId="33">
    <w:name w:val="纯文本 Char"/>
    <w:basedOn w:val="19"/>
    <w:link w:val="8"/>
    <w:autoRedefine/>
    <w:qFormat/>
    <w:uiPriority w:val="0"/>
    <w:rPr>
      <w:rFonts w:ascii="宋体" w:hAnsi="Courier New" w:eastAsiaTheme="minorEastAsia" w:cstheme="minorBidi"/>
      <w:kern w:val="2"/>
      <w:sz w:val="21"/>
    </w:rPr>
  </w:style>
  <w:style w:type="character" w:customStyle="1" w:styleId="34">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35">
    <w:name w:val="正文文本 Char"/>
    <w:basedOn w:val="19"/>
    <w:link w:val="6"/>
    <w:autoRedefine/>
    <w:qFormat/>
    <w:uiPriority w:val="0"/>
    <w:rPr>
      <w:rFonts w:ascii="Times New Roman" w:hAnsi="Times New Roman"/>
      <w:kern w:val="2"/>
      <w:sz w:val="21"/>
      <w:szCs w:val="24"/>
    </w:rPr>
  </w:style>
  <w:style w:type="paragraph" w:customStyle="1" w:styleId="36">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7">
    <w:name w:val="副标题 Char"/>
    <w:basedOn w:val="19"/>
    <w:link w:val="13"/>
    <w:autoRedefine/>
    <w:qFormat/>
    <w:uiPriority w:val="0"/>
    <w:rPr>
      <w:rFonts w:ascii="Arial" w:hAnsi="Arial" w:eastAsia="微软雅黑"/>
      <w:kern w:val="28"/>
      <w:sz w:val="36"/>
      <w:szCs w:val="24"/>
    </w:rPr>
  </w:style>
  <w:style w:type="paragraph" w:customStyle="1" w:styleId="38">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9">
    <w:name w:val="Table Paragraph"/>
    <w:basedOn w:val="1"/>
    <w:unhideWhenUsed/>
    <w:qFormat/>
    <w:uiPriority w:val="1"/>
    <w:rPr>
      <w:rFonts w:hint="eastAsia"/>
      <w:sz w:val="24"/>
    </w:rPr>
  </w:style>
  <w:style w:type="character" w:customStyle="1" w:styleId="40">
    <w:name w:val="ant-select-tree-checkbox"/>
    <w:basedOn w:val="19"/>
    <w:qFormat/>
    <w:uiPriority w:val="0"/>
  </w:style>
  <w:style w:type="character" w:customStyle="1" w:styleId="41">
    <w:name w:val="ant-table-row-expand-icon4"/>
    <w:basedOn w:val="19"/>
    <w:qFormat/>
    <w:uiPriority w:val="0"/>
    <w:rPr>
      <w:vanish/>
    </w:rPr>
  </w:style>
  <w:style w:type="character" w:customStyle="1" w:styleId="42">
    <w:name w:val="auto-pass-node"/>
    <w:basedOn w:val="19"/>
    <w:qFormat/>
    <w:uiPriority w:val="0"/>
    <w:rPr>
      <w:bdr w:val="single" w:color="DC4446" w:sz="6" w:space="0"/>
      <w:shd w:val="clear" w:fill="A9E2FF"/>
    </w:rPr>
  </w:style>
  <w:style w:type="character" w:customStyle="1" w:styleId="43">
    <w:name w:val="ant-select-tree-iconele"/>
    <w:basedOn w:val="19"/>
    <w:qFormat/>
    <w:uiPriority w:val="0"/>
  </w:style>
  <w:style w:type="character" w:customStyle="1" w:styleId="44">
    <w:name w:val="wea-thumbnails-doc-content-subtitle"/>
    <w:basedOn w:val="19"/>
    <w:qFormat/>
    <w:uiPriority w:val="0"/>
    <w:rPr>
      <w:color w:val="9A9A9A"/>
    </w:rPr>
  </w:style>
  <w:style w:type="character" w:customStyle="1" w:styleId="45">
    <w:name w:val="passed-node"/>
    <w:basedOn w:val="19"/>
    <w:qFormat/>
    <w:uiPriority w:val="0"/>
    <w:rPr>
      <w:bdr w:val="single" w:color="49A8D4" w:sz="6" w:space="0"/>
      <w:shd w:val="clear" w:fill="A9E3FF"/>
    </w:rPr>
  </w:style>
  <w:style w:type="character" w:customStyle="1" w:styleId="46">
    <w:name w:val="not-pass-node"/>
    <w:basedOn w:val="19"/>
    <w:qFormat/>
    <w:uiPriority w:val="0"/>
    <w:rPr>
      <w:bdr w:val="single" w:color="5ABD6B" w:sz="6" w:space="0"/>
      <w:shd w:val="clear" w:fill="BFF3C3"/>
    </w:rPr>
  </w:style>
  <w:style w:type="character" w:customStyle="1" w:styleId="47">
    <w:name w:val="current-node"/>
    <w:basedOn w:val="19"/>
    <w:qFormat/>
    <w:uiPriority w:val="0"/>
    <w:rPr>
      <w:bdr w:val="single" w:color="F5B87B" w:sz="6" w:space="0"/>
      <w:shd w:val="clear" w:fill="FFE8CC"/>
    </w:rPr>
  </w:style>
  <w:style w:type="character" w:customStyle="1" w:styleId="48">
    <w:name w:val="ant-select-tree-switcher"/>
    <w:basedOn w:val="19"/>
    <w:qFormat/>
    <w:uiPriority w:val="0"/>
  </w:style>
  <w:style w:type="character" w:customStyle="1" w:styleId="49">
    <w:name w:val="tmpztreemove_arrow"/>
    <w:basedOn w:val="19"/>
    <w:qFormat/>
    <w:uiPriority w:val="0"/>
  </w:style>
  <w:style w:type="character" w:customStyle="1" w:styleId="50">
    <w:name w:val="first-child"/>
    <w:basedOn w:val="19"/>
    <w:qFormat/>
    <w:uiPriority w:val="0"/>
    <w:rPr>
      <w:color w:val="999999"/>
      <w:sz w:val="33"/>
      <w:szCs w:val="33"/>
    </w:rPr>
  </w:style>
  <w:style w:type="character" w:customStyle="1" w:styleId="51">
    <w:name w:val="first-child1"/>
    <w:basedOn w:val="19"/>
    <w:qFormat/>
    <w:uiPriority w:val="0"/>
  </w:style>
  <w:style w:type="character" w:customStyle="1" w:styleId="52">
    <w:name w:val="ant-radio+*"/>
    <w:basedOn w:val="19"/>
    <w:qFormat/>
    <w:uiPriority w:val="0"/>
  </w:style>
  <w:style w:type="character" w:customStyle="1" w:styleId="53">
    <w:name w:val="ant-tree-switcher6"/>
    <w:basedOn w:val="19"/>
    <w:qFormat/>
    <w:uiPriority w:val="0"/>
  </w:style>
  <w:style w:type="character" w:customStyle="1" w:styleId="54">
    <w:name w:val="ant-tree-checkbox6"/>
    <w:basedOn w:val="19"/>
    <w:qFormat/>
    <w:uiPriority w:val="0"/>
  </w:style>
  <w:style w:type="character" w:customStyle="1" w:styleId="55">
    <w:name w:val="ant-tree-iconele"/>
    <w:basedOn w:val="19"/>
    <w:qFormat/>
    <w:uiPriority w:val="0"/>
  </w:style>
  <w:style w:type="character" w:customStyle="1" w:styleId="56">
    <w:name w:val="last-child"/>
    <w:basedOn w:val="19"/>
    <w:qFormat/>
    <w:uiPriority w:val="0"/>
  </w:style>
  <w:style w:type="character" w:customStyle="1" w:styleId="57">
    <w:name w:val="first-of-type"/>
    <w:basedOn w:val="19"/>
    <w:qFormat/>
    <w:uiPriority w:val="0"/>
    <w:rPr>
      <w:color w:val="FF0000"/>
    </w:rPr>
  </w:style>
  <w:style w:type="character" w:customStyle="1" w:styleId="58">
    <w:name w:val="first-of-type1"/>
    <w:basedOn w:val="19"/>
    <w:qFormat/>
    <w:uiPriority w:val="0"/>
    <w:rPr>
      <w:color w:val="FF0000"/>
    </w:rPr>
  </w:style>
  <w:style w:type="character" w:customStyle="1" w:styleId="59">
    <w:name w:val="first-of-type2"/>
    <w:basedOn w:val="19"/>
    <w:qFormat/>
    <w:uiPriority w:val="0"/>
    <w:rPr>
      <w:color w:val="FF0000"/>
    </w:rPr>
  </w:style>
  <w:style w:type="character" w:customStyle="1" w:styleId="60">
    <w:name w:val="hover35"/>
    <w:basedOn w:val="19"/>
    <w:qFormat/>
    <w:uiPriority w:val="0"/>
    <w:rPr>
      <w:color w:val="009DFF"/>
    </w:rPr>
  </w:style>
  <w:style w:type="character" w:customStyle="1" w:styleId="61">
    <w:name w:val="hover36"/>
    <w:basedOn w:val="19"/>
    <w:qFormat/>
    <w:uiPriority w:val="0"/>
    <w:rPr>
      <w:color w:val="009DFF"/>
    </w:rPr>
  </w:style>
  <w:style w:type="character" w:customStyle="1" w:styleId="62">
    <w:name w:val="button"/>
    <w:basedOn w:val="19"/>
    <w:qFormat/>
    <w:uiPriority w:val="0"/>
  </w:style>
  <w:style w:type="character" w:customStyle="1" w:styleId="63">
    <w:name w:val="button1"/>
    <w:basedOn w:val="19"/>
    <w:qFormat/>
    <w:uiPriority w:val="0"/>
  </w:style>
  <w:style w:type="character" w:customStyle="1" w:styleId="64">
    <w:name w:val="first-child2"/>
    <w:basedOn w:val="19"/>
    <w:qFormat/>
    <w:uiPriority w:val="0"/>
    <w:rPr>
      <w:color w:val="999999"/>
      <w:sz w:val="33"/>
      <w:szCs w:val="33"/>
    </w:rPr>
  </w:style>
  <w:style w:type="character" w:customStyle="1" w:styleId="65">
    <w:name w:val="last-child1"/>
    <w:basedOn w:val="19"/>
    <w:qFormat/>
    <w:uiPriority w:val="0"/>
  </w:style>
  <w:style w:type="character" w:customStyle="1" w:styleId="66">
    <w:name w:val="hover32"/>
    <w:basedOn w:val="19"/>
    <w:qFormat/>
    <w:uiPriority w:val="0"/>
    <w:rPr>
      <w:color w:val="009DFF"/>
    </w:rPr>
  </w:style>
  <w:style w:type="character" w:customStyle="1" w:styleId="67">
    <w:name w:val="hover33"/>
    <w:basedOn w:val="19"/>
    <w:qFormat/>
    <w:uiPriority w:val="0"/>
    <w:rPr>
      <w:color w:val="009DFF"/>
    </w:rPr>
  </w:style>
  <w:style w:type="character" w:customStyle="1" w:styleId="68">
    <w:name w:val="ant-select-tree-checkbox2"/>
    <w:basedOn w:val="19"/>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24</Pages>
  <Words>9077</Words>
  <Characters>9556</Characters>
  <Lines>71</Lines>
  <Paragraphs>20</Paragraphs>
  <TotalTime>10</TotalTime>
  <ScaleCrop>false</ScaleCrop>
  <LinksUpToDate>false</LinksUpToDate>
  <CharactersWithSpaces>11488</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2025-01-26T00:42:00Z</cp:lastPrinted>
  <dcterms:modified xsi:type="dcterms:W3CDTF">2025-08-06T03:28:37Z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