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比选采购文件</w:t>
      </w:r>
    </w:p>
    <w:p w14:paraId="3BCC32F5">
      <w:pPr>
        <w:snapToGrid w:val="0"/>
        <w:spacing w:before="50" w:after="120" w:line="360" w:lineRule="auto"/>
        <w:jc w:val="center"/>
        <w:rPr>
          <w:rFonts w:hint="eastAsia" w:ascii="仿宋_GB2312" w:hAnsi="宋体" w:eastAsia="仿宋_GB2312"/>
          <w:b/>
          <w:bCs/>
          <w:color w:val="0000FF"/>
          <w:kern w:val="0"/>
          <w:sz w:val="44"/>
          <w:szCs w:val="44"/>
          <w:lang w:val="en-US" w:eastAsia="zh-CN"/>
        </w:rPr>
      </w:pPr>
    </w:p>
    <w:p w14:paraId="155C0B76">
      <w:pPr>
        <w:spacing w:line="360" w:lineRule="auto"/>
        <w:rPr>
          <w:rFonts w:ascii="宋体" w:hAnsi="宋体"/>
          <w:b/>
          <w:color w:val="auto"/>
          <w:sz w:val="32"/>
          <w:szCs w:val="32"/>
        </w:rPr>
      </w:pPr>
    </w:p>
    <w:p w14:paraId="604FF5B9">
      <w:pPr>
        <w:spacing w:line="360" w:lineRule="auto"/>
        <w:jc w:val="both"/>
        <w:rPr>
          <w:rFonts w:ascii="宋体" w:hAnsi="宋体"/>
          <w:b/>
          <w:color w:val="auto"/>
          <w:sz w:val="32"/>
          <w:szCs w:val="32"/>
        </w:rPr>
      </w:pPr>
    </w:p>
    <w:p w14:paraId="3E8E0AD6">
      <w:pPr>
        <w:pStyle w:val="2"/>
      </w:pPr>
    </w:p>
    <w:p w14:paraId="762F763C">
      <w:pPr>
        <w:spacing w:line="360" w:lineRule="auto"/>
        <w:jc w:val="center"/>
        <w:rPr>
          <w:rFonts w:ascii="宋体" w:hAnsi="宋体"/>
          <w:b/>
          <w:color w:val="auto"/>
          <w:sz w:val="32"/>
          <w:szCs w:val="32"/>
        </w:rPr>
      </w:pPr>
    </w:p>
    <w:p w14:paraId="760D626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项目名称：南宁中心血站2025年身份证识别仪（含授权）采购</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w:t>
      </w:r>
      <w:r>
        <w:rPr>
          <w:rFonts w:hint="eastAsia" w:ascii="仿宋_GB2312" w:hAnsi="Courier New" w:eastAsia="仿宋_GB2312" w:cs="Courier New"/>
          <w:b/>
          <w:bCs/>
          <w:color w:val="000000"/>
          <w:kern w:val="0"/>
          <w:sz w:val="32"/>
          <w:szCs w:val="32"/>
          <w:lang w:val="en-US" w:eastAsia="zh-CN"/>
        </w:rPr>
        <w:t>39</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2"/>
        <w:ind w:left="0" w:leftChars="0" w:firstLine="0" w:firstLineChars="0"/>
        <w:rPr>
          <w:rFonts w:hint="eastAsia" w:ascii="仿宋_GB2312" w:hAnsi="Courier New" w:eastAsia="仿宋_GB2312" w:cs="Courier New"/>
          <w:b/>
          <w:bCs/>
          <w:color w:val="000000"/>
          <w:kern w:val="0"/>
          <w:sz w:val="32"/>
          <w:szCs w:val="32"/>
          <w:lang w:val="zh-TW" w:eastAsia="zh-TW"/>
        </w:rPr>
      </w:pPr>
    </w:p>
    <w:p w14:paraId="6886C354">
      <w:pPr>
        <w:pStyle w:val="2"/>
        <w:rPr>
          <w:rFonts w:hint="eastAsia" w:ascii="仿宋_GB2312" w:hAnsi="Courier New" w:eastAsia="仿宋_GB2312" w:cs="Courier New"/>
          <w:b/>
          <w:bCs/>
          <w:color w:val="000000"/>
          <w:kern w:val="0"/>
          <w:sz w:val="32"/>
          <w:szCs w:val="32"/>
          <w:lang w:val="zh-TW" w:eastAsia="zh-TW"/>
        </w:rPr>
      </w:pPr>
    </w:p>
    <w:p w14:paraId="0AC542E0">
      <w:pPr>
        <w:pStyle w:val="2"/>
        <w:rPr>
          <w:rFonts w:hint="eastAsia" w:ascii="仿宋_GB2312" w:hAnsi="Courier New" w:eastAsia="仿宋_GB2312" w:cs="Courier New"/>
          <w:b/>
          <w:bCs/>
          <w:color w:val="000000"/>
          <w:kern w:val="0"/>
          <w:sz w:val="32"/>
          <w:szCs w:val="32"/>
          <w:lang w:val="zh-TW" w:eastAsia="zh-TW"/>
        </w:rPr>
      </w:pPr>
    </w:p>
    <w:p w14:paraId="30BE5EAB">
      <w:pPr>
        <w:pStyle w:val="2"/>
        <w:rPr>
          <w:rFonts w:hint="eastAsia" w:ascii="仿宋_GB2312" w:hAnsi="Courier New" w:eastAsia="仿宋_GB2312" w:cs="Courier New"/>
          <w:b/>
          <w:bCs/>
          <w:color w:val="000000"/>
          <w:kern w:val="0"/>
          <w:sz w:val="32"/>
          <w:szCs w:val="32"/>
          <w:lang w:val="zh-TW" w:eastAsia="zh-TW"/>
        </w:rPr>
      </w:pPr>
    </w:p>
    <w:p w14:paraId="14CCDB7F">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8</w:t>
      </w:r>
      <w:r>
        <w:rPr>
          <w:rFonts w:hint="eastAsia" w:ascii="仿宋_GB2312" w:hAnsi="Courier New" w:eastAsia="仿宋_GB2312" w:cs="Courier New"/>
          <w:b/>
          <w:bCs/>
          <w:color w:val="000000"/>
          <w:kern w:val="0"/>
          <w:sz w:val="32"/>
          <w:szCs w:val="32"/>
          <w:lang w:val="zh-TW" w:eastAsia="zh-TW"/>
        </w:rPr>
        <w:t>月</w:t>
      </w: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zh-TW" w:eastAsia="zh-CN"/>
        </w:rPr>
        <w:t>南宁中心血站2025年身份证识别仪（含授权）采购</w:t>
      </w:r>
      <w:r>
        <w:rPr>
          <w:rFonts w:hint="eastAsia" w:ascii="方正小标宋简体" w:hAnsi="方正小标宋简体" w:eastAsia="方正小标宋简体" w:cs="方正小标宋简体"/>
          <w:sz w:val="44"/>
          <w:szCs w:val="44"/>
          <w:lang w:eastAsia="zh-CN"/>
        </w:rPr>
        <w:t>公告</w:t>
      </w:r>
    </w:p>
    <w:p w14:paraId="16DF326A">
      <w:pPr>
        <w:pStyle w:val="3"/>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南宁中心血站按照采购计划对南宁中心血站2025年身份证识别仪（含授权）进行采购，现就该项目邀请具有资质的单位进行响应，采购信息如下：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w:t>
      </w:r>
      <w:r>
        <w:rPr>
          <w:rFonts w:hint="eastAsia" w:ascii="仿宋_GB2312" w:hAnsi="Courier New" w:eastAsia="仿宋_GB2312" w:cs="Courier New"/>
          <w:color w:val="000000"/>
          <w:kern w:val="0"/>
          <w:sz w:val="32"/>
          <w:szCs w:val="32"/>
          <w:lang w:val="en-US" w:eastAsia="zh-CN"/>
        </w:rPr>
        <w:t>39</w:t>
      </w:r>
    </w:p>
    <w:p w14:paraId="1803D099">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项目名称：南宁中心血站2025年身份证识别仪（含授权）采购</w:t>
      </w:r>
    </w:p>
    <w:p w14:paraId="46018D6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FF"/>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auto"/>
          <w:kern w:val="0"/>
          <w:sz w:val="32"/>
          <w:szCs w:val="32"/>
          <w:lang w:val="en-US" w:eastAsia="zh-CN"/>
        </w:rPr>
        <w:t>柒万贰仟</w:t>
      </w:r>
      <w:r>
        <w:rPr>
          <w:rFonts w:hint="eastAsia" w:ascii="仿宋_GB2312" w:hAnsi="Courier New" w:eastAsia="仿宋_GB2312" w:cs="Courier New"/>
          <w:color w:val="auto"/>
          <w:kern w:val="0"/>
          <w:sz w:val="32"/>
          <w:szCs w:val="32"/>
          <w:lang w:val="zh-TW" w:eastAsia="zh-TW"/>
        </w:rPr>
        <w:t>元整（¥</w:t>
      </w:r>
      <w:r>
        <w:rPr>
          <w:rFonts w:hint="eastAsia" w:ascii="仿宋_GB2312" w:hAnsi="Courier New" w:eastAsia="仿宋_GB2312" w:cs="Courier New"/>
          <w:color w:val="auto"/>
          <w:kern w:val="0"/>
          <w:sz w:val="32"/>
          <w:szCs w:val="32"/>
          <w:lang w:val="en-US" w:eastAsia="zh-CN"/>
        </w:rPr>
        <w:t>72000</w:t>
      </w:r>
      <w:r>
        <w:rPr>
          <w:rFonts w:hint="eastAsia" w:ascii="仿宋_GB2312" w:hAnsi="Courier New" w:eastAsia="仿宋_GB2312" w:cs="Courier New"/>
          <w:color w:val="auto"/>
          <w:kern w:val="0"/>
          <w:sz w:val="32"/>
          <w:szCs w:val="32"/>
          <w:lang w:val="zh-TW" w:eastAsia="zh-TW"/>
        </w:rPr>
        <w:t>.00）</w:t>
      </w:r>
    </w:p>
    <w:p w14:paraId="5CFD75F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柒万贰仟</w:t>
      </w:r>
      <w:r>
        <w:rPr>
          <w:rFonts w:hint="eastAsia" w:ascii="仿宋_GB2312" w:hAnsi="Courier New" w:eastAsia="仿宋_GB2312" w:cs="Courier New"/>
          <w:color w:val="auto"/>
          <w:kern w:val="0"/>
          <w:sz w:val="32"/>
          <w:szCs w:val="32"/>
          <w:lang w:val="zh-TW" w:eastAsia="zh-TW"/>
        </w:rPr>
        <w:t>元整（¥</w:t>
      </w:r>
      <w:r>
        <w:rPr>
          <w:rFonts w:hint="eastAsia" w:ascii="仿宋_GB2312" w:hAnsi="Courier New" w:eastAsia="仿宋_GB2312" w:cs="Courier New"/>
          <w:color w:val="auto"/>
          <w:kern w:val="0"/>
          <w:sz w:val="32"/>
          <w:szCs w:val="32"/>
          <w:lang w:val="en-US" w:eastAsia="zh-CN"/>
        </w:rPr>
        <w:t>72000</w:t>
      </w:r>
      <w:r>
        <w:rPr>
          <w:rFonts w:hint="eastAsia" w:ascii="仿宋_GB2312" w:hAnsi="Courier New" w:eastAsia="仿宋_GB2312" w:cs="Courier New"/>
          <w:color w:val="auto"/>
          <w:kern w:val="0"/>
          <w:sz w:val="32"/>
          <w:szCs w:val="32"/>
          <w:lang w:val="zh-TW" w:eastAsia="zh-TW"/>
        </w:rPr>
        <w:t>.00）</w:t>
      </w:r>
    </w:p>
    <w:p w14:paraId="18DF5513">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、评选方式：最低价评选法</w:t>
      </w:r>
      <w:r>
        <w:rPr>
          <w:rFonts w:hint="eastAsia" w:ascii="黑体" w:hAnsi="黑体" w:eastAsia="黑体" w:cs="黑体"/>
          <w:color w:val="000000"/>
          <w:kern w:val="0"/>
          <w:sz w:val="32"/>
          <w:szCs w:val="32"/>
          <w:lang w:val="en-US" w:eastAsia="zh-CN"/>
        </w:rPr>
        <w:t>。</w:t>
      </w:r>
    </w:p>
    <w:p w14:paraId="07236B1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评选标准：根据质量和服务均能满足采购文件实质性响应要求的，按照报价从低到高进行排名，排名第一的（报价最低的原则）供应商确定为成交供应商。</w:t>
      </w:r>
    </w:p>
    <w:p w14:paraId="4AD83DD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3"/>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3"/>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3"/>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3"/>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3"/>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3"/>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252458E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28BEA07D">
      <w:pPr>
        <w:pStyle w:val="3"/>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3"/>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3"/>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5DD6348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3"/>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67CA0416">
      <w:pPr>
        <w:pStyle w:val="3"/>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资格文件外包封封面需留有以下信息：</w:t>
      </w:r>
    </w:p>
    <w:p w14:paraId="65EE0A2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3"/>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w:t>
      </w:r>
    </w:p>
    <w:p w14:paraId="0954C572">
      <w:pPr>
        <w:pStyle w:val="3"/>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3"/>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3"/>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3"/>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3"/>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3"/>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3"/>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7D1A5196">
      <w:pPr>
        <w:pStyle w:val="3"/>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资格文件、响应文件分开独立密封装。</w:t>
      </w:r>
    </w:p>
    <w:p w14:paraId="66381C03">
      <w:pPr>
        <w:pStyle w:val="3"/>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b/>
          <w:bCs/>
          <w:color w:val="000000"/>
          <w:kern w:val="0"/>
          <w:sz w:val="32"/>
          <w:szCs w:val="32"/>
          <w:lang w:val="zh-TW" w:eastAsia="zh-CN" w:bidi="ar-SA"/>
        </w:rPr>
        <w:t>（</w:t>
      </w:r>
      <w:r>
        <w:rPr>
          <w:rFonts w:hint="eastAsia" w:ascii="仿宋_GB2312" w:hAnsi="Courier New" w:eastAsia="仿宋_GB2312" w:cs="Courier New"/>
          <w:b/>
          <w:bCs/>
          <w:color w:val="000000"/>
          <w:kern w:val="0"/>
          <w:sz w:val="32"/>
          <w:szCs w:val="32"/>
          <w:lang w:val="en-US" w:eastAsia="zh-CN" w:bidi="ar-SA"/>
        </w:rPr>
        <w:t>四</w:t>
      </w:r>
      <w:r>
        <w:rPr>
          <w:rFonts w:hint="eastAsia" w:ascii="仿宋_GB2312" w:hAnsi="Courier New" w:eastAsia="仿宋_GB2312" w:cs="Courier New"/>
          <w:b/>
          <w:bCs/>
          <w:color w:val="000000"/>
          <w:kern w:val="0"/>
          <w:sz w:val="32"/>
          <w:szCs w:val="32"/>
          <w:lang w:val="zh-TW" w:eastAsia="zh-CN" w:bidi="ar-SA"/>
        </w:rPr>
        <w:t>）文件提交截止时间：</w:t>
      </w: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22</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3B6E0184">
      <w:pPr>
        <w:pStyle w:val="3"/>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）文件寄送地址信息：</w:t>
      </w:r>
    </w:p>
    <w:p w14:paraId="4562A2AC">
      <w:pPr>
        <w:pStyle w:val="3"/>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3"/>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许工</w:t>
      </w:r>
    </w:p>
    <w:p w14:paraId="17A71D3D">
      <w:pPr>
        <w:pStyle w:val="3"/>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58A292BF">
      <w:pPr>
        <w:pStyle w:val="3"/>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041AB90B">
      <w:pPr>
        <w:pStyle w:val="3"/>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5854F004">
      <w:pPr>
        <w:pStyle w:val="3"/>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782D6370">
      <w:pPr>
        <w:pStyle w:val="3"/>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4E6BFEB4">
      <w:pPr>
        <w:pStyle w:val="3"/>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15</w:t>
      </w:r>
      <w:bookmarkStart w:id="19" w:name="_GoBack"/>
      <w:bookmarkEnd w:id="19"/>
      <w:r>
        <w:rPr>
          <w:rFonts w:hint="eastAsia" w:ascii="仿宋_GB2312" w:hAnsi="Courier New" w:eastAsia="仿宋_GB2312" w:cs="Courier New"/>
          <w:color w:val="000000"/>
          <w:kern w:val="0"/>
          <w:sz w:val="32"/>
          <w:szCs w:val="32"/>
          <w:lang w:val="zh-TW" w:eastAsia="zh-CN" w:bidi="ar-SA"/>
        </w:rPr>
        <w:t>日</w:t>
      </w:r>
    </w:p>
    <w:p w14:paraId="5362D777">
      <w:pPr>
        <w:pStyle w:val="3"/>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5EF865E6">
      <w:pPr>
        <w:pStyle w:val="3"/>
        <w:keepNext w:val="0"/>
        <w:keepLines w:val="0"/>
        <w:pageBreakBefore w:val="0"/>
        <w:widowControl w:val="0"/>
        <w:kinsoku/>
        <w:wordWrap/>
        <w:overflowPunct/>
        <w:topLinePunct w:val="0"/>
        <w:autoSpaceDE/>
        <w:autoSpaceDN/>
        <w:bidi w:val="0"/>
        <w:adjustRightInd/>
        <w:spacing w:line="600" w:lineRule="exact"/>
        <w:jc w:val="both"/>
        <w:textAlignment w:val="auto"/>
        <w:outlineLvl w:val="0"/>
        <w:rPr>
          <w:rFonts w:hint="eastAsia" w:ascii="仿宋_GB2312" w:hAnsi="Courier New" w:eastAsia="仿宋_GB2312" w:cs="Courier New"/>
          <w:color w:val="000000"/>
          <w:kern w:val="0"/>
          <w:sz w:val="32"/>
          <w:szCs w:val="32"/>
          <w:lang w:val="zh-TW" w:eastAsia="zh-CN" w:bidi="ar-SA"/>
        </w:rPr>
      </w:pPr>
    </w:p>
    <w:p w14:paraId="3785BE7D">
      <w:pPr>
        <w:pStyle w:val="3"/>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0E9CB424">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7799446F">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bookmarkStart w:id="0" w:name="_Toc27988011"/>
    </w:p>
    <w:p w14:paraId="120B5853">
      <w:pPr>
        <w:ind w:firstLine="560" w:firstLineChars="200"/>
        <w:jc w:val="left"/>
        <w:rPr>
          <w:rFonts w:hint="eastAsia" w:ascii="宋体" w:hAnsi="宋体" w:eastAsia="宋体"/>
          <w:b/>
          <w:bCs/>
          <w:sz w:val="32"/>
          <w:szCs w:val="32"/>
        </w:rPr>
      </w:pPr>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r>
        <w:rPr>
          <w:rFonts w:hint="eastAsia" w:ascii="宋体" w:hAnsi="宋体" w:eastAsia="宋体"/>
          <w:b/>
          <w:bCs/>
          <w:sz w:val="32"/>
          <w:szCs w:val="32"/>
        </w:rPr>
        <w:t>采购需求一览表</w:t>
      </w:r>
    </w:p>
    <w:p w14:paraId="0130D4CE">
      <w:pPr>
        <w:pStyle w:val="5"/>
        <w:numPr>
          <w:ilvl w:val="0"/>
          <w:numId w:val="0"/>
        </w:numPr>
        <w:ind w:left="0" w:firstLine="0"/>
        <w:rPr>
          <w:rFonts w:hint="eastAsia" w:ascii="宋体" w:hAnsi="宋体" w:eastAsia="宋体"/>
          <w:b/>
          <w:bCs/>
          <w:sz w:val="32"/>
          <w:szCs w:val="32"/>
        </w:rPr>
      </w:pPr>
      <w:r>
        <w:rPr>
          <w:rFonts w:hint="eastAsia" w:ascii="宋体" w:hAnsi="宋体" w:eastAsia="宋体" w:cs="宋体"/>
          <w:b/>
          <w:bCs/>
          <w:kern w:val="2"/>
          <w:sz w:val="21"/>
          <w:szCs w:val="21"/>
        </w:rPr>
        <w:t>说明：本采购需求一览表中</w:t>
      </w:r>
      <w:r>
        <w:rPr>
          <w:rFonts w:hint="eastAsia" w:ascii="宋体" w:hAnsi="宋体" w:eastAsia="宋体" w:cs="宋体"/>
          <w:b/>
          <w:bCs/>
          <w:kern w:val="2"/>
          <w:sz w:val="21"/>
          <w:szCs w:val="21"/>
          <w:lang w:val="en-US" w:eastAsia="zh-CN"/>
        </w:rPr>
        <w:t>各参数要求需要全部满足，不允许</w:t>
      </w:r>
      <w:r>
        <w:rPr>
          <w:rFonts w:hint="eastAsia" w:ascii="宋体" w:hAnsi="宋体" w:eastAsia="宋体" w:cs="宋体"/>
          <w:b/>
          <w:bCs/>
          <w:kern w:val="2"/>
          <w:sz w:val="21"/>
          <w:szCs w:val="21"/>
        </w:rPr>
        <w:t>负偏离</w:t>
      </w:r>
      <w:r>
        <w:rPr>
          <w:rFonts w:hint="eastAsia" w:ascii="宋体" w:hAnsi="宋体" w:eastAsia="宋体" w:cs="宋体"/>
          <w:b/>
          <w:bCs/>
          <w:kern w:val="2"/>
          <w:sz w:val="21"/>
          <w:szCs w:val="21"/>
          <w:lang w:eastAsia="zh-CN"/>
        </w:rPr>
        <w:t>，</w:t>
      </w:r>
      <w:r>
        <w:rPr>
          <w:rFonts w:hint="eastAsia" w:ascii="宋体" w:hAnsi="宋体" w:eastAsia="宋体" w:cs="宋体"/>
          <w:b/>
          <w:bCs/>
          <w:kern w:val="2"/>
          <w:sz w:val="21"/>
          <w:szCs w:val="21"/>
          <w:lang w:val="en-US" w:eastAsia="zh-CN"/>
        </w:rPr>
        <w:t>负偏离</w:t>
      </w:r>
      <w:r>
        <w:rPr>
          <w:rFonts w:hint="eastAsia" w:ascii="宋体" w:hAnsi="宋体" w:eastAsia="宋体" w:cs="宋体"/>
          <w:b/>
          <w:bCs/>
          <w:kern w:val="2"/>
          <w:sz w:val="21"/>
          <w:szCs w:val="21"/>
        </w:rPr>
        <w:t>视为无效响应。</w:t>
      </w:r>
    </w:p>
    <w:tbl>
      <w:tblPr>
        <w:tblStyle w:val="17"/>
        <w:tblW w:w="957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33"/>
        <w:gridCol w:w="1350"/>
        <w:gridCol w:w="665"/>
        <w:gridCol w:w="5941"/>
        <w:gridCol w:w="1181"/>
      </w:tblGrid>
      <w:tr w14:paraId="105DA6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43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AB32075">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default" w:ascii="宋体" w:hAnsi="宋体"/>
                <w:b/>
                <w:szCs w:val="21"/>
              </w:rPr>
            </w:pPr>
            <w:r>
              <w:rPr>
                <w:rFonts w:hint="eastAsia" w:ascii="宋体" w:hAnsi="宋体"/>
                <w:b/>
                <w:szCs w:val="21"/>
              </w:rPr>
              <w:t>项号</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1AF82CD6">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default" w:ascii="宋体" w:hAnsi="宋体"/>
                <w:b/>
                <w:szCs w:val="21"/>
              </w:rPr>
            </w:pPr>
            <w:r>
              <w:rPr>
                <w:rFonts w:hint="eastAsia" w:ascii="宋体" w:hAnsi="宋体"/>
                <w:b/>
                <w:szCs w:val="21"/>
                <w:lang w:val="en-US" w:eastAsia="zh-CN"/>
              </w:rPr>
              <w:t>货物</w:t>
            </w:r>
            <w:r>
              <w:rPr>
                <w:rFonts w:hint="eastAsia" w:ascii="宋体" w:hAnsi="宋体"/>
                <w:b/>
                <w:szCs w:val="21"/>
              </w:rPr>
              <w:t>名称</w:t>
            </w:r>
          </w:p>
        </w:tc>
        <w:tc>
          <w:tcPr>
            <w:tcW w:w="665" w:type="dxa"/>
            <w:tcBorders>
              <w:top w:val="single" w:color="auto" w:sz="4" w:space="0"/>
              <w:left w:val="single" w:color="auto" w:sz="4" w:space="0"/>
              <w:bottom w:val="single" w:color="auto" w:sz="4" w:space="0"/>
              <w:right w:val="single" w:color="auto" w:sz="4" w:space="0"/>
            </w:tcBorders>
            <w:noWrap w:val="0"/>
            <w:vAlign w:val="center"/>
          </w:tcPr>
          <w:p w14:paraId="3899276F">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eastAsia="宋体"/>
                <w:b/>
                <w:szCs w:val="21"/>
                <w:lang w:eastAsia="zh-CN"/>
              </w:rPr>
            </w:pPr>
            <w:r>
              <w:rPr>
                <w:rFonts w:hint="eastAsia" w:ascii="宋体" w:hAnsi="宋体"/>
                <w:b/>
                <w:szCs w:val="21"/>
              </w:rPr>
              <w:t>数量</w:t>
            </w:r>
          </w:p>
        </w:tc>
        <w:tc>
          <w:tcPr>
            <w:tcW w:w="5941" w:type="dxa"/>
            <w:tcBorders>
              <w:top w:val="single" w:color="auto" w:sz="4" w:space="0"/>
              <w:left w:val="single" w:color="auto" w:sz="4" w:space="0"/>
              <w:bottom w:val="single" w:color="auto" w:sz="4" w:space="0"/>
              <w:right w:val="single" w:color="auto" w:sz="4" w:space="0"/>
            </w:tcBorders>
            <w:noWrap w:val="0"/>
            <w:vAlign w:val="center"/>
          </w:tcPr>
          <w:p w14:paraId="7478C027">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b/>
                <w:szCs w:val="21"/>
                <w:lang w:eastAsia="zh-CN"/>
              </w:rPr>
            </w:pPr>
            <w:r>
              <w:rPr>
                <w:rFonts w:hint="eastAsia" w:ascii="宋体" w:hAnsi="宋体"/>
                <w:b/>
                <w:szCs w:val="21"/>
                <w:lang w:eastAsia="zh-CN"/>
              </w:rPr>
              <w:t>技术参数</w:t>
            </w:r>
          </w:p>
        </w:tc>
        <w:tc>
          <w:tcPr>
            <w:tcW w:w="1181" w:type="dxa"/>
            <w:tcBorders>
              <w:top w:val="single" w:color="auto" w:sz="4" w:space="0"/>
              <w:left w:val="single" w:color="auto" w:sz="4" w:space="0"/>
              <w:bottom w:val="single" w:color="auto" w:sz="4" w:space="0"/>
              <w:right w:val="single" w:color="auto" w:sz="4" w:space="0"/>
            </w:tcBorders>
            <w:noWrap w:val="0"/>
            <w:vAlign w:val="center"/>
          </w:tcPr>
          <w:p w14:paraId="0EDC79AF">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b/>
                <w:szCs w:val="21"/>
                <w:lang w:eastAsia="zh-CN"/>
              </w:rPr>
            </w:pPr>
            <w:r>
              <w:rPr>
                <w:rFonts w:hint="eastAsia" w:ascii="宋体" w:hAnsi="宋体"/>
                <w:b/>
                <w:szCs w:val="21"/>
                <w:lang w:eastAsia="zh-CN"/>
              </w:rPr>
              <w:t>预算合价（元）</w:t>
            </w:r>
          </w:p>
        </w:tc>
      </w:tr>
      <w:tr w14:paraId="4D17C6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18" w:hRule="atLeast"/>
          <w:jc w:val="center"/>
        </w:trPr>
        <w:tc>
          <w:tcPr>
            <w:tcW w:w="43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6348090">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eastAsia="宋体"/>
                <w:szCs w:val="21"/>
                <w:lang w:val="en-US" w:eastAsia="zh-CN"/>
              </w:rPr>
            </w:pPr>
            <w:r>
              <w:rPr>
                <w:rFonts w:hint="eastAsia" w:ascii="宋体" w:hAnsi="宋体"/>
                <w:szCs w:val="21"/>
                <w:lang w:val="en-US" w:eastAsia="zh-CN"/>
              </w:rPr>
              <w:t>1</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4929F4D6">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eastAsia="宋体"/>
                <w:szCs w:val="21"/>
                <w:lang w:eastAsia="zh-CN"/>
              </w:rPr>
            </w:pPr>
            <w:r>
              <w:rPr>
                <w:rFonts w:hint="eastAsia" w:ascii="宋体" w:cs="Times New Roman"/>
              </w:rPr>
              <w:t>身份证识别仪（含授权）</w:t>
            </w:r>
          </w:p>
        </w:tc>
        <w:tc>
          <w:tcPr>
            <w:tcW w:w="665" w:type="dxa"/>
            <w:tcBorders>
              <w:top w:val="single" w:color="auto" w:sz="4" w:space="0"/>
              <w:left w:val="single" w:color="auto" w:sz="4" w:space="0"/>
              <w:bottom w:val="single" w:color="auto" w:sz="4" w:space="0"/>
              <w:right w:val="single" w:color="auto" w:sz="4" w:space="0"/>
            </w:tcBorders>
            <w:noWrap w:val="0"/>
            <w:vAlign w:val="center"/>
          </w:tcPr>
          <w:p w14:paraId="7A5D4A72">
            <w:pPr>
              <w:pStyle w:val="3"/>
              <w:keepNext w:val="0"/>
              <w:keepLines w:val="0"/>
              <w:pageBreakBefore w:val="0"/>
              <w:suppressLineNumbers w:val="0"/>
              <w:kinsoku/>
              <w:wordWrap/>
              <w:overflowPunct/>
              <w:topLinePunct w:val="0"/>
              <w:bidi w:val="0"/>
              <w:spacing w:before="0" w:beforeAutospacing="0" w:afterAutospacing="0" w:line="520" w:lineRule="exact"/>
              <w:ind w:left="0" w:right="0"/>
              <w:rPr>
                <w:rFonts w:hint="default"/>
                <w:lang w:val="en-US"/>
              </w:rPr>
            </w:pPr>
            <w:r>
              <w:rPr>
                <w:rFonts w:hint="eastAsia" w:ascii="宋体" w:hAnsi="宋体"/>
                <w:szCs w:val="21"/>
                <w:lang w:val="en-US" w:eastAsia="zh-CN"/>
              </w:rPr>
              <w:t>6台</w:t>
            </w:r>
          </w:p>
        </w:tc>
        <w:tc>
          <w:tcPr>
            <w:tcW w:w="5941" w:type="dxa"/>
            <w:tcBorders>
              <w:top w:val="single" w:color="auto" w:sz="4" w:space="0"/>
              <w:left w:val="single" w:color="auto" w:sz="4" w:space="0"/>
              <w:bottom w:val="single" w:color="auto" w:sz="4" w:space="0"/>
              <w:right w:val="single" w:color="auto" w:sz="4" w:space="0"/>
            </w:tcBorders>
            <w:noWrap w:val="0"/>
            <w:vAlign w:val="center"/>
          </w:tcPr>
          <w:p w14:paraId="42DC9E84">
            <w:pPr>
              <w:numPr>
                <w:ilvl w:val="0"/>
                <w:numId w:val="0"/>
              </w:numPr>
              <w:spacing w:line="240" w:lineRule="auto"/>
              <w:jc w:val="left"/>
              <w:rPr>
                <w:rFonts w:hint="default"/>
                <w:color w:val="auto"/>
                <w:lang w:val="en-US" w:eastAsia="zh-CN"/>
              </w:rPr>
            </w:pPr>
            <w:r>
              <w:rPr>
                <w:rFonts w:hint="default"/>
                <w:color w:val="auto"/>
                <w:lang w:val="en-US" w:eastAsia="zh-CN"/>
              </w:rPr>
              <w:t>1、自动识别二代身份证真伪，核查献血者身份信息，身份证异常情况可提示报警。</w:t>
            </w:r>
          </w:p>
          <w:p w14:paraId="1969186A">
            <w:pPr>
              <w:numPr>
                <w:ilvl w:val="0"/>
                <w:numId w:val="0"/>
              </w:numPr>
              <w:spacing w:line="240" w:lineRule="auto"/>
              <w:jc w:val="left"/>
              <w:rPr>
                <w:rFonts w:hint="default"/>
                <w:color w:val="auto"/>
                <w:lang w:val="en-US" w:eastAsia="zh-CN"/>
              </w:rPr>
            </w:pPr>
            <w:r>
              <w:rPr>
                <w:rFonts w:hint="default"/>
                <w:color w:val="auto"/>
                <w:lang w:val="en-US" w:eastAsia="zh-CN"/>
              </w:rPr>
              <w:t>2、自动登记后支持使用打印机打印献血者基本信息（包括身份证号码、姓名、住址等），增加信息录入准确性和完整性，有效减轻录入工作量，减少献血者等待时间。</w:t>
            </w:r>
          </w:p>
          <w:p w14:paraId="0ED22877">
            <w:pPr>
              <w:numPr>
                <w:ilvl w:val="0"/>
                <w:numId w:val="0"/>
              </w:numPr>
              <w:spacing w:line="240" w:lineRule="auto"/>
              <w:jc w:val="left"/>
              <w:rPr>
                <w:rFonts w:hint="default"/>
                <w:color w:val="auto"/>
                <w:lang w:val="en-US" w:eastAsia="zh-CN"/>
              </w:rPr>
            </w:pPr>
            <w:r>
              <w:rPr>
                <w:rFonts w:hint="default"/>
                <w:color w:val="auto"/>
                <w:lang w:val="en-US" w:eastAsia="zh-CN"/>
              </w:rPr>
              <w:t>3、关联南宁中心血站业务数据库或本地库，有效进行采前核查，避免近期献血、恶意献血等行为。</w:t>
            </w:r>
          </w:p>
          <w:p w14:paraId="352943D1">
            <w:pPr>
              <w:numPr>
                <w:ilvl w:val="0"/>
                <w:numId w:val="0"/>
              </w:numPr>
              <w:spacing w:line="240" w:lineRule="auto"/>
              <w:jc w:val="left"/>
              <w:rPr>
                <w:rFonts w:hint="default"/>
                <w:color w:val="auto"/>
                <w:lang w:val="en-US" w:eastAsia="zh-CN"/>
              </w:rPr>
            </w:pPr>
            <w:r>
              <w:rPr>
                <w:rFonts w:hint="default"/>
                <w:color w:val="auto"/>
                <w:lang w:val="en-US" w:eastAsia="zh-CN"/>
              </w:rPr>
              <w:t>4、二代身份证识别系统结合外采在线系统使用，能够实时将体检、采血等信息回传至采购人数据库，提高工作效率。</w:t>
            </w:r>
          </w:p>
          <w:p w14:paraId="34D40611">
            <w:pPr>
              <w:numPr>
                <w:ilvl w:val="0"/>
                <w:numId w:val="0"/>
              </w:numPr>
              <w:spacing w:line="240" w:lineRule="auto"/>
              <w:jc w:val="left"/>
              <w:rPr>
                <w:rFonts w:hint="default"/>
                <w:color w:val="auto"/>
                <w:lang w:val="en-US" w:eastAsia="zh-CN"/>
              </w:rPr>
            </w:pPr>
            <w:r>
              <w:rPr>
                <w:rFonts w:hint="default"/>
                <w:color w:val="auto"/>
                <w:lang w:val="en-US" w:eastAsia="zh-CN"/>
              </w:rPr>
              <w:t>5、身份证自动识别系统要求适用于南宁中心血站站内采血、机采、站外采血车以及固定采血点等多种采血模式。</w:t>
            </w:r>
          </w:p>
          <w:p w14:paraId="3ABD1D1B">
            <w:pPr>
              <w:numPr>
                <w:ilvl w:val="0"/>
                <w:numId w:val="0"/>
              </w:numPr>
              <w:spacing w:line="240" w:lineRule="auto"/>
              <w:jc w:val="left"/>
              <w:rPr>
                <w:rFonts w:hint="default"/>
                <w:color w:val="auto"/>
                <w:lang w:val="en-US" w:eastAsia="zh-CN"/>
              </w:rPr>
            </w:pPr>
            <w:r>
              <w:rPr>
                <w:rFonts w:hint="default"/>
                <w:color w:val="auto"/>
                <w:lang w:val="en-US" w:eastAsia="zh-CN"/>
              </w:rPr>
              <w:t>6、识别速度快，5秒内即可准确识别、录入、保存身份证全部信息。</w:t>
            </w:r>
          </w:p>
          <w:p w14:paraId="7B3CD0F7">
            <w:pPr>
              <w:numPr>
                <w:ilvl w:val="0"/>
                <w:numId w:val="0"/>
              </w:numPr>
              <w:spacing w:line="240" w:lineRule="auto"/>
              <w:jc w:val="left"/>
              <w:rPr>
                <w:rFonts w:hint="default"/>
                <w:color w:val="auto"/>
                <w:lang w:val="en-US" w:eastAsia="zh-CN"/>
              </w:rPr>
            </w:pPr>
            <w:r>
              <w:rPr>
                <w:rFonts w:hint="default"/>
                <w:color w:val="auto"/>
                <w:lang w:val="en-US" w:eastAsia="zh-CN"/>
              </w:rPr>
              <w:t>7、所有的身份证阅读器通过了公安部检验，完全符合GA/T 490-2019《居民身份证机读信息规范》的要求。</w:t>
            </w:r>
          </w:p>
          <w:p w14:paraId="4A60FD25">
            <w:pPr>
              <w:numPr>
                <w:ilvl w:val="0"/>
                <w:numId w:val="0"/>
              </w:numPr>
              <w:spacing w:line="240" w:lineRule="auto"/>
              <w:jc w:val="left"/>
              <w:rPr>
                <w:rFonts w:hint="default"/>
                <w:color w:val="auto"/>
                <w:lang w:val="en-US" w:eastAsia="zh-CN"/>
              </w:rPr>
            </w:pPr>
            <w:r>
              <w:rPr>
                <w:rFonts w:hint="default"/>
                <w:color w:val="auto"/>
                <w:lang w:val="en-US" w:eastAsia="zh-CN"/>
              </w:rPr>
              <w:t>8、在在线和离线状态下，能够自动识别数据端口，无需另配电源。</w:t>
            </w:r>
          </w:p>
          <w:p w14:paraId="4250A3EE">
            <w:pPr>
              <w:numPr>
                <w:ilvl w:val="0"/>
                <w:numId w:val="0"/>
              </w:numPr>
              <w:spacing w:line="240" w:lineRule="auto"/>
              <w:jc w:val="left"/>
              <w:rPr>
                <w:rFonts w:hint="default"/>
                <w:color w:val="auto"/>
                <w:lang w:val="en-US" w:eastAsia="zh-CN"/>
              </w:rPr>
            </w:pPr>
            <w:r>
              <w:rPr>
                <w:rFonts w:hint="default"/>
                <w:color w:val="auto"/>
                <w:lang w:val="en-US" w:eastAsia="zh-CN"/>
              </w:rPr>
              <w:t>9、不用工具就可进行安全模块拆卸和更换（有利于维护）。</w:t>
            </w:r>
          </w:p>
          <w:p w14:paraId="01C907DA">
            <w:pPr>
              <w:numPr>
                <w:ilvl w:val="0"/>
                <w:numId w:val="0"/>
              </w:numPr>
              <w:spacing w:line="240" w:lineRule="auto"/>
              <w:jc w:val="left"/>
              <w:rPr>
                <w:rFonts w:hint="default"/>
                <w:color w:val="auto"/>
                <w:lang w:val="en-US" w:eastAsia="zh-CN"/>
              </w:rPr>
            </w:pPr>
            <w:r>
              <w:rPr>
                <w:rFonts w:hint="default"/>
                <w:color w:val="auto"/>
                <w:lang w:val="en-US" w:eastAsia="zh-CN"/>
              </w:rPr>
              <w:t>10、具有电源保护开关设置。</w:t>
            </w:r>
          </w:p>
          <w:p w14:paraId="595BFC58">
            <w:pPr>
              <w:numPr>
                <w:ilvl w:val="0"/>
                <w:numId w:val="0"/>
              </w:numPr>
              <w:spacing w:line="240" w:lineRule="auto"/>
              <w:jc w:val="left"/>
              <w:rPr>
                <w:rFonts w:hint="default"/>
                <w:color w:val="auto"/>
                <w:lang w:val="en-US" w:eastAsia="zh-CN"/>
              </w:rPr>
            </w:pPr>
            <w:r>
              <w:rPr>
                <w:rFonts w:hint="default"/>
                <w:color w:val="auto"/>
                <w:lang w:val="en-US" w:eastAsia="zh-CN"/>
              </w:rPr>
              <w:t>11、在检测安全模块状态下，可获取安全模块ID号、获取身份证芯片SN号。</w:t>
            </w:r>
          </w:p>
          <w:p w14:paraId="5B6BCA47">
            <w:pPr>
              <w:numPr>
                <w:ilvl w:val="0"/>
                <w:numId w:val="0"/>
              </w:numPr>
              <w:spacing w:line="240" w:lineRule="auto"/>
              <w:jc w:val="left"/>
              <w:rPr>
                <w:rFonts w:hint="default"/>
                <w:color w:val="auto"/>
                <w:lang w:val="en-US" w:eastAsia="zh-CN"/>
              </w:rPr>
            </w:pPr>
            <w:r>
              <w:rPr>
                <w:rFonts w:hint="default"/>
                <w:color w:val="auto"/>
                <w:lang w:val="en-US" w:eastAsia="zh-CN"/>
              </w:rPr>
              <w:t>12、要求必须与南宁中心血站的现代血站管理信息系统相适配，并能实现业务工作中的身份证识别的需求。</w:t>
            </w:r>
          </w:p>
          <w:p w14:paraId="06D4C1F4">
            <w:pPr>
              <w:numPr>
                <w:ilvl w:val="0"/>
                <w:numId w:val="0"/>
              </w:numPr>
              <w:spacing w:line="240" w:lineRule="auto"/>
              <w:jc w:val="left"/>
              <w:rPr>
                <w:rFonts w:hint="default"/>
                <w:color w:val="auto"/>
                <w:lang w:val="en-US" w:eastAsia="zh-CN"/>
              </w:rPr>
            </w:pPr>
            <w:r>
              <w:rPr>
                <w:rFonts w:hint="default"/>
                <w:color w:val="auto"/>
                <w:lang w:val="en-US" w:eastAsia="zh-CN"/>
              </w:rPr>
              <w:t>13、提供的设备中内含身份证自动识别系统。</w:t>
            </w:r>
          </w:p>
        </w:tc>
        <w:tc>
          <w:tcPr>
            <w:tcW w:w="1181" w:type="dxa"/>
            <w:tcBorders>
              <w:top w:val="single" w:color="auto" w:sz="4" w:space="0"/>
              <w:left w:val="single" w:color="auto" w:sz="4" w:space="0"/>
              <w:bottom w:val="single" w:color="auto" w:sz="4" w:space="0"/>
              <w:right w:val="single" w:color="auto" w:sz="4" w:space="0"/>
            </w:tcBorders>
            <w:noWrap w:val="0"/>
            <w:vAlign w:val="center"/>
          </w:tcPr>
          <w:p w14:paraId="3CDE7D44">
            <w:pPr>
              <w:pStyle w:val="3"/>
              <w:keepNext w:val="0"/>
              <w:keepLines w:val="0"/>
              <w:pageBreakBefore w:val="0"/>
              <w:suppressLineNumbers w:val="0"/>
              <w:kinsoku/>
              <w:wordWrap/>
              <w:overflowPunct/>
              <w:topLinePunct w:val="0"/>
              <w:bidi w:val="0"/>
              <w:spacing w:before="0" w:beforeAutospacing="0" w:afterAutospacing="0" w:line="520" w:lineRule="exact"/>
              <w:ind w:left="0" w:right="0"/>
              <w:jc w:val="center"/>
              <w:rPr>
                <w:rFonts w:hint="default" w:eastAsia="宋体"/>
                <w:lang w:val="en-US" w:eastAsia="zh-CN"/>
              </w:rPr>
            </w:pPr>
            <w:r>
              <w:rPr>
                <w:rFonts w:hint="eastAsia"/>
                <w:lang w:val="en-US" w:eastAsia="zh-CN"/>
              </w:rPr>
              <w:t>72000.00</w:t>
            </w:r>
          </w:p>
        </w:tc>
      </w:tr>
      <w:tr w14:paraId="792DF2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43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398DB53">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szCs w:val="21"/>
              </w:rPr>
            </w:pPr>
            <w:r>
              <w:rPr>
                <w:rFonts w:hint="eastAsia" w:ascii="宋体" w:hAnsi="宋体"/>
                <w:szCs w:val="21"/>
              </w:rPr>
              <w:t>商务</w:t>
            </w:r>
            <w:r>
              <w:rPr>
                <w:rFonts w:hint="default" w:ascii="宋体" w:hAnsi="宋体"/>
                <w:szCs w:val="21"/>
              </w:rPr>
              <w:t>条款</w:t>
            </w:r>
          </w:p>
        </w:tc>
        <w:tc>
          <w:tcPr>
            <w:tcW w:w="9137" w:type="dxa"/>
            <w:gridSpan w:val="4"/>
            <w:tcBorders>
              <w:top w:val="single" w:color="auto" w:sz="4" w:space="0"/>
              <w:left w:val="single" w:color="auto" w:sz="4" w:space="0"/>
              <w:bottom w:val="single" w:color="auto" w:sz="4" w:space="0"/>
              <w:right w:val="single" w:color="auto" w:sz="4" w:space="0"/>
            </w:tcBorders>
            <w:noWrap w:val="0"/>
            <w:vAlign w:val="center"/>
          </w:tcPr>
          <w:p w14:paraId="56879BBE">
            <w:pPr>
              <w:spacing w:line="276" w:lineRule="auto"/>
              <w:rPr>
                <w:rFonts w:asciiTheme="minorEastAsia" w:hAnsiTheme="minorEastAsia" w:cstheme="minorEastAsia"/>
              </w:rPr>
            </w:pPr>
            <w:r>
              <w:rPr>
                <w:rFonts w:hint="eastAsia" w:asciiTheme="minorEastAsia" w:hAnsiTheme="minorEastAsia" w:cstheme="minorEastAsia"/>
                <w:b/>
                <w:bCs/>
              </w:rPr>
              <w:t>一、合同签订期：</w:t>
            </w:r>
            <w:r>
              <w:rPr>
                <w:rFonts w:hint="eastAsia" w:asciiTheme="minorEastAsia" w:hAnsiTheme="minorEastAsia" w:cstheme="minorEastAsia"/>
              </w:rPr>
              <w:t>自中结果公告发出之日起</w:t>
            </w:r>
            <w:r>
              <w:rPr>
                <w:rFonts w:hint="eastAsia" w:asciiTheme="minorEastAsia" w:hAnsiTheme="minorEastAsia" w:cstheme="minorEastAsia"/>
                <w:u w:val="single"/>
              </w:rPr>
              <w:t xml:space="preserve"> 10 个</w:t>
            </w:r>
            <w:r>
              <w:rPr>
                <w:rFonts w:hint="eastAsia" w:asciiTheme="minorEastAsia" w:hAnsiTheme="minorEastAsia" w:cstheme="minorEastAsia"/>
              </w:rPr>
              <w:t>工作日内。</w:t>
            </w:r>
          </w:p>
          <w:p w14:paraId="7EA4D642">
            <w:pPr>
              <w:spacing w:line="276" w:lineRule="auto"/>
              <w:rPr>
                <w:rFonts w:asciiTheme="minorEastAsia" w:hAnsiTheme="minorEastAsia" w:cstheme="minorEastAsia"/>
              </w:rPr>
            </w:pPr>
            <w:r>
              <w:rPr>
                <w:rFonts w:hint="eastAsia" w:asciiTheme="minorEastAsia" w:hAnsiTheme="minorEastAsia" w:cstheme="minorEastAsia"/>
                <w:b/>
                <w:bCs/>
              </w:rPr>
              <w:t>二、交货期：</w:t>
            </w:r>
            <w:r>
              <w:rPr>
                <w:rFonts w:hint="eastAsia" w:asciiTheme="minorEastAsia" w:hAnsiTheme="minorEastAsia" w:cstheme="minorEastAsia"/>
              </w:rPr>
              <w:t>自合同签订之日起</w:t>
            </w:r>
            <w:r>
              <w:rPr>
                <w:rFonts w:hint="eastAsia" w:asciiTheme="minorEastAsia" w:hAnsiTheme="minorEastAsia" w:cstheme="minorEastAsia"/>
                <w:u w:val="single"/>
                <w:lang w:val="en-US" w:eastAsia="zh-CN"/>
              </w:rPr>
              <w:t>20</w:t>
            </w:r>
            <w:r>
              <w:rPr>
                <w:rFonts w:hint="eastAsia" w:asciiTheme="minorEastAsia" w:hAnsiTheme="minorEastAsia" w:cstheme="minorEastAsia"/>
                <w:u w:val="single"/>
              </w:rPr>
              <w:t>天内</w:t>
            </w:r>
            <w:r>
              <w:rPr>
                <w:rFonts w:hint="eastAsia" w:asciiTheme="minorEastAsia" w:hAnsiTheme="minorEastAsia" w:cstheme="minorEastAsia"/>
              </w:rPr>
              <w:t>完成交货并安装调试完毕。</w:t>
            </w:r>
          </w:p>
          <w:p w14:paraId="4E7F99E5">
            <w:pPr>
              <w:spacing w:line="276" w:lineRule="auto"/>
              <w:rPr>
                <w:rFonts w:asciiTheme="minorEastAsia" w:hAnsiTheme="minorEastAsia" w:cstheme="minorEastAsia"/>
              </w:rPr>
            </w:pPr>
            <w:r>
              <w:rPr>
                <w:rFonts w:hint="eastAsia" w:asciiTheme="minorEastAsia" w:hAnsiTheme="minorEastAsia" w:cstheme="minorEastAsia"/>
                <w:b/>
                <w:bCs/>
              </w:rPr>
              <w:t>三、交货地点：</w:t>
            </w:r>
            <w:r>
              <w:rPr>
                <w:rFonts w:hint="eastAsia" w:asciiTheme="minorEastAsia" w:hAnsiTheme="minorEastAsia" w:cstheme="minorEastAsia"/>
              </w:rPr>
              <w:t xml:space="preserve">南宁中心血站指定地点。   </w:t>
            </w:r>
          </w:p>
          <w:p w14:paraId="23F975FC">
            <w:pPr>
              <w:spacing w:line="276" w:lineRule="auto"/>
              <w:rPr>
                <w:rFonts w:asciiTheme="minorEastAsia" w:hAnsiTheme="minorEastAsia" w:cstheme="minorEastAsia"/>
              </w:rPr>
            </w:pPr>
            <w:r>
              <w:rPr>
                <w:rFonts w:hint="eastAsia" w:asciiTheme="minorEastAsia" w:hAnsiTheme="minorEastAsia" w:cstheme="minorEastAsia"/>
                <w:b/>
                <w:bCs/>
              </w:rPr>
              <w:t>四、交货方式：</w:t>
            </w:r>
            <w:r>
              <w:rPr>
                <w:rFonts w:hint="eastAsia" w:asciiTheme="minorEastAsia" w:hAnsiTheme="minorEastAsia" w:cstheme="minorEastAsia"/>
              </w:rPr>
              <w:t>现场交货。</w:t>
            </w:r>
          </w:p>
          <w:p w14:paraId="7483CED1">
            <w:pPr>
              <w:spacing w:line="276" w:lineRule="auto"/>
              <w:rPr>
                <w:rFonts w:asciiTheme="minorEastAsia" w:hAnsiTheme="minorEastAsia" w:cstheme="minorEastAsia"/>
                <w:b/>
                <w:bCs/>
              </w:rPr>
            </w:pPr>
            <w:r>
              <w:rPr>
                <w:rFonts w:hint="eastAsia" w:asciiTheme="minorEastAsia" w:hAnsiTheme="minorEastAsia" w:cstheme="minorEastAsia"/>
                <w:b/>
                <w:bCs/>
              </w:rPr>
              <w:t>五、售后服务及要求：</w:t>
            </w:r>
          </w:p>
          <w:p w14:paraId="4ADDFEB5">
            <w:pPr>
              <w:pStyle w:val="9"/>
              <w:numPr>
                <w:ilvl w:val="0"/>
                <w:numId w:val="3"/>
              </w:numPr>
              <w:bidi w:val="0"/>
              <w:rPr>
                <w:rFonts w:hint="eastAsia"/>
              </w:rPr>
            </w:pPr>
            <w:r>
              <w:rPr>
                <w:rFonts w:hint="eastAsia"/>
              </w:rPr>
              <w:t>按国家有关产品“三包”规定执行“三包”</w:t>
            </w:r>
            <w:r>
              <w:rPr>
                <w:rFonts w:hint="eastAsia"/>
                <w:color w:val="auto"/>
              </w:rPr>
              <w:t>，质量保证期</w:t>
            </w:r>
            <w:r>
              <w:rPr>
                <w:rFonts w:hint="eastAsia"/>
                <w:color w:val="auto"/>
                <w:lang w:val="en-US" w:eastAsia="zh-CN"/>
              </w:rPr>
              <w:t>1</w:t>
            </w:r>
            <w:r>
              <w:rPr>
                <w:rFonts w:hint="eastAsia"/>
                <w:color w:val="auto"/>
              </w:rPr>
              <w:t>年，交货验</w:t>
            </w:r>
            <w:r>
              <w:rPr>
                <w:rFonts w:hint="eastAsia"/>
              </w:rPr>
              <w:t>收合格之日起计。</w:t>
            </w:r>
          </w:p>
          <w:p w14:paraId="27440082">
            <w:pPr>
              <w:pStyle w:val="9"/>
              <w:numPr>
                <w:ilvl w:val="0"/>
                <w:numId w:val="3"/>
              </w:numPr>
              <w:bidi w:val="0"/>
              <w:rPr>
                <w:rFonts w:hint="eastAsia"/>
              </w:rPr>
            </w:pPr>
            <w:r>
              <w:rPr>
                <w:rFonts w:hint="eastAsia"/>
              </w:rPr>
              <w:t>在质量保证期内提供保修服务，保修服务具体如下:产品出现非</w:t>
            </w:r>
            <w:r>
              <w:rPr>
                <w:rFonts w:hint="eastAsia"/>
                <w:lang w:val="en-US" w:eastAsia="zh-CN"/>
              </w:rPr>
              <w:t>采购人</w:t>
            </w:r>
            <w:r>
              <w:rPr>
                <w:rFonts w:hint="eastAsia"/>
              </w:rPr>
              <w:t>人为原因故障，</w:t>
            </w:r>
            <w:r>
              <w:rPr>
                <w:rFonts w:hint="eastAsia"/>
                <w:lang w:val="en-US" w:eastAsia="zh-CN"/>
              </w:rPr>
              <w:t>成交供应商</w:t>
            </w:r>
            <w:r>
              <w:rPr>
                <w:rFonts w:hint="eastAsia"/>
              </w:rPr>
              <w:t>负责免费维修</w:t>
            </w:r>
            <w:r>
              <w:rPr>
                <w:rFonts w:hint="eastAsia"/>
                <w:lang w:eastAsia="zh-CN"/>
              </w:rPr>
              <w:t>；</w:t>
            </w:r>
            <w:r>
              <w:rPr>
                <w:rFonts w:hint="eastAsia"/>
              </w:rPr>
              <w:t>属于采购</w:t>
            </w:r>
            <w:r>
              <w:rPr>
                <w:rFonts w:hint="eastAsia"/>
                <w:lang w:val="en-US" w:eastAsia="zh-CN"/>
              </w:rPr>
              <w:t>人</w:t>
            </w:r>
            <w:r>
              <w:rPr>
                <w:rFonts w:hint="eastAsia"/>
              </w:rPr>
              <w:t>责任事故造成的产品故障，</w:t>
            </w:r>
            <w:r>
              <w:rPr>
                <w:rFonts w:hint="eastAsia"/>
                <w:lang w:val="en-US" w:eastAsia="zh-CN"/>
              </w:rPr>
              <w:t>成交供应商</w:t>
            </w:r>
            <w:r>
              <w:rPr>
                <w:rFonts w:hint="eastAsia"/>
              </w:rPr>
              <w:t>负责维修，费用由采购</w:t>
            </w:r>
            <w:r>
              <w:rPr>
                <w:rFonts w:hint="eastAsia"/>
                <w:lang w:val="en-US" w:eastAsia="zh-CN"/>
              </w:rPr>
              <w:t>人</w:t>
            </w:r>
            <w:r>
              <w:rPr>
                <w:rFonts w:hint="eastAsia"/>
              </w:rPr>
              <w:t>承担。</w:t>
            </w:r>
          </w:p>
          <w:p w14:paraId="74CE73E3">
            <w:pPr>
              <w:pStyle w:val="9"/>
              <w:numPr>
                <w:ilvl w:val="0"/>
                <w:numId w:val="3"/>
              </w:numPr>
              <w:bidi w:val="0"/>
              <w:rPr>
                <w:rFonts w:hint="eastAsia"/>
              </w:rPr>
            </w:pPr>
            <w:r>
              <w:rPr>
                <w:rFonts w:hint="eastAsia"/>
                <w:lang w:val="en-US" w:eastAsia="zh-CN"/>
              </w:rPr>
              <w:t>故障</w:t>
            </w:r>
            <w:r>
              <w:rPr>
                <w:rFonts w:hint="eastAsia"/>
              </w:rPr>
              <w:t>响应时间：送货到</w:t>
            </w:r>
            <w:r>
              <w:rPr>
                <w:rFonts w:hint="eastAsia"/>
                <w:lang w:val="en-US" w:eastAsia="zh-CN"/>
              </w:rPr>
              <w:t>采购人</w:t>
            </w:r>
            <w:r>
              <w:rPr>
                <w:rFonts w:hint="eastAsia"/>
              </w:rPr>
              <w:t>指定位置并安装，提供24小时服务电话。接到采购人维修电话或传真，如出现故障，12小时内</w:t>
            </w:r>
            <w:r>
              <w:rPr>
                <w:rFonts w:hint="eastAsia"/>
                <w:lang w:val="en-US" w:eastAsia="zh-CN"/>
              </w:rPr>
              <w:t>响应并给出解决方案</w:t>
            </w:r>
            <w:r>
              <w:rPr>
                <w:rFonts w:hint="eastAsia"/>
              </w:rPr>
              <w:t>。</w:t>
            </w:r>
          </w:p>
          <w:p w14:paraId="5F4A8BA4">
            <w:pPr>
              <w:spacing w:line="276" w:lineRule="auto"/>
              <w:rPr>
                <w:rFonts w:asciiTheme="minorEastAsia" w:hAnsiTheme="minorEastAsia" w:cstheme="minorEastAsia"/>
                <w:b/>
                <w:bCs/>
              </w:rPr>
            </w:pPr>
            <w:r>
              <w:rPr>
                <w:rFonts w:hint="eastAsia" w:asciiTheme="minorEastAsia" w:hAnsiTheme="minorEastAsia" w:cstheme="minorEastAsia"/>
                <w:b/>
                <w:bCs/>
              </w:rPr>
              <w:t>六、其他要求：</w:t>
            </w:r>
          </w:p>
          <w:p w14:paraId="40722FCD">
            <w:pPr>
              <w:spacing w:line="276" w:lineRule="auto"/>
              <w:rPr>
                <w:rFonts w:asciiTheme="minorEastAsia" w:hAnsiTheme="minorEastAsia" w:cstheme="minorEastAsia"/>
              </w:rPr>
            </w:pPr>
            <w:r>
              <w:rPr>
                <w:rFonts w:hint="eastAsia" w:asciiTheme="minorEastAsia" w:hAnsiTheme="minorEastAsia" w:cstheme="minorEastAsia"/>
              </w:rPr>
              <w:t>1、报价必须含以下部分，包括：</w:t>
            </w:r>
          </w:p>
          <w:p w14:paraId="7EAD40C6">
            <w:pPr>
              <w:spacing w:line="276" w:lineRule="auto"/>
              <w:rPr>
                <w:rFonts w:asciiTheme="minorEastAsia" w:hAnsiTheme="minorEastAsia" w:cstheme="minorEastAsia"/>
              </w:rPr>
            </w:pPr>
            <w:r>
              <w:rPr>
                <w:rFonts w:hint="eastAsia" w:asciiTheme="minorEastAsia" w:hAnsiTheme="minorEastAsia" w:cstheme="minorEastAsia"/>
              </w:rPr>
              <w:t>（1）要求货物是全新、未经改装、合格、满足本项目技术需求及要求的货物。所有零部件、配件必须是未经使用的全新的并符合国家有关质量安全标准的产品。</w:t>
            </w:r>
          </w:p>
          <w:p w14:paraId="2BBCE98F">
            <w:pPr>
              <w:spacing w:line="276" w:lineRule="auto"/>
              <w:rPr>
                <w:rFonts w:asciiTheme="minorEastAsia" w:hAnsiTheme="minorEastAsia" w:cstheme="minorEastAsia"/>
              </w:rPr>
            </w:pPr>
            <w:r>
              <w:rPr>
                <w:rFonts w:hint="eastAsia" w:asciiTheme="minorEastAsia" w:hAnsiTheme="minorEastAsia" w:cstheme="minorEastAsia"/>
              </w:rPr>
              <w:t>（2）投标报价为采购人指定地点的现场交货价，包括：</w:t>
            </w:r>
          </w:p>
          <w:p w14:paraId="0595ECFE">
            <w:pPr>
              <w:spacing w:line="276" w:lineRule="auto"/>
              <w:rPr>
                <w:rFonts w:asciiTheme="minorEastAsia" w:hAnsiTheme="minorEastAsia" w:cstheme="minorEastAsia"/>
              </w:rPr>
            </w:pPr>
            <w:r>
              <w:rPr>
                <w:rFonts w:hint="eastAsia" w:asciiTheme="minorEastAsia" w:hAnsiTheme="minorEastAsia" w:cstheme="minorEastAsia"/>
              </w:rPr>
              <w:t>①货物的价格；</w:t>
            </w:r>
          </w:p>
          <w:p w14:paraId="11C22E9C">
            <w:pPr>
              <w:spacing w:line="276" w:lineRule="auto"/>
              <w:rPr>
                <w:rFonts w:asciiTheme="minorEastAsia" w:hAnsiTheme="minorEastAsia" w:cstheme="minorEastAsia"/>
              </w:rPr>
            </w:pPr>
            <w:r>
              <w:rPr>
                <w:rFonts w:hint="eastAsia" w:asciiTheme="minorEastAsia" w:hAnsiTheme="minorEastAsia" w:cstheme="minorEastAsia"/>
              </w:rPr>
              <w:t>②货物的标准配件附件、备品备件、专用工具、包装的价格；</w:t>
            </w:r>
          </w:p>
          <w:p w14:paraId="1821DF66">
            <w:pPr>
              <w:widowControl/>
              <w:spacing w:line="276" w:lineRule="auto"/>
              <w:rPr>
                <w:rFonts w:asciiTheme="minorEastAsia" w:hAnsiTheme="minorEastAsia" w:cstheme="minorEastAsia"/>
              </w:rPr>
            </w:pPr>
            <w:r>
              <w:rPr>
                <w:rFonts w:hint="eastAsia" w:asciiTheme="minorEastAsia" w:hAnsiTheme="minorEastAsia" w:cstheme="minorEastAsia"/>
              </w:rPr>
              <w:t>③安装调试过程中涉及的材料和工具、运输、货到就位、保管、装卸、调试、技术支持、售后服务等费用；</w:t>
            </w:r>
          </w:p>
          <w:p w14:paraId="1235F85E">
            <w:pPr>
              <w:widowControl/>
              <w:spacing w:line="276" w:lineRule="auto"/>
              <w:rPr>
                <w:rFonts w:asciiTheme="minorEastAsia" w:hAnsiTheme="minorEastAsia" w:cstheme="minorEastAsia"/>
              </w:rPr>
            </w:pPr>
            <w:r>
              <w:rPr>
                <w:rFonts w:hint="eastAsia" w:asciiTheme="minorEastAsia" w:hAnsiTheme="minorEastAsia" w:cstheme="minorEastAsia"/>
              </w:rPr>
              <w:t>④必要的保险费用和各项税费；</w:t>
            </w:r>
          </w:p>
          <w:p w14:paraId="749465CA">
            <w:pPr>
              <w:widowControl/>
              <w:spacing w:line="276" w:lineRule="auto"/>
              <w:rPr>
                <w:rFonts w:asciiTheme="minorEastAsia" w:hAnsiTheme="minorEastAsia" w:cstheme="minorEastAsia"/>
              </w:rPr>
            </w:pPr>
            <w:r>
              <w:rPr>
                <w:rFonts w:hint="eastAsia" w:asciiTheme="minorEastAsia" w:hAnsiTheme="minorEastAsia" w:cstheme="minorEastAsia"/>
              </w:rPr>
              <w:t>⑤送货上门、安装、培训（含教材费、场地租用费）的费用；</w:t>
            </w:r>
          </w:p>
          <w:p w14:paraId="15009BCA">
            <w:pPr>
              <w:widowControl/>
              <w:spacing w:line="276" w:lineRule="auto"/>
              <w:rPr>
                <w:rFonts w:hint="eastAsia" w:asciiTheme="minorEastAsia" w:hAnsiTheme="minorEastAsia" w:eastAsiaTheme="minorEastAsia" w:cstheme="minorEastAsia"/>
                <w:lang w:eastAsia="zh-CN"/>
              </w:rPr>
            </w:pPr>
            <w:r>
              <w:rPr>
                <w:rFonts w:hint="eastAsia" w:asciiTheme="minorEastAsia" w:hAnsiTheme="minorEastAsia" w:cstheme="minorEastAsia"/>
              </w:rPr>
              <w:t>⑥质保期内的维修费用和相关技术服务费</w:t>
            </w:r>
            <w:r>
              <w:rPr>
                <w:rFonts w:hint="eastAsia" w:asciiTheme="minorEastAsia" w:hAnsiTheme="minorEastAsia" w:cstheme="minorEastAsia"/>
                <w:lang w:eastAsia="zh-CN"/>
              </w:rPr>
              <w:t>。</w:t>
            </w:r>
          </w:p>
          <w:p w14:paraId="4070826A">
            <w:pPr>
              <w:widowControl/>
              <w:spacing w:line="276" w:lineRule="auto"/>
              <w:rPr>
                <w:rFonts w:asciiTheme="minorEastAsia" w:hAnsiTheme="minorEastAsia" w:cstheme="minorEastAsia"/>
                <w:highlight w:val="none"/>
              </w:rPr>
            </w:pPr>
            <w:r>
              <w:rPr>
                <w:rFonts w:hint="eastAsia" w:asciiTheme="minorEastAsia" w:hAnsiTheme="minorEastAsia" w:cstheme="minorEastAsia"/>
              </w:rPr>
              <w:t>2、付款方式：成交供应商交货安装并调试完成，经</w:t>
            </w:r>
            <w:r>
              <w:rPr>
                <w:rFonts w:hint="eastAsia" w:asciiTheme="minorEastAsia" w:hAnsiTheme="minorEastAsia" w:cstheme="minorEastAsia"/>
                <w:highlight w:val="none"/>
              </w:rPr>
              <w:t>采购人验收合格后一次性支付合同款（付款前成交供应商须提供等额合规的增值税</w:t>
            </w:r>
            <w:r>
              <w:rPr>
                <w:rFonts w:hint="eastAsia" w:asciiTheme="minorEastAsia" w:hAnsiTheme="minorEastAsia" w:cstheme="minorEastAsia"/>
                <w:highlight w:val="none"/>
                <w:lang w:val="en-US" w:eastAsia="zh-CN"/>
              </w:rPr>
              <w:t>普通</w:t>
            </w:r>
            <w:r>
              <w:rPr>
                <w:rFonts w:hint="eastAsia" w:asciiTheme="minorEastAsia" w:hAnsiTheme="minorEastAsia" w:cstheme="minorEastAsia"/>
                <w:highlight w:val="none"/>
              </w:rPr>
              <w:t>发票）。</w:t>
            </w:r>
          </w:p>
          <w:p w14:paraId="46BCFB14">
            <w:pPr>
              <w:widowControl/>
              <w:spacing w:line="276" w:lineRule="auto"/>
              <w:rPr>
                <w:rFonts w:asciiTheme="minorEastAsia" w:hAnsiTheme="minorEastAsia" w:cstheme="minorEastAsia"/>
                <w:b/>
                <w:bCs/>
              </w:rPr>
            </w:pPr>
            <w:r>
              <w:rPr>
                <w:rFonts w:hint="eastAsia" w:asciiTheme="minorEastAsia" w:hAnsiTheme="minorEastAsia" w:cstheme="minorEastAsia"/>
                <w:b/>
                <w:bCs/>
              </w:rPr>
              <w:t>七、验收标准、规范：</w:t>
            </w:r>
          </w:p>
          <w:p w14:paraId="2AA7795C">
            <w:pPr>
              <w:widowControl/>
              <w:spacing w:line="276" w:lineRule="auto"/>
              <w:rPr>
                <w:rFonts w:asciiTheme="minorEastAsia" w:hAnsiTheme="minorEastAsia" w:cstheme="minorEastAsia"/>
              </w:rPr>
            </w:pPr>
            <w:r>
              <w:rPr>
                <w:rFonts w:hint="eastAsia" w:asciiTheme="minorEastAsia" w:hAnsiTheme="minorEastAsia" w:cstheme="minorEastAsia"/>
              </w:rPr>
              <w:t>1、成交供应商所供货物必须是全新整套按国家或国际有关质量标准制造，且能满足本项目技术</w:t>
            </w:r>
            <w:r>
              <w:rPr>
                <w:rFonts w:hint="eastAsia" w:asciiTheme="minorEastAsia" w:hAnsiTheme="minorEastAsia" w:cstheme="minorEastAsia"/>
                <w:lang w:val="en-US" w:eastAsia="zh-CN"/>
              </w:rPr>
              <w:t>参数</w:t>
            </w:r>
            <w:r>
              <w:rPr>
                <w:rFonts w:hint="eastAsia" w:asciiTheme="minorEastAsia" w:hAnsiTheme="minorEastAsia" w:cstheme="minorEastAsia"/>
              </w:rPr>
              <w:t>。</w:t>
            </w:r>
          </w:p>
          <w:p w14:paraId="5129C6F8">
            <w:pPr>
              <w:widowControl/>
              <w:spacing w:line="276" w:lineRule="auto"/>
              <w:rPr>
                <w:rFonts w:asciiTheme="minorEastAsia" w:hAnsiTheme="minorEastAsia" w:cstheme="minorEastAsia"/>
              </w:rPr>
            </w:pPr>
            <w:r>
              <w:rPr>
                <w:rFonts w:hint="eastAsia" w:asciiTheme="minorEastAsia" w:hAnsiTheme="minorEastAsia" w:cstheme="minorEastAsia"/>
                <w:lang w:val="en-US" w:eastAsia="zh-CN"/>
              </w:rPr>
              <w:t>2</w:t>
            </w:r>
            <w:r>
              <w:rPr>
                <w:rFonts w:hint="eastAsia" w:asciiTheme="minorEastAsia" w:hAnsiTheme="minorEastAsia" w:cstheme="minorEastAsia"/>
              </w:rPr>
              <w:t>、成交供应商在货物验收时由采购人对照采购需求一览表中的技术参数全面核对检验，如不符合采购需求一览表中的技术</w:t>
            </w:r>
            <w:r>
              <w:rPr>
                <w:rFonts w:hint="eastAsia" w:asciiTheme="minorEastAsia" w:hAnsiTheme="minorEastAsia" w:cstheme="minorEastAsia"/>
                <w:lang w:val="en-US" w:eastAsia="zh-CN"/>
              </w:rPr>
              <w:t>参数</w:t>
            </w:r>
            <w:r>
              <w:rPr>
                <w:rFonts w:hint="eastAsia" w:asciiTheme="minorEastAsia" w:hAnsiTheme="minorEastAsia" w:cstheme="minorEastAsia"/>
              </w:rPr>
              <w:t>及要求以及提供虚假承诺的，按相关规定做退货处理及违约处理，成交供应商承担所有责任和费用，采购人保留进一步追究责任的权利。</w:t>
            </w:r>
          </w:p>
          <w:p w14:paraId="7178DF25">
            <w:pPr>
              <w:widowControl/>
              <w:spacing w:line="276" w:lineRule="auto"/>
              <w:rPr>
                <w:rFonts w:asciiTheme="minorEastAsia" w:hAnsiTheme="minorEastAsia" w:cstheme="minorEastAsia"/>
              </w:rPr>
            </w:pPr>
            <w:r>
              <w:rPr>
                <w:rFonts w:hint="eastAsia" w:asciiTheme="minorEastAsia" w:hAnsiTheme="minorEastAsia" w:cstheme="minorEastAsia"/>
                <w:lang w:val="en-US" w:eastAsia="zh-CN"/>
              </w:rPr>
              <w:t>3</w:t>
            </w:r>
            <w:r>
              <w:rPr>
                <w:rFonts w:hint="eastAsia" w:asciiTheme="minorEastAsia" w:hAnsiTheme="minorEastAsia" w:cstheme="minorEastAsia"/>
              </w:rPr>
              <w:t>、产品到达现场后，成交供应商应在采购人人员在场情况下当面开箱，共同清点、检查外观，作出开箱记录，双方签字确认。成交供应商保证货物到达采购人所在地完好无损，如有缺漏、损坏，由成交供应商负责调换、补齐或赔偿。</w:t>
            </w:r>
          </w:p>
          <w:p w14:paraId="5520BF7A">
            <w:pPr>
              <w:widowControl/>
              <w:spacing w:line="276" w:lineRule="auto"/>
              <w:rPr>
                <w:rFonts w:asciiTheme="minorEastAsia" w:hAnsiTheme="minorEastAsia" w:cstheme="minorEastAsia"/>
              </w:rPr>
            </w:pPr>
            <w:r>
              <w:rPr>
                <w:rFonts w:hint="eastAsia" w:asciiTheme="minorEastAsia" w:hAnsiTheme="minorEastAsia" w:cstheme="minorEastAsia"/>
                <w:lang w:val="en-US" w:eastAsia="zh-CN"/>
              </w:rPr>
              <w:t>4</w:t>
            </w:r>
            <w:r>
              <w:rPr>
                <w:rFonts w:hint="eastAsia" w:asciiTheme="minorEastAsia" w:hAnsiTheme="minorEastAsia" w:cstheme="minorEastAsia"/>
              </w:rPr>
              <w:t>、成交供应商提供完备的技术或服务资料、装箱单和合格证等，并派遣专业人员进行现场安装调试。验收合格条件如下：</w:t>
            </w:r>
          </w:p>
          <w:p w14:paraId="22AD23A1">
            <w:pPr>
              <w:widowControl/>
              <w:spacing w:line="276" w:lineRule="auto"/>
              <w:rPr>
                <w:rFonts w:asciiTheme="minorEastAsia" w:hAnsiTheme="minorEastAsia" w:cstheme="minorEastAsia"/>
              </w:rPr>
            </w:pPr>
            <w:r>
              <w:rPr>
                <w:rFonts w:hint="eastAsia" w:asciiTheme="minorEastAsia" w:hAnsiTheme="minorEastAsia" w:cstheme="minorEastAsia"/>
              </w:rPr>
              <w:t>（1）货物的技术参数与响应文件中技术</w:t>
            </w:r>
            <w:r>
              <w:rPr>
                <w:rFonts w:hint="eastAsia" w:asciiTheme="minorEastAsia" w:hAnsiTheme="minorEastAsia" w:cstheme="minorEastAsia"/>
                <w:lang w:val="en-US" w:eastAsia="zh-CN"/>
              </w:rPr>
              <w:t>参数</w:t>
            </w:r>
            <w:r>
              <w:rPr>
                <w:rFonts w:hint="eastAsia" w:asciiTheme="minorEastAsia" w:hAnsiTheme="minorEastAsia" w:cstheme="minorEastAsia"/>
              </w:rPr>
              <w:t>偏离表或证明材料一致，性能或指标达到规定的标准。</w:t>
            </w:r>
          </w:p>
          <w:p w14:paraId="09BAFA38">
            <w:pPr>
              <w:widowControl/>
              <w:spacing w:line="276" w:lineRule="auto"/>
              <w:rPr>
                <w:rFonts w:asciiTheme="minorEastAsia" w:hAnsiTheme="minorEastAsia" w:cstheme="minorEastAsia"/>
              </w:rPr>
            </w:pPr>
            <w:r>
              <w:rPr>
                <w:rFonts w:hint="eastAsia" w:asciiTheme="minorEastAsia" w:hAnsiTheme="minorEastAsia" w:cstheme="minorEastAsia"/>
              </w:rPr>
              <w:t>（2）技术资料、装箱单、合格证等资料齐全。</w:t>
            </w:r>
          </w:p>
          <w:p w14:paraId="77048FA4">
            <w:pPr>
              <w:widowControl/>
              <w:spacing w:line="276" w:lineRule="auto"/>
              <w:rPr>
                <w:rFonts w:asciiTheme="minorEastAsia" w:hAnsiTheme="minorEastAsia" w:cstheme="minorEastAsia"/>
              </w:rPr>
            </w:pPr>
            <w:r>
              <w:rPr>
                <w:rFonts w:hint="eastAsia" w:asciiTheme="minorEastAsia" w:hAnsiTheme="minorEastAsia" w:cstheme="minorEastAsia"/>
              </w:rPr>
              <w:t>（3）在规定时间内完成交货及验收，并经采购人确认。</w:t>
            </w:r>
          </w:p>
          <w:p w14:paraId="36D5F9E6">
            <w:pPr>
              <w:widowControl/>
              <w:spacing w:line="276" w:lineRule="auto"/>
              <w:rPr>
                <w:rFonts w:asciiTheme="minorEastAsia" w:hAnsiTheme="minorEastAsia" w:cstheme="minorEastAsia"/>
              </w:rPr>
            </w:pPr>
            <w:r>
              <w:rPr>
                <w:rFonts w:hint="eastAsia" w:asciiTheme="minorEastAsia" w:hAnsiTheme="minorEastAsia" w:cstheme="minorEastAsia"/>
                <w:lang w:val="en-US" w:eastAsia="zh-CN"/>
              </w:rPr>
              <w:t>5</w:t>
            </w:r>
            <w:r>
              <w:rPr>
                <w:rFonts w:hint="eastAsia" w:asciiTheme="minorEastAsia" w:hAnsiTheme="minorEastAsia" w:cstheme="minorEastAsia"/>
              </w:rPr>
              <w:t>、产品</w:t>
            </w:r>
            <w:r>
              <w:rPr>
                <w:rFonts w:hint="eastAsia" w:asciiTheme="minorEastAsia" w:hAnsiTheme="minorEastAsia" w:cstheme="minorEastAsia"/>
                <w:lang w:val="en-US" w:eastAsia="zh-CN"/>
              </w:rPr>
              <w:t>及</w:t>
            </w:r>
            <w:r>
              <w:rPr>
                <w:rFonts w:hint="eastAsia" w:asciiTheme="minorEastAsia" w:hAnsiTheme="minorEastAsia" w:cstheme="minorEastAsia"/>
              </w:rPr>
              <w:t>服务在安装调试并试用符合要求后，才作为最终验收。</w:t>
            </w:r>
          </w:p>
          <w:p w14:paraId="603DEC73">
            <w:pPr>
              <w:keepNext w:val="0"/>
              <w:keepLines w:val="0"/>
              <w:pageBreakBefore w:val="0"/>
              <w:suppressLineNumbers w:val="0"/>
              <w:kinsoku/>
              <w:wordWrap/>
              <w:overflowPunct/>
              <w:topLinePunct w:val="0"/>
              <w:bidi w:val="0"/>
              <w:spacing w:before="0" w:beforeAutospacing="0" w:after="0" w:afterAutospacing="0" w:line="520" w:lineRule="exact"/>
              <w:ind w:left="0" w:right="0"/>
              <w:rPr>
                <w:rFonts w:hint="eastAsia" w:eastAsia="宋体"/>
                <w:lang w:val="en-US" w:eastAsia="zh-CN"/>
              </w:rPr>
            </w:pPr>
            <w:r>
              <w:rPr>
                <w:rFonts w:hint="eastAsia" w:asciiTheme="minorEastAsia" w:hAnsiTheme="minorEastAsia" w:cstheme="minorEastAsia"/>
                <w:lang w:val="en-US" w:eastAsia="zh-CN"/>
              </w:rPr>
              <w:t>6</w:t>
            </w:r>
            <w:r>
              <w:rPr>
                <w:rFonts w:hint="eastAsia" w:asciiTheme="minorEastAsia" w:hAnsiTheme="minorEastAsia" w:cstheme="minorEastAsia"/>
              </w:rPr>
              <w:t>、成交供应商提供的货物未达到采购文件规定要求，且对采购人造成损失的，由成交供应商承担一切责任，并赔偿所造成的损失。</w:t>
            </w:r>
          </w:p>
        </w:tc>
      </w:tr>
    </w:tbl>
    <w:p w14:paraId="6CF2A9E5">
      <w:pPr>
        <w:pStyle w:val="9"/>
        <w:ind w:firstLine="560" w:firstLineChars="200"/>
        <w:jc w:val="left"/>
        <w:rPr>
          <w:rFonts w:hint="eastAsia" w:ascii="方正小标宋简体" w:hAnsi="方正小标宋简体" w:eastAsia="方正小标宋简体" w:cs="方正小标宋简体"/>
          <w:color w:val="auto"/>
          <w:kern w:val="2"/>
          <w:sz w:val="44"/>
          <w:szCs w:val="44"/>
          <w:lang w:val="en-US" w:eastAsia="zh-CN" w:bidi="ar-SA"/>
        </w:rPr>
      </w:pPr>
      <w:r>
        <w:rPr>
          <w:rFonts w:hint="eastAsia"/>
          <w:sz w:val="28"/>
          <w:szCs w:val="28"/>
        </w:rPr>
        <w:t>附件2：</w:t>
      </w:r>
      <w:r>
        <w:rPr>
          <w:rFonts w:hint="eastAsia"/>
          <w:sz w:val="28"/>
          <w:szCs w:val="28"/>
          <w:lang w:val="en-US" w:eastAsia="zh-CN"/>
        </w:rPr>
        <w:t xml:space="preserve">              </w:t>
      </w: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9"/>
        <w:spacing w:line="360" w:lineRule="auto"/>
        <w:jc w:val="left"/>
        <w:rPr>
          <w:rFonts w:hAnsi="宋体"/>
          <w:bCs/>
          <w:color w:val="auto"/>
          <w:szCs w:val="21"/>
        </w:rPr>
      </w:pPr>
    </w:p>
    <w:p w14:paraId="714DE6D6">
      <w:pPr>
        <w:pStyle w:val="9"/>
        <w:spacing w:line="360" w:lineRule="auto"/>
        <w:jc w:val="left"/>
        <w:rPr>
          <w:rFonts w:hAnsi="宋体"/>
          <w:bCs/>
          <w:color w:val="auto"/>
          <w:szCs w:val="21"/>
        </w:rPr>
      </w:pPr>
      <w:r>
        <w:rPr>
          <w:rFonts w:hint="eastAsia" w:hAnsi="宋体"/>
          <w:bCs/>
          <w:color w:val="auto"/>
          <w:szCs w:val="21"/>
        </w:rPr>
        <w:t>南宁中心血站：</w:t>
      </w:r>
    </w:p>
    <w:p w14:paraId="57622425">
      <w:pPr>
        <w:pStyle w:val="5"/>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 xml:space="preserve"> 南宁中心血站2025年身份证识别仪（含授权）采购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2"/>
        <w:spacing w:line="360" w:lineRule="auto"/>
        <w:ind w:firstLineChars="200"/>
        <w:rPr>
          <w:color w:val="auto"/>
        </w:rPr>
      </w:pPr>
      <w:r>
        <w:rPr>
          <w:rFonts w:hint="eastAsia"/>
          <w:color w:val="auto"/>
        </w:rPr>
        <w:t>我方对委托代理人的签字事项负全部责任。</w:t>
      </w:r>
    </w:p>
    <w:p w14:paraId="4156E484">
      <w:pPr>
        <w:pStyle w:val="2"/>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2"/>
        <w:spacing w:line="360" w:lineRule="auto"/>
        <w:ind w:firstLineChars="200"/>
        <w:rPr>
          <w:color w:val="auto"/>
        </w:rPr>
      </w:pPr>
      <w:r>
        <w:rPr>
          <w:rFonts w:hint="eastAsia"/>
          <w:color w:val="auto"/>
        </w:rPr>
        <w:t>委托代理人无转委托权，特此委托。</w:t>
      </w:r>
    </w:p>
    <w:p w14:paraId="634BBAEC">
      <w:pPr>
        <w:pStyle w:val="2"/>
        <w:spacing w:line="360" w:lineRule="auto"/>
        <w:ind w:firstLineChars="200"/>
        <w:rPr>
          <w:color w:val="auto"/>
        </w:rPr>
      </w:pPr>
      <w:r>
        <w:rPr>
          <w:rFonts w:hint="eastAsia"/>
          <w:color w:val="auto"/>
        </w:rPr>
        <w:t>附：法定代表人身份证明书及委托代理人有效身份证正反面复印件</w:t>
      </w:r>
    </w:p>
    <w:p w14:paraId="06C42395">
      <w:pPr>
        <w:pStyle w:val="2"/>
        <w:ind w:firstLineChars="200"/>
        <w:rPr>
          <w:color w:val="auto"/>
        </w:rPr>
      </w:pPr>
    </w:p>
    <w:p w14:paraId="310B8657">
      <w:pPr>
        <w:pStyle w:val="2"/>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2"/>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2"/>
        <w:ind w:firstLineChars="200"/>
        <w:rPr>
          <w:rFonts w:hint="default" w:eastAsiaTheme="minorEastAsia"/>
          <w:color w:val="auto"/>
          <w:lang w:val="en-US" w:eastAsia="zh-CN"/>
        </w:rPr>
      </w:pPr>
    </w:p>
    <w:p w14:paraId="26ABD9C4">
      <w:pPr>
        <w:pStyle w:val="2"/>
        <w:ind w:firstLineChars="200"/>
        <w:rPr>
          <w:color w:val="auto"/>
        </w:rPr>
      </w:pPr>
    </w:p>
    <w:p w14:paraId="1A155D87">
      <w:pPr>
        <w:pStyle w:val="2"/>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2"/>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4B1B5388">
      <w:pPr>
        <w:rPr>
          <w:rFonts w:hint="eastAsia"/>
          <w:color w:val="auto"/>
        </w:rPr>
      </w:pPr>
      <w:r>
        <w:rPr>
          <w:rFonts w:hint="eastAsia"/>
          <w:color w:val="auto"/>
        </w:rPr>
        <w:t>3. 法人、其他组织竞标时“我方”是指“我单位”，自然人竞标时“我方”是指“本人”。</w:t>
      </w:r>
    </w:p>
    <w:p w14:paraId="33C41332">
      <w:pPr>
        <w:pStyle w:val="9"/>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9"/>
        <w:spacing w:line="500" w:lineRule="exact"/>
        <w:jc w:val="left"/>
        <w:rPr>
          <w:rFonts w:hint="eastAsia" w:hAnsi="宋体" w:eastAsiaTheme="minorEastAsia"/>
          <w:b/>
          <w:bCs/>
          <w:sz w:val="30"/>
          <w:szCs w:val="30"/>
          <w:lang w:val="en-US" w:eastAsia="zh-CN"/>
        </w:rPr>
      </w:pPr>
    </w:p>
    <w:p w14:paraId="6C99CB0C">
      <w:pPr>
        <w:pStyle w:val="9"/>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518849BD">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03CE310C">
      <w:pPr>
        <w:pStyle w:val="9"/>
        <w:spacing w:line="500" w:lineRule="exact"/>
        <w:jc w:val="left"/>
        <w:rPr>
          <w:rFonts w:hAnsi="宋体"/>
          <w:b/>
          <w:bCs/>
          <w:sz w:val="30"/>
          <w:szCs w:val="30"/>
        </w:rPr>
      </w:pPr>
    </w:p>
    <w:p w14:paraId="02F4E855">
      <w:pPr>
        <w:pStyle w:val="9"/>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9"/>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南宁中心血站2025年身份证识别仪（含授权）采购  </w:t>
      </w:r>
      <w:r>
        <w:rPr>
          <w:rFonts w:hint="eastAsia"/>
          <w:b/>
          <w:szCs w:val="21"/>
        </w:rPr>
        <w:t>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297"/>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254"/>
        <w:gridCol w:w="1697"/>
        <w:gridCol w:w="1826"/>
        <w:gridCol w:w="1500"/>
        <w:gridCol w:w="836"/>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9"/>
              <w:jc w:val="center"/>
              <w:rPr>
                <w:rFonts w:ascii="宋体" w:hAnsi="宋体" w:eastAsia="宋体" w:cs="宋体"/>
                <w:kern w:val="0"/>
                <w:sz w:val="20"/>
                <w:szCs w:val="21"/>
              </w:rPr>
            </w:pPr>
            <w:r>
              <w:rPr>
                <w:rFonts w:hint="eastAsia" w:ascii="宋体" w:hAnsi="宋体" w:eastAsia="宋体" w:cs="宋体"/>
                <w:kern w:val="0"/>
                <w:sz w:val="20"/>
                <w:szCs w:val="21"/>
              </w:rPr>
              <w:t>项号</w:t>
            </w:r>
          </w:p>
        </w:tc>
        <w:tc>
          <w:tcPr>
            <w:tcW w:w="2254" w:type="dxa"/>
            <w:noWrap w:val="0"/>
            <w:vAlign w:val="center"/>
          </w:tcPr>
          <w:p w14:paraId="7873B19F">
            <w:pPr>
              <w:pStyle w:val="9"/>
              <w:jc w:val="center"/>
              <w:rPr>
                <w:rFonts w:hint="eastAsia" w:ascii="宋体" w:hAnsi="宋体" w:eastAsia="宋体" w:cs="宋体"/>
                <w:kern w:val="0"/>
                <w:sz w:val="20"/>
                <w:szCs w:val="21"/>
                <w:lang w:val="en-US" w:eastAsia="zh-CN"/>
              </w:rPr>
            </w:pPr>
            <w:r>
              <w:rPr>
                <w:rFonts w:hint="eastAsia" w:hAnsi="宋体" w:cs="宋体"/>
                <w:kern w:val="0"/>
                <w:sz w:val="20"/>
                <w:szCs w:val="21"/>
                <w:lang w:val="en-US" w:eastAsia="zh-CN"/>
              </w:rPr>
              <w:t>名称</w:t>
            </w:r>
          </w:p>
        </w:tc>
        <w:tc>
          <w:tcPr>
            <w:tcW w:w="1697" w:type="dxa"/>
            <w:noWrap w:val="0"/>
            <w:vAlign w:val="center"/>
          </w:tcPr>
          <w:p w14:paraId="5E2F59C3">
            <w:pPr>
              <w:pStyle w:val="9"/>
              <w:jc w:val="center"/>
              <w:rPr>
                <w:rFonts w:ascii="宋体" w:hAnsi="宋体" w:eastAsia="宋体" w:cs="宋体"/>
                <w:kern w:val="0"/>
                <w:sz w:val="20"/>
                <w:szCs w:val="21"/>
              </w:rPr>
            </w:pPr>
            <w:r>
              <w:rPr>
                <w:rFonts w:hint="eastAsia" w:ascii="宋体" w:hAnsi="宋体" w:eastAsia="宋体" w:cs="宋体"/>
                <w:kern w:val="0"/>
                <w:sz w:val="20"/>
                <w:szCs w:val="21"/>
              </w:rPr>
              <w:t>数量（</w:t>
            </w:r>
            <w:r>
              <w:rPr>
                <w:rFonts w:hint="eastAsia" w:hAnsi="宋体" w:eastAsia="宋体" w:cs="宋体"/>
                <w:kern w:val="0"/>
                <w:sz w:val="20"/>
                <w:szCs w:val="21"/>
                <w:lang w:val="en-US" w:eastAsia="zh-CN"/>
              </w:rPr>
              <w:t>台</w:t>
            </w:r>
            <w:r>
              <w:rPr>
                <w:rFonts w:hint="eastAsia" w:ascii="宋体" w:hAnsi="宋体" w:eastAsia="宋体" w:cs="宋体"/>
                <w:kern w:val="0"/>
                <w:sz w:val="20"/>
                <w:szCs w:val="21"/>
              </w:rPr>
              <w:t>）①</w:t>
            </w:r>
          </w:p>
        </w:tc>
        <w:tc>
          <w:tcPr>
            <w:tcW w:w="1826" w:type="dxa"/>
            <w:noWrap w:val="0"/>
            <w:vAlign w:val="center"/>
          </w:tcPr>
          <w:p w14:paraId="7CAF3CE1">
            <w:pPr>
              <w:pStyle w:val="9"/>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单价（元）</w:t>
            </w:r>
          </w:p>
          <w:p w14:paraId="2EF4B3DB">
            <w:pPr>
              <w:pStyle w:val="9"/>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②</w:t>
            </w:r>
          </w:p>
        </w:tc>
        <w:tc>
          <w:tcPr>
            <w:tcW w:w="1500" w:type="dxa"/>
            <w:noWrap w:val="0"/>
            <w:vAlign w:val="center"/>
          </w:tcPr>
          <w:p w14:paraId="72993DF1">
            <w:pPr>
              <w:pStyle w:val="9"/>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 xml:space="preserve">单项合价 </w:t>
            </w:r>
            <w:r>
              <w:rPr>
                <w:rFonts w:hint="eastAsia" w:hAnsi="宋体" w:eastAsia="宋体" w:cs="宋体"/>
                <w:kern w:val="0"/>
                <w:sz w:val="20"/>
                <w:szCs w:val="21"/>
                <w:lang w:val="en-US" w:eastAsia="zh-CN"/>
              </w:rPr>
              <w:t>（元）</w:t>
            </w:r>
            <w:r>
              <w:rPr>
                <w:rFonts w:hint="eastAsia" w:ascii="宋体" w:hAnsi="宋体" w:eastAsia="宋体" w:cs="宋体"/>
                <w:kern w:val="0"/>
                <w:sz w:val="20"/>
                <w:szCs w:val="21"/>
                <w:lang w:val="en-US" w:eastAsia="zh-CN"/>
              </w:rPr>
              <w:t xml:space="preserve"> </w:t>
            </w:r>
          </w:p>
          <w:p w14:paraId="5EF0A315">
            <w:pPr>
              <w:pStyle w:val="9"/>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③=①×②</w:t>
            </w:r>
          </w:p>
        </w:tc>
        <w:tc>
          <w:tcPr>
            <w:tcW w:w="836" w:type="dxa"/>
            <w:noWrap w:val="0"/>
            <w:vAlign w:val="center"/>
          </w:tcPr>
          <w:p w14:paraId="0030BA9E">
            <w:pPr>
              <w:pStyle w:val="9"/>
              <w:jc w:val="center"/>
              <w:rPr>
                <w:rFonts w:ascii="宋体" w:hAnsi="宋体" w:eastAsia="宋体" w:cs="宋体"/>
                <w:kern w:val="0"/>
                <w:sz w:val="20"/>
                <w:szCs w:val="21"/>
              </w:rPr>
            </w:pPr>
            <w:r>
              <w:rPr>
                <w:rFonts w:hint="eastAsia" w:ascii="宋体" w:hAnsi="宋体" w:eastAsia="宋体" w:cs="宋体"/>
                <w:kern w:val="0"/>
                <w:sz w:val="20"/>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75" w:type="dxa"/>
            <w:noWrap w:val="0"/>
            <w:vAlign w:val="center"/>
          </w:tcPr>
          <w:p w14:paraId="605BCA8A">
            <w:pPr>
              <w:pStyle w:val="9"/>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2254" w:type="dxa"/>
            <w:noWrap w:val="0"/>
            <w:vAlign w:val="center"/>
          </w:tcPr>
          <w:p w14:paraId="0E1176AD">
            <w:pPr>
              <w:jc w:val="center"/>
              <w:rPr>
                <w:rFonts w:hint="eastAsia" w:ascii="宋体" w:hAnsi="宋体" w:eastAsia="宋体" w:cs="宋体"/>
                <w:kern w:val="0"/>
                <w:sz w:val="20"/>
                <w:szCs w:val="21"/>
                <w:lang w:val="en-US" w:eastAsia="zh-CN"/>
              </w:rPr>
            </w:pPr>
          </w:p>
          <w:p w14:paraId="3B53E540">
            <w:pPr>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身份证识别仪（含授权）</w:t>
            </w:r>
          </w:p>
          <w:p w14:paraId="0A3C9723">
            <w:pPr>
              <w:pStyle w:val="2"/>
              <w:jc w:val="center"/>
            </w:pPr>
            <w:r>
              <w:rPr>
                <w:rFonts w:hint="eastAsia"/>
                <w:color w:val="FF0000"/>
              </w:rPr>
              <w:t>（请贵</w:t>
            </w:r>
            <w:r>
              <w:rPr>
                <w:rFonts w:hint="eastAsia"/>
                <w:color w:val="FF0000"/>
                <w:lang w:val="en-US" w:eastAsia="zh-CN"/>
              </w:rPr>
              <w:t>公司</w:t>
            </w:r>
            <w:r>
              <w:rPr>
                <w:rFonts w:hint="eastAsia"/>
                <w:color w:val="FF0000"/>
              </w:rPr>
              <w:t>填入响应货物品牌、型号）</w:t>
            </w:r>
          </w:p>
        </w:tc>
        <w:tc>
          <w:tcPr>
            <w:tcW w:w="1697" w:type="dxa"/>
            <w:noWrap w:val="0"/>
            <w:vAlign w:val="center"/>
          </w:tcPr>
          <w:p w14:paraId="545DEFD9">
            <w:pPr>
              <w:pStyle w:val="9"/>
              <w:jc w:val="center"/>
              <w:rPr>
                <w:rFonts w:hint="default" w:ascii="宋体" w:hAnsi="宋体" w:eastAsia="宋体" w:cs="宋体"/>
                <w:kern w:val="0"/>
                <w:sz w:val="20"/>
                <w:szCs w:val="21"/>
                <w:lang w:val="en-US" w:eastAsia="zh-CN"/>
              </w:rPr>
            </w:pPr>
            <w:r>
              <w:rPr>
                <w:rFonts w:hint="eastAsia" w:hAnsi="宋体" w:eastAsia="宋体" w:cs="宋体"/>
                <w:kern w:val="0"/>
                <w:sz w:val="20"/>
                <w:szCs w:val="21"/>
                <w:lang w:val="en-US" w:eastAsia="zh-CN"/>
              </w:rPr>
              <w:t>6</w:t>
            </w:r>
          </w:p>
        </w:tc>
        <w:tc>
          <w:tcPr>
            <w:tcW w:w="1826" w:type="dxa"/>
            <w:noWrap w:val="0"/>
            <w:vAlign w:val="center"/>
          </w:tcPr>
          <w:p w14:paraId="4854383B">
            <w:pPr>
              <w:pStyle w:val="9"/>
              <w:jc w:val="center"/>
              <w:rPr>
                <w:rFonts w:hint="eastAsia" w:ascii="Times New Roman" w:hAnsi="Times New Roman" w:cs="Times New Roman"/>
                <w:color w:val="0000FF"/>
                <w:kern w:val="2"/>
                <w:sz w:val="21"/>
                <w:szCs w:val="24"/>
                <w:highlight w:val="none"/>
                <w:lang w:val="en-US" w:eastAsia="zh-CN" w:bidi="ar-SA"/>
              </w:rPr>
            </w:pPr>
          </w:p>
        </w:tc>
        <w:tc>
          <w:tcPr>
            <w:tcW w:w="1500" w:type="dxa"/>
            <w:noWrap w:val="0"/>
            <w:vAlign w:val="center"/>
          </w:tcPr>
          <w:p w14:paraId="2B91DFC1">
            <w:pPr>
              <w:pStyle w:val="9"/>
              <w:jc w:val="center"/>
              <w:rPr>
                <w:rFonts w:hint="eastAsia" w:ascii="Times New Roman" w:hAnsi="Times New Roman" w:cs="Times New Roman"/>
                <w:color w:val="0000FF"/>
                <w:kern w:val="2"/>
                <w:sz w:val="21"/>
                <w:szCs w:val="24"/>
                <w:highlight w:val="none"/>
                <w:lang w:val="en-US" w:eastAsia="zh-CN" w:bidi="ar-SA"/>
              </w:rPr>
            </w:pPr>
          </w:p>
        </w:tc>
        <w:tc>
          <w:tcPr>
            <w:tcW w:w="836" w:type="dxa"/>
            <w:noWrap w:val="0"/>
            <w:vAlign w:val="center"/>
          </w:tcPr>
          <w:p w14:paraId="0CB513CA">
            <w:pPr>
              <w:pStyle w:val="9"/>
              <w:jc w:val="center"/>
              <w:rPr>
                <w:rFonts w:ascii="宋体" w:hAnsi="宋体" w:eastAsia="宋体" w:cs="宋体"/>
                <w:kern w:val="0"/>
                <w:sz w:val="20"/>
                <w:szCs w:val="21"/>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08897B27">
            <w:pPr>
              <w:pStyle w:val="9"/>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60C112FC">
            <w:pPr>
              <w:pStyle w:val="9"/>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w:t>
            </w:r>
            <w:r>
              <w:rPr>
                <w:rFonts w:hint="eastAsia" w:asciiTheme="minorEastAsia" w:hAnsiTheme="minorEastAsia" w:cstheme="minorEastAsia"/>
                <w:b/>
                <w:color w:val="FF0000"/>
                <w:kern w:val="0"/>
                <w:sz w:val="20"/>
                <w:szCs w:val="21"/>
              </w:rPr>
              <w:t>报价合计金额不能超过最高限价</w:t>
            </w:r>
            <w:r>
              <w:rPr>
                <w:rFonts w:hint="eastAsia" w:asciiTheme="minorEastAsia" w:hAnsiTheme="minorEastAsia" w:cstheme="minorEastAsia"/>
                <w:b/>
                <w:color w:val="FF0000"/>
                <w:kern w:val="0"/>
                <w:sz w:val="20"/>
                <w:szCs w:val="21"/>
                <w:lang w:eastAsia="zh-CN"/>
              </w:rPr>
              <w:t>（</w:t>
            </w:r>
            <w:r>
              <w:rPr>
                <w:rFonts w:hint="eastAsia" w:asciiTheme="minorEastAsia" w:hAnsiTheme="minorEastAsia" w:cstheme="minorEastAsia"/>
                <w:b/>
                <w:color w:val="FF0000"/>
                <w:kern w:val="0"/>
                <w:sz w:val="20"/>
                <w:szCs w:val="21"/>
              </w:rPr>
              <w:t>¥72000.00</w:t>
            </w:r>
            <w:r>
              <w:rPr>
                <w:rFonts w:hint="eastAsia" w:asciiTheme="minorEastAsia" w:hAnsiTheme="minorEastAsia" w:cstheme="minorEastAsia"/>
                <w:b/>
                <w:color w:val="FF0000"/>
                <w:kern w:val="0"/>
                <w:sz w:val="20"/>
                <w:szCs w:val="21"/>
                <w:lang w:val="en-US" w:eastAsia="zh-CN"/>
              </w:rPr>
              <w:t>元）</w:t>
            </w:r>
            <w:r>
              <w:rPr>
                <w:rFonts w:hint="eastAsia" w:asciiTheme="minorEastAsia" w:hAnsiTheme="minorEastAsia" w:cstheme="minorEastAsia"/>
                <w:b/>
                <w:color w:val="FF0000"/>
                <w:kern w:val="0"/>
                <w:sz w:val="20"/>
                <w:szCs w:val="21"/>
              </w:rPr>
              <w:t>。</w:t>
            </w:r>
          </w:p>
        </w:tc>
      </w:tr>
    </w:tbl>
    <w:p w14:paraId="4D83EF87">
      <w:pPr>
        <w:pStyle w:val="9"/>
        <w:rPr>
          <w:rFonts w:asciiTheme="minorEastAsia" w:hAnsiTheme="minorEastAsia" w:cstheme="minorEastAsia"/>
          <w:szCs w:val="21"/>
        </w:rPr>
      </w:pPr>
    </w:p>
    <w:p w14:paraId="341D934D">
      <w:pPr>
        <w:pStyle w:val="9"/>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9"/>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2"/>
        <w:ind w:left="0" w:leftChars="0" w:firstLine="0" w:firstLineChars="0"/>
        <w:rPr>
          <w:rFonts w:asciiTheme="minorEastAsia" w:hAnsiTheme="minorEastAsia" w:cstheme="minorEastAsia"/>
          <w:szCs w:val="21"/>
        </w:rPr>
      </w:pPr>
    </w:p>
    <w:p w14:paraId="17F7C68B">
      <w:pPr>
        <w:pStyle w:val="9"/>
        <w:spacing w:line="440" w:lineRule="exact"/>
        <w:rPr>
          <w:rFonts w:hint="eastAsia" w:asciiTheme="minorEastAsia" w:hAnsiTheme="minorEastAsia" w:cstheme="minorEastAsia"/>
          <w:szCs w:val="21"/>
        </w:rPr>
      </w:pPr>
      <w:r>
        <w:rPr>
          <w:rFonts w:hint="eastAsia" w:asciiTheme="minorEastAsia" w:hAnsiTheme="minorEastAsia" w:cstheme="minorEastAsia"/>
          <w:szCs w:val="21"/>
        </w:rPr>
        <w:t>注：表格内容均需按要求填写并盖章，不得留空，否则按响应无效处理。</w:t>
      </w:r>
    </w:p>
    <w:p w14:paraId="43EB227E">
      <w:pPr>
        <w:pStyle w:val="5"/>
        <w:numPr>
          <w:ilvl w:val="3"/>
          <w:numId w:val="0"/>
        </w:numPr>
        <w:ind w:left="1077" w:leftChars="0"/>
      </w:pPr>
    </w:p>
    <w:p w14:paraId="31EC6B10"/>
    <w:p w14:paraId="1377B432">
      <w:pPr>
        <w:pStyle w:val="3"/>
      </w:pPr>
    </w:p>
    <w:p w14:paraId="37175697">
      <w:pPr>
        <w:pStyle w:val="3"/>
      </w:pPr>
    </w:p>
    <w:p w14:paraId="745B3B51">
      <w:pPr>
        <w:pStyle w:val="3"/>
      </w:pPr>
    </w:p>
    <w:p w14:paraId="7AC6424A">
      <w:pPr>
        <w:pStyle w:val="3"/>
      </w:pPr>
    </w:p>
    <w:p w14:paraId="0D2F04EC">
      <w:pPr>
        <w:pStyle w:val="3"/>
      </w:pPr>
    </w:p>
    <w:p w14:paraId="5FA4F646">
      <w:pPr>
        <w:pStyle w:val="3"/>
      </w:pPr>
    </w:p>
    <w:p w14:paraId="460B5A00">
      <w:pPr>
        <w:pStyle w:val="3"/>
      </w:pPr>
    </w:p>
    <w:p w14:paraId="074365ED">
      <w:pPr>
        <w:pStyle w:val="9"/>
        <w:spacing w:line="500" w:lineRule="exact"/>
        <w:ind w:firstLine="560" w:firstLineChars="200"/>
        <w:jc w:val="left"/>
        <w:rPr>
          <w:rFonts w:hint="eastAsia" w:asciiTheme="minorEastAsia" w:hAnsiTheme="minorEastAsia" w:cstheme="majorEastAsia"/>
          <w:bCs/>
          <w:color w:val="000000"/>
          <w:sz w:val="28"/>
          <w:szCs w:val="28"/>
        </w:rPr>
      </w:pPr>
    </w:p>
    <w:p w14:paraId="4B9610A9">
      <w:pPr>
        <w:pStyle w:val="9"/>
        <w:spacing w:line="500" w:lineRule="exact"/>
        <w:ind w:firstLine="560" w:firstLineChars="200"/>
        <w:jc w:val="left"/>
        <w:rPr>
          <w:rFonts w:hAnsi="宋体"/>
          <w:b/>
          <w:bCs/>
          <w:color w:val="auto"/>
          <w:sz w:val="30"/>
          <w:szCs w:val="30"/>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hAnsi="宋体"/>
          <w:b/>
          <w:bCs/>
          <w:color w:val="auto"/>
          <w:sz w:val="30"/>
          <w:szCs w:val="30"/>
        </w:rPr>
        <w:t>响应技术资料表</w:t>
      </w:r>
    </w:p>
    <w:p w14:paraId="5A1CC8D2">
      <w:pPr>
        <w:pStyle w:val="9"/>
        <w:ind w:firstLine="210" w:firstLineChars="100"/>
        <w:rPr>
          <w:rFonts w:hAnsi="宋体"/>
          <w:color w:val="auto"/>
        </w:rPr>
      </w:pPr>
    </w:p>
    <w:p w14:paraId="7CA21AC1">
      <w:pPr>
        <w:pStyle w:val="9"/>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6F9E3136">
      <w:pPr>
        <w:pStyle w:val="9"/>
        <w:spacing w:line="440" w:lineRule="exact"/>
        <w:ind w:firstLine="422" w:firstLineChars="200"/>
        <w:rPr>
          <w:rFonts w:hint="eastAsia" w:asciiTheme="minorEastAsia" w:hAnsiTheme="minorEastAsia"/>
          <w:b/>
          <w:bCs/>
          <w:color w:val="auto"/>
          <w:szCs w:val="21"/>
        </w:rPr>
      </w:pPr>
      <w:r>
        <w:rPr>
          <w:rFonts w:hint="eastAsia" w:asciiTheme="minorEastAsia" w:hAnsiTheme="minorEastAsia"/>
          <w:b/>
          <w:bCs/>
          <w:color w:val="auto"/>
          <w:szCs w:val="21"/>
        </w:rPr>
        <w:t>本采购需求一览表中</w:t>
      </w:r>
      <w:r>
        <w:rPr>
          <w:rFonts w:hint="eastAsia" w:asciiTheme="minorEastAsia" w:hAnsiTheme="minorEastAsia"/>
          <w:b/>
          <w:bCs/>
          <w:color w:val="auto"/>
          <w:szCs w:val="21"/>
          <w:lang w:val="en-US" w:eastAsia="zh-CN"/>
        </w:rPr>
        <w:t>各参数要求需要全部满足，不允许</w:t>
      </w:r>
      <w:r>
        <w:rPr>
          <w:rFonts w:hint="eastAsia" w:asciiTheme="minorEastAsia" w:hAnsiTheme="minorEastAsia"/>
          <w:b/>
          <w:bCs/>
          <w:color w:val="auto"/>
          <w:szCs w:val="21"/>
        </w:rPr>
        <w:t>负偏离</w:t>
      </w:r>
      <w:r>
        <w:rPr>
          <w:rFonts w:hint="eastAsia" w:asciiTheme="minorEastAsia" w:hAnsiTheme="minorEastAsia"/>
          <w:b/>
          <w:bCs/>
          <w:color w:val="auto"/>
          <w:szCs w:val="21"/>
          <w:lang w:eastAsia="zh-CN"/>
        </w:rPr>
        <w:t>，</w:t>
      </w:r>
      <w:r>
        <w:rPr>
          <w:rFonts w:hint="eastAsia" w:asciiTheme="minorEastAsia" w:hAnsiTheme="minorEastAsia"/>
          <w:b/>
          <w:bCs/>
          <w:color w:val="auto"/>
          <w:szCs w:val="21"/>
          <w:lang w:val="en-US" w:eastAsia="zh-CN"/>
        </w:rPr>
        <w:t>负偏离</w:t>
      </w:r>
      <w:r>
        <w:rPr>
          <w:rFonts w:hint="eastAsia" w:asciiTheme="minorEastAsia" w:hAnsiTheme="minorEastAsia"/>
          <w:b/>
          <w:bCs/>
          <w:color w:val="auto"/>
          <w:szCs w:val="21"/>
        </w:rPr>
        <w:t>视为无效响应。</w:t>
      </w:r>
    </w:p>
    <w:tbl>
      <w:tblPr>
        <w:tblStyle w:val="17"/>
        <w:tblW w:w="50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1"/>
        <w:gridCol w:w="673"/>
        <w:gridCol w:w="3588"/>
        <w:gridCol w:w="638"/>
        <w:gridCol w:w="3208"/>
        <w:gridCol w:w="710"/>
      </w:tblGrid>
      <w:tr w14:paraId="28FB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175" w:type="pct"/>
            <w:vMerge w:val="restart"/>
            <w:vAlign w:val="center"/>
          </w:tcPr>
          <w:p w14:paraId="0DCBBD97">
            <w:pPr>
              <w:pStyle w:val="9"/>
              <w:jc w:val="center"/>
              <w:rPr>
                <w:rFonts w:hAnsi="宋体"/>
                <w:spacing w:val="-20"/>
                <w:szCs w:val="21"/>
              </w:rPr>
            </w:pPr>
            <w:r>
              <w:rPr>
                <w:rFonts w:hint="eastAsia" w:hAnsi="宋体"/>
                <w:spacing w:val="-20"/>
                <w:szCs w:val="21"/>
              </w:rPr>
              <w:t>序号</w:t>
            </w:r>
          </w:p>
        </w:tc>
        <w:tc>
          <w:tcPr>
            <w:tcW w:w="2331" w:type="pct"/>
            <w:gridSpan w:val="2"/>
            <w:vAlign w:val="center"/>
          </w:tcPr>
          <w:p w14:paraId="6400F0E2">
            <w:pPr>
              <w:jc w:val="center"/>
              <w:rPr>
                <w:rFonts w:ascii="宋体"/>
                <w:szCs w:val="21"/>
              </w:rPr>
            </w:pPr>
            <w:r>
              <w:rPr>
                <w:rFonts w:hint="eastAsia" w:ascii="宋体" w:hAnsi="宋体"/>
                <w:szCs w:val="21"/>
              </w:rPr>
              <w:t>采购文件需求</w:t>
            </w:r>
          </w:p>
        </w:tc>
        <w:tc>
          <w:tcPr>
            <w:tcW w:w="2104" w:type="pct"/>
            <w:gridSpan w:val="2"/>
            <w:vAlign w:val="center"/>
          </w:tcPr>
          <w:p w14:paraId="366EEBF5">
            <w:pPr>
              <w:jc w:val="center"/>
              <w:rPr>
                <w:rFonts w:ascii="宋体"/>
                <w:szCs w:val="21"/>
              </w:rPr>
            </w:pPr>
            <w:r>
              <w:rPr>
                <w:rFonts w:hint="eastAsia" w:ascii="宋体" w:hAnsi="宋体"/>
                <w:szCs w:val="21"/>
              </w:rPr>
              <w:t>响应文件承诺</w:t>
            </w:r>
          </w:p>
        </w:tc>
        <w:tc>
          <w:tcPr>
            <w:tcW w:w="388" w:type="pct"/>
            <w:vMerge w:val="restart"/>
            <w:vAlign w:val="center"/>
          </w:tcPr>
          <w:p w14:paraId="44544766">
            <w:pPr>
              <w:jc w:val="center"/>
              <w:rPr>
                <w:rFonts w:ascii="宋体"/>
                <w:szCs w:val="21"/>
              </w:rPr>
            </w:pPr>
            <w:r>
              <w:rPr>
                <w:rFonts w:hint="eastAsia" w:ascii="宋体" w:hAnsi="宋体"/>
                <w:szCs w:val="21"/>
              </w:rPr>
              <w:t>偏离说明</w:t>
            </w:r>
          </w:p>
        </w:tc>
      </w:tr>
      <w:tr w14:paraId="02D1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75" w:hRule="atLeast"/>
          <w:jc w:val="center"/>
        </w:trPr>
        <w:tc>
          <w:tcPr>
            <w:tcW w:w="175" w:type="pct"/>
            <w:vMerge w:val="continue"/>
            <w:vAlign w:val="center"/>
          </w:tcPr>
          <w:p w14:paraId="49B33CFA">
            <w:pPr>
              <w:pStyle w:val="9"/>
              <w:jc w:val="center"/>
              <w:rPr>
                <w:rFonts w:hAnsi="宋体"/>
                <w:spacing w:val="-20"/>
                <w:szCs w:val="21"/>
              </w:rPr>
            </w:pPr>
          </w:p>
        </w:tc>
        <w:tc>
          <w:tcPr>
            <w:tcW w:w="368" w:type="pct"/>
            <w:vAlign w:val="center"/>
          </w:tcPr>
          <w:p w14:paraId="375F1A88">
            <w:pPr>
              <w:jc w:val="center"/>
              <w:rPr>
                <w:rFonts w:ascii="宋体"/>
                <w:szCs w:val="21"/>
              </w:rPr>
            </w:pPr>
            <w:r>
              <w:rPr>
                <w:rFonts w:hint="eastAsia" w:ascii="宋体" w:hAnsi="宋体"/>
                <w:szCs w:val="21"/>
              </w:rPr>
              <w:t>货物名称</w:t>
            </w:r>
          </w:p>
        </w:tc>
        <w:tc>
          <w:tcPr>
            <w:tcW w:w="1963" w:type="pct"/>
            <w:vAlign w:val="center"/>
          </w:tcPr>
          <w:p w14:paraId="090188AF">
            <w:pPr>
              <w:jc w:val="center"/>
              <w:rPr>
                <w:rFonts w:ascii="宋体"/>
                <w:szCs w:val="21"/>
              </w:rPr>
            </w:pPr>
            <w:r>
              <w:rPr>
                <w:rFonts w:hint="eastAsia" w:ascii="宋体" w:hAnsi="宋体"/>
                <w:szCs w:val="21"/>
              </w:rPr>
              <w:t>采购内容及要求</w:t>
            </w:r>
          </w:p>
        </w:tc>
        <w:tc>
          <w:tcPr>
            <w:tcW w:w="349" w:type="pct"/>
            <w:vAlign w:val="center"/>
          </w:tcPr>
          <w:p w14:paraId="7D0F43AF">
            <w:pPr>
              <w:jc w:val="center"/>
              <w:rPr>
                <w:rFonts w:ascii="宋体"/>
                <w:szCs w:val="21"/>
              </w:rPr>
            </w:pPr>
            <w:r>
              <w:rPr>
                <w:rFonts w:hint="eastAsia" w:ascii="宋体" w:hAnsi="宋体"/>
                <w:szCs w:val="21"/>
              </w:rPr>
              <w:t>货物名称</w:t>
            </w:r>
          </w:p>
        </w:tc>
        <w:tc>
          <w:tcPr>
            <w:tcW w:w="1755" w:type="pct"/>
            <w:vAlign w:val="center"/>
          </w:tcPr>
          <w:p w14:paraId="137E8F36">
            <w:pPr>
              <w:jc w:val="center"/>
              <w:rPr>
                <w:rFonts w:ascii="宋体"/>
                <w:szCs w:val="21"/>
              </w:rPr>
            </w:pPr>
            <w:r>
              <w:rPr>
                <w:rFonts w:hint="eastAsia" w:ascii="宋体" w:hAnsi="宋体"/>
                <w:szCs w:val="21"/>
              </w:rPr>
              <w:t>响应的内容及要求</w:t>
            </w:r>
          </w:p>
        </w:tc>
        <w:tc>
          <w:tcPr>
            <w:tcW w:w="388" w:type="pct"/>
            <w:vMerge w:val="continue"/>
            <w:vAlign w:val="center"/>
          </w:tcPr>
          <w:p w14:paraId="1927CCD8">
            <w:pPr>
              <w:jc w:val="center"/>
              <w:rPr>
                <w:rFonts w:ascii="宋体"/>
                <w:szCs w:val="21"/>
              </w:rPr>
            </w:pPr>
          </w:p>
        </w:tc>
      </w:tr>
      <w:tr w14:paraId="579C3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75" w:type="pct"/>
            <w:vAlign w:val="center"/>
          </w:tcPr>
          <w:p w14:paraId="06D9D282">
            <w:pPr>
              <w:pStyle w:val="3"/>
              <w:widowControl w:val="0"/>
              <w:numPr>
                <w:ilvl w:val="0"/>
                <w:numId w:val="0"/>
              </w:numPr>
              <w:spacing w:before="0" w:beforeAutospacing="0" w:after="120" w:afterAutospacing="0"/>
              <w:jc w:val="both"/>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1</w:t>
            </w:r>
          </w:p>
        </w:tc>
        <w:tc>
          <w:tcPr>
            <w:tcW w:w="368" w:type="pct"/>
            <w:vAlign w:val="center"/>
          </w:tcPr>
          <w:p w14:paraId="7A61C457">
            <w:pPr>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身份证识别仪（含授权）</w:t>
            </w:r>
          </w:p>
          <w:p w14:paraId="7B81CFD2">
            <w:pPr>
              <w:jc w:val="center"/>
              <w:rPr>
                <w:rFonts w:hint="default" w:ascii="宋体" w:hAnsi="宋体" w:cs="宋体" w:eastAsiaTheme="minorEastAsia"/>
                <w:sz w:val="21"/>
                <w:szCs w:val="21"/>
                <w:lang w:val="en-US" w:eastAsia="zh-CN"/>
              </w:rPr>
            </w:pPr>
          </w:p>
        </w:tc>
        <w:tc>
          <w:tcPr>
            <w:tcW w:w="1963" w:type="pct"/>
            <w:shd w:val="clear" w:color="auto" w:fill="auto"/>
            <w:vAlign w:val="center"/>
          </w:tcPr>
          <w:p w14:paraId="3FBE65AC">
            <w:pPr>
              <w:numPr>
                <w:ilvl w:val="0"/>
                <w:numId w:val="0"/>
              </w:numPr>
              <w:spacing w:line="240" w:lineRule="auto"/>
              <w:jc w:val="left"/>
              <w:rPr>
                <w:rFonts w:hint="default"/>
                <w:color w:val="auto"/>
                <w:lang w:val="en-US" w:eastAsia="zh-CN"/>
              </w:rPr>
            </w:pPr>
            <w:r>
              <w:rPr>
                <w:rFonts w:hint="default"/>
                <w:color w:val="auto"/>
                <w:lang w:val="en-US" w:eastAsia="zh-CN"/>
              </w:rPr>
              <w:t>1、自动识别二代身份证真伪，核查献血者身份信息，身份证异常情况可提示报警。</w:t>
            </w:r>
          </w:p>
          <w:p w14:paraId="37239C0D">
            <w:pPr>
              <w:numPr>
                <w:ilvl w:val="0"/>
                <w:numId w:val="0"/>
              </w:numPr>
              <w:spacing w:line="240" w:lineRule="auto"/>
              <w:jc w:val="left"/>
              <w:rPr>
                <w:rFonts w:hint="default"/>
                <w:color w:val="auto"/>
                <w:lang w:val="en-US" w:eastAsia="zh-CN"/>
              </w:rPr>
            </w:pPr>
            <w:r>
              <w:rPr>
                <w:rFonts w:hint="default"/>
                <w:color w:val="auto"/>
                <w:lang w:val="en-US" w:eastAsia="zh-CN"/>
              </w:rPr>
              <w:t>2、自动登记后支持使用打印机打印献血者基本信息（包括身份证号码、姓名、住址等），增加信息录入准确性和完整性，有效减轻录入工作量，减少献血者等待时间。</w:t>
            </w:r>
          </w:p>
          <w:p w14:paraId="55DC920F">
            <w:pPr>
              <w:numPr>
                <w:ilvl w:val="0"/>
                <w:numId w:val="0"/>
              </w:numPr>
              <w:spacing w:line="240" w:lineRule="auto"/>
              <w:jc w:val="left"/>
              <w:rPr>
                <w:rFonts w:hint="default"/>
                <w:color w:val="auto"/>
                <w:lang w:val="en-US" w:eastAsia="zh-CN"/>
              </w:rPr>
            </w:pPr>
            <w:r>
              <w:rPr>
                <w:rFonts w:hint="default"/>
                <w:color w:val="auto"/>
                <w:lang w:val="en-US" w:eastAsia="zh-CN"/>
              </w:rPr>
              <w:t>3、关联南宁中心血站业务数据库或本地库，有效进行采前核查，避免近期献血、恶意献血等行为。</w:t>
            </w:r>
          </w:p>
          <w:p w14:paraId="08E135F8">
            <w:pPr>
              <w:numPr>
                <w:ilvl w:val="0"/>
                <w:numId w:val="0"/>
              </w:numPr>
              <w:spacing w:line="240" w:lineRule="auto"/>
              <w:jc w:val="left"/>
              <w:rPr>
                <w:rFonts w:hint="default"/>
                <w:color w:val="auto"/>
                <w:lang w:val="en-US" w:eastAsia="zh-CN"/>
              </w:rPr>
            </w:pPr>
            <w:r>
              <w:rPr>
                <w:rFonts w:hint="default"/>
                <w:color w:val="auto"/>
                <w:lang w:val="en-US" w:eastAsia="zh-CN"/>
              </w:rPr>
              <w:t>4、二代身份证识别系统结合外采在线系统使用，能够实时将体检、采血等信息回传至采购人数据库，提高工作效率。</w:t>
            </w:r>
          </w:p>
          <w:p w14:paraId="19623F1B">
            <w:pPr>
              <w:numPr>
                <w:ilvl w:val="0"/>
                <w:numId w:val="0"/>
              </w:numPr>
              <w:spacing w:line="240" w:lineRule="auto"/>
              <w:jc w:val="left"/>
              <w:rPr>
                <w:rFonts w:hint="default"/>
                <w:color w:val="auto"/>
                <w:lang w:val="en-US" w:eastAsia="zh-CN"/>
              </w:rPr>
            </w:pPr>
            <w:r>
              <w:rPr>
                <w:rFonts w:hint="default"/>
                <w:color w:val="auto"/>
                <w:lang w:val="en-US" w:eastAsia="zh-CN"/>
              </w:rPr>
              <w:t>5、身份证自动识别系统要求适用于南宁中心血站站内采血、机采、站外采血车以及固定采血点等多种采血模式。</w:t>
            </w:r>
          </w:p>
          <w:p w14:paraId="7EC54BD4">
            <w:pPr>
              <w:numPr>
                <w:ilvl w:val="0"/>
                <w:numId w:val="0"/>
              </w:numPr>
              <w:spacing w:line="240" w:lineRule="auto"/>
              <w:jc w:val="left"/>
              <w:rPr>
                <w:rFonts w:hint="default"/>
                <w:color w:val="auto"/>
                <w:lang w:val="en-US" w:eastAsia="zh-CN"/>
              </w:rPr>
            </w:pPr>
            <w:r>
              <w:rPr>
                <w:rFonts w:hint="default"/>
                <w:color w:val="auto"/>
                <w:lang w:val="en-US" w:eastAsia="zh-CN"/>
              </w:rPr>
              <w:t>6、识别速度快，5秒内即可准确识别、录入、保存身份证全部信息。</w:t>
            </w:r>
          </w:p>
          <w:p w14:paraId="6AB2278F">
            <w:pPr>
              <w:numPr>
                <w:ilvl w:val="0"/>
                <w:numId w:val="0"/>
              </w:numPr>
              <w:spacing w:line="240" w:lineRule="auto"/>
              <w:jc w:val="left"/>
              <w:rPr>
                <w:rFonts w:hint="default"/>
                <w:color w:val="auto"/>
                <w:lang w:val="en-US" w:eastAsia="zh-CN"/>
              </w:rPr>
            </w:pPr>
            <w:r>
              <w:rPr>
                <w:rFonts w:hint="default"/>
                <w:color w:val="auto"/>
                <w:lang w:val="en-US" w:eastAsia="zh-CN"/>
              </w:rPr>
              <w:t>7、所有的身份证阅读器通过了公安部检验，完全符合GA/T 490-2019《居民身份证机读信息规范》的要求。</w:t>
            </w:r>
          </w:p>
          <w:p w14:paraId="0D62B475">
            <w:pPr>
              <w:numPr>
                <w:ilvl w:val="0"/>
                <w:numId w:val="0"/>
              </w:numPr>
              <w:spacing w:line="240" w:lineRule="auto"/>
              <w:jc w:val="left"/>
              <w:rPr>
                <w:rFonts w:hint="default"/>
                <w:color w:val="auto"/>
                <w:lang w:val="en-US" w:eastAsia="zh-CN"/>
              </w:rPr>
            </w:pPr>
            <w:r>
              <w:rPr>
                <w:rFonts w:hint="default"/>
                <w:color w:val="auto"/>
                <w:lang w:val="en-US" w:eastAsia="zh-CN"/>
              </w:rPr>
              <w:t>8、在在线和离线状态下，能够自动识别数据端口，无需另配电源。</w:t>
            </w:r>
          </w:p>
          <w:p w14:paraId="5A322B45">
            <w:pPr>
              <w:numPr>
                <w:ilvl w:val="0"/>
                <w:numId w:val="0"/>
              </w:numPr>
              <w:spacing w:line="240" w:lineRule="auto"/>
              <w:jc w:val="left"/>
              <w:rPr>
                <w:rFonts w:hint="default"/>
                <w:color w:val="auto"/>
                <w:lang w:val="en-US" w:eastAsia="zh-CN"/>
              </w:rPr>
            </w:pPr>
            <w:r>
              <w:rPr>
                <w:rFonts w:hint="default"/>
                <w:color w:val="auto"/>
                <w:lang w:val="en-US" w:eastAsia="zh-CN"/>
              </w:rPr>
              <w:t>9、不用工具就可进行安全模块拆卸和更换（有利于维护）。</w:t>
            </w:r>
          </w:p>
          <w:p w14:paraId="1AF49C56">
            <w:pPr>
              <w:numPr>
                <w:ilvl w:val="0"/>
                <w:numId w:val="0"/>
              </w:numPr>
              <w:spacing w:line="240" w:lineRule="auto"/>
              <w:jc w:val="left"/>
              <w:rPr>
                <w:rFonts w:hint="default"/>
                <w:color w:val="auto"/>
                <w:lang w:val="en-US" w:eastAsia="zh-CN"/>
              </w:rPr>
            </w:pPr>
            <w:r>
              <w:rPr>
                <w:rFonts w:hint="default"/>
                <w:color w:val="auto"/>
                <w:lang w:val="en-US" w:eastAsia="zh-CN"/>
              </w:rPr>
              <w:t>10、具有电源保护开关设置。</w:t>
            </w:r>
          </w:p>
          <w:p w14:paraId="025989CB">
            <w:pPr>
              <w:numPr>
                <w:ilvl w:val="0"/>
                <w:numId w:val="0"/>
              </w:numPr>
              <w:spacing w:line="240" w:lineRule="auto"/>
              <w:jc w:val="left"/>
              <w:rPr>
                <w:rFonts w:hint="default"/>
                <w:color w:val="auto"/>
                <w:lang w:val="en-US" w:eastAsia="zh-CN"/>
              </w:rPr>
            </w:pPr>
            <w:r>
              <w:rPr>
                <w:rFonts w:hint="default"/>
                <w:color w:val="auto"/>
                <w:lang w:val="en-US" w:eastAsia="zh-CN"/>
              </w:rPr>
              <w:t>11、在检测安全模块状态下，可获取安全模块ID号、获取身份证芯片SN号。</w:t>
            </w:r>
          </w:p>
          <w:p w14:paraId="0A4B23FF">
            <w:pPr>
              <w:numPr>
                <w:ilvl w:val="0"/>
                <w:numId w:val="0"/>
              </w:numPr>
              <w:spacing w:line="240" w:lineRule="auto"/>
              <w:jc w:val="left"/>
              <w:rPr>
                <w:rFonts w:hint="default"/>
                <w:color w:val="auto"/>
                <w:lang w:val="en-US" w:eastAsia="zh-CN"/>
              </w:rPr>
            </w:pPr>
            <w:r>
              <w:rPr>
                <w:rFonts w:hint="default"/>
                <w:color w:val="auto"/>
                <w:lang w:val="en-US" w:eastAsia="zh-CN"/>
              </w:rPr>
              <w:t>12、要求必须与南宁中心血站的现代血站管理信息系统相适配，并能实现业务工作中的身份证识别的需求。</w:t>
            </w:r>
          </w:p>
          <w:p w14:paraId="496670CD">
            <w:pPr>
              <w:pStyle w:val="3"/>
              <w:rPr>
                <w:rFonts w:hint="default" w:ascii="宋体" w:hAnsi="宋体" w:eastAsia="宋体" w:cs="宋体"/>
                <w:lang w:val="en-US" w:eastAsia="zh-CN"/>
              </w:rPr>
            </w:pPr>
            <w:r>
              <w:rPr>
                <w:rFonts w:hint="default"/>
                <w:color w:val="auto"/>
                <w:lang w:val="en-US" w:eastAsia="zh-CN"/>
              </w:rPr>
              <w:t>13、提供的设备中内含身份证自动识别系统。</w:t>
            </w:r>
          </w:p>
        </w:tc>
        <w:tc>
          <w:tcPr>
            <w:tcW w:w="349" w:type="pct"/>
            <w:vAlign w:val="center"/>
          </w:tcPr>
          <w:p w14:paraId="01A65FCD">
            <w:pPr>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身份证识别仪（含授权）</w:t>
            </w:r>
          </w:p>
          <w:p w14:paraId="6C406C4C">
            <w:pPr>
              <w:pStyle w:val="3"/>
              <w:widowControl w:val="0"/>
              <w:numPr>
                <w:ilvl w:val="0"/>
                <w:numId w:val="0"/>
              </w:numPr>
              <w:spacing w:before="0" w:beforeAutospacing="0" w:after="120" w:afterAutospacing="0"/>
              <w:jc w:val="both"/>
              <w:rPr>
                <w:rFonts w:hint="eastAsia" w:ascii="宋体" w:hAnsi="宋体" w:cs="宋体" w:eastAsiaTheme="minorEastAsia"/>
                <w:sz w:val="21"/>
                <w:szCs w:val="21"/>
                <w:lang w:eastAsia="zh-CN"/>
              </w:rPr>
            </w:pPr>
          </w:p>
        </w:tc>
        <w:tc>
          <w:tcPr>
            <w:tcW w:w="1755" w:type="pct"/>
            <w:vAlign w:val="center"/>
          </w:tcPr>
          <w:p w14:paraId="696E3EC5">
            <w:pPr>
              <w:pStyle w:val="3"/>
              <w:widowControl w:val="0"/>
              <w:numPr>
                <w:ilvl w:val="0"/>
                <w:numId w:val="0"/>
              </w:numPr>
              <w:spacing w:before="0" w:beforeAutospacing="0" w:after="120" w:afterAutospacing="0"/>
              <w:jc w:val="both"/>
              <w:rPr>
                <w:rFonts w:hint="eastAsia" w:ascii="宋体" w:hAnsi="宋体" w:eastAsia="宋体" w:cs="宋体"/>
                <w:color w:val="FF0000"/>
                <w:kern w:val="2"/>
                <w:sz w:val="21"/>
                <w:highlight w:val="none"/>
                <w:vertAlign w:val="baseline"/>
                <w:lang w:val="en-US" w:eastAsia="zh-CN"/>
              </w:rPr>
            </w:pPr>
            <w:r>
              <w:rPr>
                <w:rFonts w:hint="eastAsia" w:asciiTheme="minorEastAsia" w:hAnsiTheme="minorEastAsia" w:cstheme="minorEastAsia"/>
                <w:color w:val="FF0000"/>
                <w:szCs w:val="21"/>
              </w:rPr>
              <w:t>请填入贵单位响应的内容。</w:t>
            </w:r>
          </w:p>
        </w:tc>
        <w:tc>
          <w:tcPr>
            <w:tcW w:w="388" w:type="pct"/>
            <w:vAlign w:val="center"/>
          </w:tcPr>
          <w:p w14:paraId="5F35E509">
            <w:pPr>
              <w:pStyle w:val="3"/>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Times New Roman" w:hAnsi="Times New Roman"/>
                <w:color w:val="FF0000"/>
                <w:szCs w:val="21"/>
                <w:highlight w:val="none"/>
                <w:lang w:val="en-US" w:eastAsia="zh-CN"/>
              </w:rPr>
              <w:t>无</w:t>
            </w:r>
            <w:r>
              <w:rPr>
                <w:rFonts w:hint="eastAsia" w:ascii="Times New Roman" w:hAnsi="Times New Roman"/>
                <w:color w:val="FF0000"/>
                <w:szCs w:val="21"/>
                <w:highlight w:val="none"/>
              </w:rPr>
              <w:t>偏离（负偏离或</w:t>
            </w:r>
            <w:r>
              <w:rPr>
                <w:rFonts w:hint="eastAsia" w:ascii="Times New Roman" w:hAnsi="Times New Roman"/>
                <w:color w:val="FF0000"/>
                <w:szCs w:val="21"/>
                <w:highlight w:val="none"/>
                <w:lang w:val="en-US" w:eastAsia="zh-CN"/>
              </w:rPr>
              <w:t>正</w:t>
            </w:r>
            <w:r>
              <w:rPr>
                <w:rFonts w:hint="eastAsia" w:ascii="Times New Roman" w:hAnsi="Times New Roman"/>
                <w:color w:val="FF0000"/>
                <w:szCs w:val="21"/>
                <w:highlight w:val="none"/>
              </w:rPr>
              <w:t>偏离）</w:t>
            </w:r>
          </w:p>
        </w:tc>
      </w:tr>
    </w:tbl>
    <w:p w14:paraId="7604BA80">
      <w:pPr>
        <w:pStyle w:val="9"/>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9"/>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951F860">
      <w:pPr>
        <w:pStyle w:val="9"/>
        <w:spacing w:line="400" w:lineRule="exact"/>
        <w:rPr>
          <w:rFonts w:hint="eastAsia" w:hAnsi="宋体"/>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bookmarkStart w:id="1" w:name="_Toc460253713"/>
      <w:bookmarkStart w:id="2" w:name="_Toc521096352"/>
    </w:p>
    <w:p w14:paraId="5D426AA9">
      <w:pPr>
        <w:pStyle w:val="9"/>
        <w:spacing w:line="400" w:lineRule="exact"/>
        <w:rPr>
          <w:rFonts w:hint="eastAsia" w:asciiTheme="minorEastAsia" w:hAnsiTheme="minorEastAsia" w:cstheme="majorEastAsia"/>
          <w:bCs/>
          <w:color w:val="000000"/>
          <w:sz w:val="28"/>
          <w:szCs w:val="28"/>
        </w:rPr>
      </w:pPr>
      <w:r>
        <w:rPr>
          <w:rFonts w:hint="eastAsia" w:hAnsi="宋体"/>
          <w:color w:val="auto"/>
          <w:sz w:val="18"/>
          <w:szCs w:val="18"/>
        </w:rPr>
        <w:t>法定代表人或其委托代理人（签字或盖章）：</w:t>
      </w:r>
      <w:bookmarkEnd w:id="1"/>
      <w:bookmarkEnd w:id="2"/>
      <w:r>
        <w:rPr>
          <w:rFonts w:hint="eastAsia" w:hAnsi="宋体"/>
          <w:color w:val="auto"/>
          <w:sz w:val="18"/>
          <w:szCs w:val="18"/>
          <w:u w:val="single"/>
          <w:lang w:val="en-US" w:eastAsia="zh-CN"/>
        </w:rPr>
        <w:t xml:space="preserve">                         </w:t>
      </w:r>
    </w:p>
    <w:p w14:paraId="095A9306">
      <w:pPr>
        <w:spacing w:line="400" w:lineRule="exact"/>
        <w:ind w:firstLine="560" w:firstLineChars="200"/>
        <w:jc w:val="left"/>
        <w:rPr>
          <w:rFonts w:hint="eastAsia" w:asciiTheme="minorEastAsia" w:hAnsiTheme="minorEastAsia" w:cstheme="majorEastAsia"/>
          <w:bCs/>
          <w:color w:val="000000"/>
          <w:sz w:val="28"/>
          <w:szCs w:val="28"/>
        </w:rPr>
      </w:pPr>
    </w:p>
    <w:p w14:paraId="47221B3E">
      <w:pPr>
        <w:spacing w:line="400" w:lineRule="exact"/>
        <w:ind w:firstLine="560" w:firstLineChars="200"/>
        <w:jc w:val="left"/>
        <w:rPr>
          <w:rFonts w:hint="eastAsia" w:asciiTheme="minorEastAsia" w:hAnsiTheme="minorEastAsia" w:cstheme="majorEastAsia"/>
          <w:bCs/>
          <w:color w:val="000000"/>
          <w:sz w:val="28"/>
          <w:szCs w:val="28"/>
        </w:rPr>
      </w:pPr>
    </w:p>
    <w:p w14:paraId="2BD6A5BC">
      <w:pPr>
        <w:pStyle w:val="3"/>
        <w:rPr>
          <w:rFonts w:hint="eastAsia" w:asciiTheme="minorEastAsia" w:hAnsiTheme="minorEastAsia" w:cstheme="majorEastAsia"/>
          <w:bCs/>
          <w:color w:val="000000"/>
          <w:sz w:val="28"/>
          <w:szCs w:val="28"/>
        </w:rPr>
      </w:pPr>
    </w:p>
    <w:p w14:paraId="5968DF89">
      <w:pPr>
        <w:pStyle w:val="3"/>
        <w:rPr>
          <w:rFonts w:hint="eastAsia" w:asciiTheme="minorEastAsia" w:hAnsiTheme="minorEastAsia" w:cstheme="majorEastAsia"/>
          <w:bCs/>
          <w:color w:val="000000"/>
          <w:sz w:val="28"/>
          <w:szCs w:val="28"/>
        </w:rPr>
      </w:pPr>
    </w:p>
    <w:p w14:paraId="20B75060">
      <w:pPr>
        <w:pStyle w:val="3"/>
        <w:rPr>
          <w:rFonts w:hint="eastAsia" w:asciiTheme="minorEastAsia" w:hAnsiTheme="minorEastAsia" w:cstheme="majorEastAsia"/>
          <w:bCs/>
          <w:color w:val="000000"/>
          <w:sz w:val="28"/>
          <w:szCs w:val="28"/>
        </w:rPr>
      </w:pPr>
    </w:p>
    <w:p w14:paraId="327A635A">
      <w:pPr>
        <w:pStyle w:val="3"/>
        <w:rPr>
          <w:rFonts w:hint="eastAsia" w:asciiTheme="minorEastAsia" w:hAnsiTheme="minorEastAsia" w:cstheme="majorEastAsia"/>
          <w:bCs/>
          <w:color w:val="000000"/>
          <w:sz w:val="28"/>
          <w:szCs w:val="28"/>
        </w:rPr>
      </w:pPr>
    </w:p>
    <w:p w14:paraId="04194A4C">
      <w:pPr>
        <w:spacing w:line="400" w:lineRule="exact"/>
        <w:ind w:firstLine="560" w:firstLineChars="200"/>
        <w:jc w:val="left"/>
        <w:rPr>
          <w:rFonts w:hint="eastAsia" w:asciiTheme="minorEastAsia" w:hAnsiTheme="minorEastAsia" w:cstheme="majorEastAsia"/>
          <w:bCs/>
          <w:color w:val="000000"/>
          <w:sz w:val="28"/>
          <w:szCs w:val="28"/>
        </w:rPr>
      </w:pPr>
    </w:p>
    <w:p w14:paraId="385363D2">
      <w:pPr>
        <w:spacing w:line="400" w:lineRule="exact"/>
        <w:ind w:firstLine="560" w:firstLineChars="200"/>
        <w:jc w:val="left"/>
        <w:rPr>
          <w:rFonts w:hint="eastAsia" w:asciiTheme="minorEastAsia" w:hAnsiTheme="minorEastAsia" w:cstheme="majorEastAsia"/>
          <w:bCs/>
          <w:color w:val="000000"/>
          <w:sz w:val="28"/>
          <w:szCs w:val="28"/>
        </w:rPr>
      </w:pPr>
    </w:p>
    <w:p w14:paraId="61A55BA9">
      <w:pPr>
        <w:spacing w:line="400" w:lineRule="exact"/>
        <w:ind w:firstLine="560" w:firstLineChars="200"/>
        <w:jc w:val="left"/>
        <w:rPr>
          <w:rFonts w:hint="eastAsia" w:asciiTheme="minorEastAsia" w:hAnsiTheme="minorEastAsia" w:cstheme="majorEastAsia"/>
          <w:bCs/>
          <w:color w:val="000000"/>
          <w:sz w:val="28"/>
          <w:szCs w:val="28"/>
        </w:rPr>
      </w:pPr>
    </w:p>
    <w:p w14:paraId="62BDAD6D">
      <w:pPr>
        <w:spacing w:line="400" w:lineRule="exact"/>
        <w:ind w:firstLine="560" w:firstLineChars="200"/>
        <w:jc w:val="left"/>
        <w:rPr>
          <w:rFonts w:hint="eastAsia" w:asciiTheme="minorEastAsia" w:hAnsiTheme="minorEastAsia" w:cstheme="majorEastAsia"/>
          <w:bCs/>
          <w:color w:val="000000"/>
          <w:sz w:val="28"/>
          <w:szCs w:val="28"/>
        </w:rPr>
      </w:pPr>
    </w:p>
    <w:p w14:paraId="1BCD923B">
      <w:pPr>
        <w:spacing w:line="400" w:lineRule="exact"/>
        <w:ind w:firstLine="560" w:firstLineChars="200"/>
        <w:jc w:val="left"/>
        <w:rPr>
          <w:rFonts w:hint="eastAsia" w:asciiTheme="minorEastAsia" w:hAnsiTheme="minorEastAsia" w:cstheme="majorEastAsia"/>
          <w:bCs/>
          <w:color w:val="000000"/>
          <w:sz w:val="28"/>
          <w:szCs w:val="28"/>
        </w:rPr>
      </w:pPr>
    </w:p>
    <w:p w14:paraId="5E2B00E4">
      <w:pPr>
        <w:spacing w:line="400" w:lineRule="exact"/>
        <w:ind w:firstLine="560" w:firstLineChars="200"/>
        <w:jc w:val="left"/>
        <w:rPr>
          <w:rFonts w:hint="eastAsia" w:asciiTheme="minorEastAsia" w:hAnsiTheme="minorEastAsia" w:cstheme="majorEastAsia"/>
          <w:bCs/>
          <w:color w:val="000000"/>
          <w:sz w:val="28"/>
          <w:szCs w:val="28"/>
        </w:rPr>
      </w:pPr>
    </w:p>
    <w:p w14:paraId="55AD7E14">
      <w:pPr>
        <w:spacing w:line="400" w:lineRule="exact"/>
        <w:ind w:firstLine="560" w:firstLineChars="200"/>
        <w:jc w:val="left"/>
        <w:rPr>
          <w:rFonts w:hint="eastAsia" w:asciiTheme="minorEastAsia" w:hAnsiTheme="minorEastAsia" w:cstheme="majorEastAsia"/>
          <w:bCs/>
          <w:color w:val="000000"/>
          <w:sz w:val="28"/>
          <w:szCs w:val="28"/>
        </w:rPr>
      </w:pPr>
    </w:p>
    <w:p w14:paraId="3081FCB7">
      <w:pPr>
        <w:spacing w:line="400" w:lineRule="exact"/>
        <w:ind w:firstLine="560" w:firstLineChars="200"/>
        <w:jc w:val="left"/>
        <w:rPr>
          <w:rFonts w:hint="eastAsia" w:asciiTheme="minorEastAsia" w:hAnsiTheme="minorEastAsia" w:cstheme="majorEastAsia"/>
          <w:bCs/>
          <w:color w:val="000000"/>
          <w:sz w:val="28"/>
          <w:szCs w:val="28"/>
        </w:rPr>
      </w:pPr>
    </w:p>
    <w:p w14:paraId="386EE13B">
      <w:pPr>
        <w:spacing w:line="400" w:lineRule="exact"/>
        <w:ind w:firstLine="560" w:firstLineChars="200"/>
        <w:jc w:val="left"/>
        <w:rPr>
          <w:rFonts w:hint="eastAsia" w:asciiTheme="minorEastAsia" w:hAnsiTheme="minorEastAsia" w:cstheme="majorEastAsia"/>
          <w:bCs/>
          <w:color w:val="000000"/>
          <w:sz w:val="28"/>
          <w:szCs w:val="28"/>
        </w:rPr>
      </w:pPr>
    </w:p>
    <w:p w14:paraId="18142828">
      <w:pPr>
        <w:spacing w:line="400" w:lineRule="exact"/>
        <w:ind w:firstLine="560" w:firstLineChars="200"/>
        <w:jc w:val="left"/>
        <w:rPr>
          <w:rFonts w:hint="eastAsia" w:asciiTheme="minorEastAsia" w:hAnsiTheme="minorEastAsia" w:cstheme="majorEastAsia"/>
          <w:bCs/>
          <w:color w:val="000000"/>
          <w:sz w:val="28"/>
          <w:szCs w:val="28"/>
        </w:rPr>
      </w:pPr>
    </w:p>
    <w:p w14:paraId="4605C699">
      <w:pPr>
        <w:spacing w:line="400" w:lineRule="exact"/>
        <w:ind w:firstLine="560" w:firstLineChars="200"/>
        <w:jc w:val="left"/>
        <w:rPr>
          <w:rFonts w:hint="eastAsia" w:ascii="宋体" w:hAnsi="宋体"/>
          <w:b/>
          <w:color w:val="auto"/>
          <w:sz w:val="36"/>
          <w:szCs w:val="36"/>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ascii="宋体" w:hAnsi="宋体"/>
          <w:b/>
          <w:color w:val="auto"/>
          <w:sz w:val="36"/>
          <w:szCs w:val="36"/>
        </w:rPr>
        <w:t>商务条款响应及偏离情况说明表</w:t>
      </w:r>
    </w:p>
    <w:p w14:paraId="003F1E03">
      <w:pPr>
        <w:pStyle w:val="9"/>
        <w:ind w:firstLine="420" w:firstLineChars="200"/>
        <w:rPr>
          <w:rFonts w:hAnsi="宋体" w:cs="宋体"/>
          <w:color w:val="auto"/>
        </w:rPr>
      </w:pPr>
    </w:p>
    <w:p w14:paraId="60DA9548">
      <w:pPr>
        <w:pStyle w:val="9"/>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0C722331">
      <w:pPr>
        <w:pStyle w:val="9"/>
        <w:spacing w:line="440" w:lineRule="exact"/>
        <w:ind w:firstLine="422" w:firstLineChars="200"/>
        <w:rPr>
          <w:b/>
          <w:bCs/>
        </w:rPr>
      </w:pPr>
      <w:r>
        <w:rPr>
          <w:rFonts w:hint="eastAsia" w:asciiTheme="minorEastAsia" w:hAnsiTheme="minorEastAsia"/>
          <w:b/>
          <w:bCs/>
          <w:color w:val="auto"/>
          <w:szCs w:val="21"/>
        </w:rPr>
        <w:t>本采购需求一览表中</w:t>
      </w:r>
      <w:r>
        <w:rPr>
          <w:rFonts w:hint="eastAsia" w:asciiTheme="minorEastAsia" w:hAnsiTheme="minorEastAsia"/>
          <w:b/>
          <w:bCs/>
          <w:color w:val="auto"/>
          <w:szCs w:val="21"/>
          <w:lang w:val="en-US" w:eastAsia="zh-CN"/>
        </w:rPr>
        <w:t>各参数要求需要全部满足，不允许</w:t>
      </w:r>
      <w:r>
        <w:rPr>
          <w:rFonts w:hint="eastAsia" w:asciiTheme="minorEastAsia" w:hAnsiTheme="minorEastAsia"/>
          <w:b/>
          <w:bCs/>
          <w:color w:val="auto"/>
          <w:szCs w:val="21"/>
        </w:rPr>
        <w:t>负偏离</w:t>
      </w:r>
      <w:r>
        <w:rPr>
          <w:rFonts w:hint="eastAsia" w:asciiTheme="minorEastAsia" w:hAnsiTheme="minorEastAsia"/>
          <w:b/>
          <w:bCs/>
          <w:color w:val="auto"/>
          <w:szCs w:val="21"/>
          <w:lang w:eastAsia="zh-CN"/>
        </w:rPr>
        <w:t>，</w:t>
      </w:r>
      <w:r>
        <w:rPr>
          <w:rFonts w:hint="eastAsia" w:asciiTheme="minorEastAsia" w:hAnsiTheme="minorEastAsia"/>
          <w:b/>
          <w:bCs/>
          <w:color w:val="auto"/>
          <w:szCs w:val="21"/>
          <w:lang w:val="en-US" w:eastAsia="zh-CN"/>
        </w:rPr>
        <w:t>负偏离</w:t>
      </w:r>
      <w:r>
        <w:rPr>
          <w:rFonts w:hint="eastAsia" w:asciiTheme="minorEastAsia" w:hAnsiTheme="minorEastAsia"/>
          <w:b/>
          <w:bCs/>
          <w:color w:val="auto"/>
          <w:szCs w:val="21"/>
        </w:rPr>
        <w:t>视为无效响应。</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45"/>
        <w:gridCol w:w="3793"/>
        <w:gridCol w:w="3677"/>
        <w:gridCol w:w="1067"/>
      </w:tblGrid>
      <w:tr w14:paraId="2958DE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85" w:hRule="atLeast"/>
          <w:jc w:val="center"/>
        </w:trPr>
        <w:tc>
          <w:tcPr>
            <w:tcW w:w="545" w:type="dxa"/>
            <w:vAlign w:val="center"/>
          </w:tcPr>
          <w:p w14:paraId="61563204">
            <w:pPr>
              <w:adjustRightInd w:val="0"/>
              <w:snapToGrid w:val="0"/>
              <w:spacing w:line="400" w:lineRule="exact"/>
              <w:jc w:val="center"/>
              <w:outlineLvl w:val="0"/>
              <w:rPr>
                <w:rFonts w:ascii="宋体" w:hAnsi="宋体"/>
                <w:color w:val="auto"/>
                <w:szCs w:val="21"/>
              </w:rPr>
            </w:pPr>
            <w:bookmarkStart w:id="3" w:name="_Toc18211"/>
            <w:bookmarkStart w:id="4" w:name="_Toc529"/>
            <w:r>
              <w:rPr>
                <w:rFonts w:hint="eastAsia" w:ascii="宋体" w:hAnsi="宋体"/>
                <w:color w:val="auto"/>
                <w:szCs w:val="21"/>
              </w:rPr>
              <w:t>序号</w:t>
            </w:r>
            <w:bookmarkEnd w:id="3"/>
            <w:bookmarkEnd w:id="4"/>
          </w:p>
        </w:tc>
        <w:tc>
          <w:tcPr>
            <w:tcW w:w="3793" w:type="dxa"/>
            <w:vAlign w:val="center"/>
          </w:tcPr>
          <w:p w14:paraId="37A4F2E6">
            <w:pPr>
              <w:adjustRightInd w:val="0"/>
              <w:snapToGrid w:val="0"/>
              <w:spacing w:line="400" w:lineRule="exact"/>
              <w:jc w:val="center"/>
              <w:outlineLvl w:val="0"/>
              <w:rPr>
                <w:rFonts w:ascii="宋体" w:hAnsi="宋体"/>
                <w:color w:val="auto"/>
                <w:szCs w:val="21"/>
              </w:rPr>
            </w:pPr>
            <w:bookmarkStart w:id="5" w:name="_Toc113"/>
            <w:bookmarkStart w:id="6" w:name="_Toc11223"/>
            <w:r>
              <w:rPr>
                <w:rFonts w:hint="eastAsia" w:ascii="宋体" w:hAnsi="宋体"/>
                <w:color w:val="auto"/>
                <w:szCs w:val="21"/>
              </w:rPr>
              <w:t>采购文件的商务</w:t>
            </w:r>
            <w:bookmarkEnd w:id="5"/>
            <w:bookmarkEnd w:id="6"/>
            <w:r>
              <w:rPr>
                <w:rFonts w:hint="eastAsia" w:ascii="宋体" w:hAnsi="宋体"/>
                <w:color w:val="auto"/>
                <w:szCs w:val="21"/>
              </w:rPr>
              <w:t>条款</w:t>
            </w:r>
          </w:p>
        </w:tc>
        <w:tc>
          <w:tcPr>
            <w:tcW w:w="3677" w:type="dxa"/>
            <w:vAlign w:val="center"/>
          </w:tcPr>
          <w:p w14:paraId="68BBADE5">
            <w:pPr>
              <w:adjustRightInd w:val="0"/>
              <w:snapToGrid w:val="0"/>
              <w:spacing w:line="400" w:lineRule="exact"/>
              <w:jc w:val="center"/>
              <w:outlineLvl w:val="0"/>
              <w:rPr>
                <w:rFonts w:ascii="宋体" w:hAnsi="宋体"/>
                <w:color w:val="auto"/>
                <w:szCs w:val="21"/>
              </w:rPr>
            </w:pPr>
            <w:bookmarkStart w:id="7" w:name="_Toc3147"/>
            <w:bookmarkStart w:id="8" w:name="_Toc22733"/>
            <w:r>
              <w:rPr>
                <w:rFonts w:hint="eastAsia" w:ascii="宋体" w:hAnsi="宋体"/>
                <w:color w:val="auto"/>
                <w:szCs w:val="21"/>
              </w:rPr>
              <w:t>响应文件具体响应</w:t>
            </w:r>
            <w:bookmarkEnd w:id="7"/>
            <w:bookmarkEnd w:id="8"/>
          </w:p>
        </w:tc>
        <w:tc>
          <w:tcPr>
            <w:tcW w:w="1067" w:type="dxa"/>
            <w:vAlign w:val="center"/>
          </w:tcPr>
          <w:p w14:paraId="609ACD8B">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7DF3E2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293" w:hRule="atLeast"/>
          <w:jc w:val="center"/>
        </w:trPr>
        <w:tc>
          <w:tcPr>
            <w:tcW w:w="545" w:type="dxa"/>
            <w:vAlign w:val="center"/>
          </w:tcPr>
          <w:p w14:paraId="0DF148E5">
            <w:pPr>
              <w:adjustRightInd w:val="0"/>
              <w:snapToGrid w:val="0"/>
              <w:spacing w:line="400" w:lineRule="exact"/>
              <w:jc w:val="center"/>
              <w:outlineLvl w:val="0"/>
              <w:rPr>
                <w:rFonts w:ascii="宋体" w:hAnsi="宋体"/>
                <w:color w:val="auto"/>
                <w:szCs w:val="21"/>
              </w:rPr>
            </w:pPr>
            <w:bookmarkStart w:id="9" w:name="_Toc20348"/>
            <w:bookmarkStart w:id="10" w:name="_Toc16246"/>
            <w:r>
              <w:rPr>
                <w:rFonts w:hint="eastAsia" w:ascii="宋体" w:hAnsi="宋体"/>
                <w:color w:val="auto"/>
                <w:szCs w:val="21"/>
              </w:rPr>
              <w:t>1</w:t>
            </w:r>
            <w:bookmarkEnd w:id="9"/>
            <w:bookmarkEnd w:id="10"/>
          </w:p>
        </w:tc>
        <w:tc>
          <w:tcPr>
            <w:tcW w:w="3793" w:type="dxa"/>
            <w:vAlign w:val="center"/>
          </w:tcPr>
          <w:p w14:paraId="34CA3A9C">
            <w:pPr>
              <w:keepNext w:val="0"/>
              <w:keepLines w:val="0"/>
              <w:pageBreakBefore w:val="0"/>
              <w:widowControl w:val="0"/>
              <w:kinsoku/>
              <w:wordWrap/>
              <w:overflowPunct/>
              <w:topLinePunct w:val="0"/>
              <w:autoSpaceDE/>
              <w:autoSpaceDN/>
              <w:bidi w:val="0"/>
              <w:adjustRightInd/>
              <w:snapToGrid/>
              <w:spacing w:line="360" w:lineRule="exact"/>
              <w:textAlignment w:val="auto"/>
              <w:rPr>
                <w:rFonts w:ascii="仿宋" w:hAnsi="仿宋" w:eastAsia="仿宋"/>
                <w:color w:val="auto"/>
                <w:sz w:val="20"/>
                <w:szCs w:val="20"/>
              </w:rPr>
            </w:pPr>
            <w:r>
              <w:rPr>
                <w:rFonts w:hint="eastAsia"/>
                <w:b/>
                <w:bCs/>
                <w:color w:val="auto"/>
                <w:sz w:val="21"/>
                <w:szCs w:val="21"/>
                <w:highlight w:val="none"/>
                <w:lang w:val="en-US" w:eastAsia="zh-CN"/>
              </w:rPr>
              <w:t>合同签订期：</w:t>
            </w:r>
            <w:r>
              <w:rPr>
                <w:rFonts w:hint="eastAsia"/>
                <w:b w:val="0"/>
                <w:bCs w:val="0"/>
                <w:color w:val="auto"/>
                <w:sz w:val="21"/>
                <w:szCs w:val="21"/>
                <w:highlight w:val="none"/>
                <w:lang w:val="en-US" w:eastAsia="zh-CN"/>
              </w:rPr>
              <w:t>自中结果公告发出之日起 10 个工作日内。</w:t>
            </w:r>
          </w:p>
        </w:tc>
        <w:tc>
          <w:tcPr>
            <w:tcW w:w="3677" w:type="dxa"/>
            <w:vAlign w:val="center"/>
          </w:tcPr>
          <w:p w14:paraId="4427FD5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35233041">
            <w:pPr>
              <w:adjustRightInd w:val="0"/>
              <w:snapToGrid w:val="0"/>
              <w:spacing w:line="400" w:lineRule="exact"/>
              <w:jc w:val="center"/>
              <w:outlineLvl w:val="0"/>
              <w:rPr>
                <w:rFonts w:ascii="宋体" w:hAnsi="宋体"/>
                <w:color w:val="FF0000"/>
                <w:szCs w:val="21"/>
              </w:rPr>
            </w:pPr>
            <w:r>
              <w:rPr>
                <w:rFonts w:hint="eastAsia" w:ascii="Times New Roman" w:hAnsi="Times New Roman"/>
                <w:color w:val="FF0000"/>
                <w:szCs w:val="21"/>
                <w:highlight w:val="none"/>
                <w:lang w:val="en-US" w:eastAsia="zh-CN"/>
              </w:rPr>
              <w:t>无</w:t>
            </w:r>
            <w:r>
              <w:rPr>
                <w:rFonts w:hint="eastAsia" w:ascii="Times New Roman" w:hAnsi="Times New Roman"/>
                <w:color w:val="FF0000"/>
                <w:szCs w:val="21"/>
                <w:highlight w:val="none"/>
              </w:rPr>
              <w:t>偏离（负偏离或</w:t>
            </w:r>
            <w:r>
              <w:rPr>
                <w:rFonts w:hint="eastAsia" w:ascii="Times New Roman" w:hAnsi="Times New Roman"/>
                <w:color w:val="FF0000"/>
                <w:szCs w:val="21"/>
                <w:highlight w:val="none"/>
                <w:lang w:val="en-US" w:eastAsia="zh-CN"/>
              </w:rPr>
              <w:t>正</w:t>
            </w:r>
            <w:r>
              <w:rPr>
                <w:rFonts w:hint="eastAsia" w:ascii="Times New Roman" w:hAnsi="Times New Roman"/>
                <w:color w:val="FF0000"/>
                <w:szCs w:val="21"/>
                <w:highlight w:val="none"/>
              </w:rPr>
              <w:t>偏离）</w:t>
            </w:r>
          </w:p>
        </w:tc>
      </w:tr>
      <w:tr w14:paraId="5A1C62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58" w:hRule="atLeast"/>
          <w:jc w:val="center"/>
        </w:trPr>
        <w:tc>
          <w:tcPr>
            <w:tcW w:w="545" w:type="dxa"/>
            <w:vAlign w:val="center"/>
          </w:tcPr>
          <w:p w14:paraId="56A70637">
            <w:pPr>
              <w:adjustRightInd w:val="0"/>
              <w:snapToGrid w:val="0"/>
              <w:spacing w:line="400" w:lineRule="exact"/>
              <w:jc w:val="center"/>
              <w:outlineLvl w:val="0"/>
              <w:rPr>
                <w:rFonts w:ascii="宋体" w:hAnsi="宋体"/>
                <w:color w:val="auto"/>
                <w:szCs w:val="21"/>
              </w:rPr>
            </w:pPr>
            <w:bookmarkStart w:id="11" w:name="_Toc29108"/>
            <w:bookmarkStart w:id="12" w:name="_Toc14139"/>
            <w:r>
              <w:rPr>
                <w:rFonts w:hint="eastAsia" w:ascii="宋体" w:hAnsi="宋体"/>
                <w:color w:val="auto"/>
                <w:szCs w:val="21"/>
              </w:rPr>
              <w:t>2</w:t>
            </w:r>
            <w:bookmarkEnd w:id="11"/>
            <w:bookmarkEnd w:id="12"/>
          </w:p>
        </w:tc>
        <w:tc>
          <w:tcPr>
            <w:tcW w:w="3793" w:type="dxa"/>
            <w:vAlign w:val="center"/>
          </w:tcPr>
          <w:p w14:paraId="23C58FB8">
            <w:pPr>
              <w:keepNext w:val="0"/>
              <w:keepLines w:val="0"/>
              <w:pageBreakBefore w:val="0"/>
              <w:widowControl w:val="0"/>
              <w:kinsoku/>
              <w:wordWrap/>
              <w:overflowPunct/>
              <w:topLinePunct w:val="0"/>
              <w:autoSpaceDE/>
              <w:autoSpaceDN/>
              <w:bidi w:val="0"/>
              <w:adjustRightInd/>
              <w:snapToGrid/>
              <w:spacing w:line="360" w:lineRule="exact"/>
              <w:textAlignment w:val="auto"/>
              <w:rPr>
                <w:rFonts w:ascii="仿宋" w:hAnsi="仿宋" w:eastAsia="仿宋" w:cs="宋体"/>
                <w:color w:val="auto"/>
                <w:sz w:val="20"/>
                <w:szCs w:val="20"/>
              </w:rPr>
            </w:pPr>
            <w:r>
              <w:rPr>
                <w:rFonts w:hint="eastAsia" w:ascii="宋体" w:hAnsi="宋体" w:eastAsia="宋体" w:cs="宋体"/>
                <w:b/>
                <w:bCs/>
                <w:sz w:val="21"/>
                <w:szCs w:val="21"/>
                <w:lang w:val="en-US" w:eastAsia="zh-CN"/>
              </w:rPr>
              <w:t>交货期：</w:t>
            </w:r>
            <w:r>
              <w:rPr>
                <w:rFonts w:hint="eastAsia" w:ascii="宋体" w:hAnsi="宋体" w:eastAsia="宋体" w:cs="宋体"/>
                <w:b w:val="0"/>
                <w:bCs w:val="0"/>
                <w:sz w:val="21"/>
                <w:szCs w:val="21"/>
                <w:lang w:val="en-US" w:eastAsia="zh-CN"/>
              </w:rPr>
              <w:t>自合同签订之日起20天内完成交货并安装调试完毕。</w:t>
            </w:r>
          </w:p>
        </w:tc>
        <w:tc>
          <w:tcPr>
            <w:tcW w:w="3677" w:type="dxa"/>
            <w:vAlign w:val="center"/>
          </w:tcPr>
          <w:p w14:paraId="575843D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316E3817">
            <w:pPr>
              <w:adjustRightInd w:val="0"/>
              <w:snapToGrid w:val="0"/>
              <w:spacing w:line="400" w:lineRule="exact"/>
              <w:jc w:val="center"/>
              <w:outlineLvl w:val="0"/>
              <w:rPr>
                <w:rFonts w:ascii="宋体" w:hAnsi="宋体"/>
                <w:color w:val="FF0000"/>
                <w:szCs w:val="21"/>
              </w:rPr>
            </w:pPr>
            <w:r>
              <w:rPr>
                <w:rFonts w:hint="eastAsia" w:ascii="宋体" w:hAnsi="宋体" w:eastAsia="宋体" w:cs="Times New Roman"/>
                <w:color w:val="FF0000"/>
                <w:szCs w:val="21"/>
                <w:highlight w:val="none"/>
                <w:lang w:val="en-US" w:eastAsia="zh-CN"/>
              </w:rPr>
              <w:t>无</w:t>
            </w:r>
            <w:r>
              <w:rPr>
                <w:rFonts w:hint="eastAsia" w:ascii="Times New Roman" w:hAnsi="Times New Roman"/>
                <w:color w:val="FF0000"/>
                <w:szCs w:val="21"/>
                <w:highlight w:val="none"/>
                <w:lang w:val="en-US" w:eastAsia="zh-CN"/>
              </w:rPr>
              <w:t>偏离（负偏离或正偏离）</w:t>
            </w:r>
          </w:p>
        </w:tc>
      </w:tr>
      <w:tr w14:paraId="55ECB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85" w:hRule="atLeast"/>
          <w:jc w:val="center"/>
        </w:trPr>
        <w:tc>
          <w:tcPr>
            <w:tcW w:w="545" w:type="dxa"/>
            <w:vAlign w:val="center"/>
          </w:tcPr>
          <w:p w14:paraId="2CFB7FC1">
            <w:pPr>
              <w:adjustRightInd w:val="0"/>
              <w:snapToGrid w:val="0"/>
              <w:spacing w:line="400" w:lineRule="exact"/>
              <w:jc w:val="center"/>
              <w:outlineLvl w:val="0"/>
              <w:rPr>
                <w:rFonts w:ascii="宋体" w:hAnsi="宋体"/>
                <w:color w:val="auto"/>
                <w:szCs w:val="21"/>
              </w:rPr>
            </w:pPr>
            <w:bookmarkStart w:id="13" w:name="_Toc25531"/>
            <w:bookmarkStart w:id="14" w:name="_Toc5989"/>
            <w:r>
              <w:rPr>
                <w:rFonts w:hint="eastAsia" w:ascii="宋体" w:hAnsi="宋体"/>
                <w:color w:val="auto"/>
                <w:szCs w:val="21"/>
              </w:rPr>
              <w:t>3</w:t>
            </w:r>
            <w:bookmarkEnd w:id="13"/>
            <w:bookmarkEnd w:id="14"/>
          </w:p>
        </w:tc>
        <w:tc>
          <w:tcPr>
            <w:tcW w:w="3793" w:type="dxa"/>
            <w:vAlign w:val="center"/>
          </w:tcPr>
          <w:p w14:paraId="1619EA78">
            <w:pPr>
              <w:rPr>
                <w:rFonts w:ascii="仿宋" w:hAnsi="仿宋" w:eastAsia="仿宋"/>
                <w:color w:val="auto"/>
                <w:sz w:val="20"/>
                <w:szCs w:val="20"/>
              </w:rPr>
            </w:pPr>
            <w:r>
              <w:rPr>
                <w:rFonts w:hint="eastAsia"/>
                <w:b/>
                <w:bCs/>
                <w:color w:val="auto"/>
                <w:sz w:val="21"/>
                <w:szCs w:val="21"/>
                <w:highlight w:val="none"/>
                <w:lang w:val="en-US" w:eastAsia="zh-CN"/>
              </w:rPr>
              <w:t>交货地点：</w:t>
            </w:r>
            <w:r>
              <w:rPr>
                <w:rFonts w:hint="eastAsia"/>
                <w:b w:val="0"/>
                <w:bCs w:val="0"/>
                <w:color w:val="auto"/>
                <w:sz w:val="21"/>
                <w:szCs w:val="21"/>
                <w:highlight w:val="none"/>
                <w:lang w:val="en-US" w:eastAsia="zh-CN"/>
              </w:rPr>
              <w:t>南宁中心血站指定地点。</w:t>
            </w:r>
            <w:r>
              <w:rPr>
                <w:rFonts w:hint="eastAsia" w:ascii="宋体" w:hAnsi="宋体"/>
                <w:bCs/>
                <w:szCs w:val="24"/>
                <w:u w:val="none"/>
              </w:rPr>
              <w:t xml:space="preserve"> </w:t>
            </w:r>
          </w:p>
        </w:tc>
        <w:tc>
          <w:tcPr>
            <w:tcW w:w="3677" w:type="dxa"/>
            <w:vAlign w:val="center"/>
          </w:tcPr>
          <w:p w14:paraId="706C11E8">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60250224">
            <w:pPr>
              <w:adjustRightInd w:val="0"/>
              <w:snapToGrid w:val="0"/>
              <w:spacing w:line="400" w:lineRule="exact"/>
              <w:jc w:val="center"/>
              <w:outlineLvl w:val="0"/>
              <w:rPr>
                <w:rFonts w:ascii="宋体" w:hAnsi="宋体"/>
                <w:color w:val="FF0000"/>
                <w:szCs w:val="21"/>
              </w:rPr>
            </w:pPr>
            <w:r>
              <w:rPr>
                <w:rFonts w:hint="eastAsia" w:ascii="宋体" w:hAnsi="宋体" w:eastAsia="宋体" w:cs="Times New Roman"/>
                <w:color w:val="FF0000"/>
                <w:szCs w:val="21"/>
                <w:highlight w:val="none"/>
                <w:lang w:val="en-US" w:eastAsia="zh-CN"/>
              </w:rPr>
              <w:t>无偏离（负偏离或正偏离）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395" w:hRule="atLeast"/>
          <w:jc w:val="center"/>
        </w:trPr>
        <w:tc>
          <w:tcPr>
            <w:tcW w:w="545" w:type="dxa"/>
            <w:vAlign w:val="center"/>
          </w:tcPr>
          <w:p w14:paraId="67DD286B">
            <w:pPr>
              <w:adjustRightInd w:val="0"/>
              <w:snapToGrid w:val="0"/>
              <w:spacing w:line="400" w:lineRule="exact"/>
              <w:jc w:val="center"/>
              <w:outlineLvl w:val="0"/>
              <w:rPr>
                <w:rFonts w:ascii="宋体" w:hAnsi="宋体"/>
                <w:color w:val="auto"/>
                <w:szCs w:val="21"/>
              </w:rPr>
            </w:pPr>
            <w:bookmarkStart w:id="15" w:name="_Toc24579"/>
            <w:bookmarkStart w:id="16" w:name="_Toc29620"/>
            <w:r>
              <w:rPr>
                <w:rFonts w:hint="eastAsia" w:ascii="宋体" w:hAnsi="宋体"/>
                <w:color w:val="auto"/>
                <w:szCs w:val="21"/>
              </w:rPr>
              <w:t>4</w:t>
            </w:r>
            <w:bookmarkEnd w:id="15"/>
            <w:bookmarkEnd w:id="16"/>
          </w:p>
        </w:tc>
        <w:tc>
          <w:tcPr>
            <w:tcW w:w="3793" w:type="dxa"/>
            <w:vAlign w:val="center"/>
          </w:tcPr>
          <w:p w14:paraId="7C72CD79">
            <w:pPr>
              <w:rPr>
                <w:rFonts w:ascii="仿宋" w:hAnsi="仿宋" w:eastAsia="仿宋"/>
                <w:bCs/>
                <w:color w:val="auto"/>
                <w:sz w:val="20"/>
                <w:szCs w:val="20"/>
              </w:rPr>
            </w:pPr>
            <w:r>
              <w:rPr>
                <w:rFonts w:hint="eastAsia" w:ascii="宋体" w:hAnsi="宋体" w:eastAsia="宋体" w:cs="宋体"/>
                <w:b/>
                <w:bCs/>
                <w:color w:val="auto"/>
                <w:sz w:val="21"/>
                <w:szCs w:val="21"/>
              </w:rPr>
              <w:t>交货方式：</w:t>
            </w:r>
            <w:r>
              <w:rPr>
                <w:rFonts w:hint="eastAsia" w:ascii="宋体" w:hAnsi="宋体" w:eastAsia="宋体" w:cs="宋体"/>
                <w:b w:val="0"/>
                <w:bCs w:val="0"/>
                <w:color w:val="auto"/>
                <w:sz w:val="21"/>
                <w:szCs w:val="21"/>
              </w:rPr>
              <w:t>现场交货。</w:t>
            </w:r>
          </w:p>
        </w:tc>
        <w:tc>
          <w:tcPr>
            <w:tcW w:w="3677"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6D6F79E3">
            <w:pPr>
              <w:adjustRightInd w:val="0"/>
              <w:snapToGrid w:val="0"/>
              <w:spacing w:line="400" w:lineRule="exact"/>
              <w:jc w:val="center"/>
              <w:outlineLvl w:val="0"/>
              <w:rPr>
                <w:rFonts w:ascii="宋体" w:hAnsi="宋体"/>
                <w:color w:val="FF0000"/>
                <w:szCs w:val="21"/>
              </w:rPr>
            </w:pPr>
            <w:r>
              <w:rPr>
                <w:rFonts w:hint="eastAsia" w:ascii="宋体" w:hAnsi="宋体" w:eastAsia="宋体" w:cs="Times New Roman"/>
                <w:color w:val="FF0000"/>
                <w:szCs w:val="21"/>
                <w:highlight w:val="none"/>
                <w:lang w:val="en-US" w:eastAsia="zh-CN"/>
              </w:rPr>
              <w:t>无偏离（负偏离或正偏离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545" w:type="dxa"/>
            <w:vAlign w:val="center"/>
          </w:tcPr>
          <w:p w14:paraId="4D549480">
            <w:pPr>
              <w:adjustRightInd w:val="0"/>
              <w:snapToGrid w:val="0"/>
              <w:spacing w:line="400" w:lineRule="exact"/>
              <w:jc w:val="center"/>
              <w:outlineLvl w:val="0"/>
              <w:rPr>
                <w:rFonts w:ascii="宋体" w:hAnsi="宋体"/>
                <w:color w:val="auto"/>
                <w:szCs w:val="21"/>
              </w:rPr>
            </w:pPr>
            <w:bookmarkStart w:id="17" w:name="_Toc28228"/>
            <w:bookmarkStart w:id="18" w:name="_Toc24401"/>
            <w:r>
              <w:rPr>
                <w:rFonts w:hint="eastAsia" w:ascii="宋体" w:hAnsi="宋体"/>
                <w:color w:val="auto"/>
                <w:szCs w:val="21"/>
              </w:rPr>
              <w:t>5</w:t>
            </w:r>
            <w:bookmarkEnd w:id="17"/>
            <w:bookmarkEnd w:id="18"/>
          </w:p>
        </w:tc>
        <w:tc>
          <w:tcPr>
            <w:tcW w:w="3793" w:type="dxa"/>
            <w:vAlign w:val="center"/>
          </w:tcPr>
          <w:p w14:paraId="37527D9A">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cs="宋体"/>
                <w:b/>
                <w:bCs/>
                <w:sz w:val="21"/>
                <w:szCs w:val="21"/>
                <w:lang w:val="en-US" w:eastAsia="zh-CN"/>
              </w:rPr>
            </w:pPr>
            <w:r>
              <w:rPr>
                <w:rFonts w:hint="eastAsia" w:ascii="宋体" w:hAnsi="宋体" w:cs="宋体"/>
                <w:b/>
                <w:bCs/>
                <w:sz w:val="21"/>
                <w:szCs w:val="21"/>
                <w:lang w:val="en-US" w:eastAsia="zh-CN"/>
              </w:rPr>
              <w:t>售后服务及要求：</w:t>
            </w:r>
          </w:p>
          <w:p w14:paraId="5E43B3E2">
            <w:pPr>
              <w:pStyle w:val="9"/>
              <w:numPr>
                <w:ilvl w:val="0"/>
                <w:numId w:val="0"/>
              </w:numPr>
              <w:bidi w:val="0"/>
              <w:rPr>
                <w:rFonts w:hint="eastAsia"/>
              </w:rPr>
            </w:pPr>
            <w:r>
              <w:rPr>
                <w:rFonts w:hint="eastAsia" w:ascii="宋体" w:hAnsi="Courier New" w:eastAsiaTheme="minorEastAsia" w:cstheme="minorBidi"/>
                <w:kern w:val="2"/>
                <w:sz w:val="21"/>
                <w:szCs w:val="20"/>
                <w:lang w:val="en-US" w:eastAsia="zh-CN" w:bidi="ar-SA"/>
              </w:rPr>
              <w:t>1、</w:t>
            </w:r>
            <w:r>
              <w:rPr>
                <w:rFonts w:hint="eastAsia"/>
              </w:rPr>
              <w:t>按国家有关产品“三包”规定执行“三包”</w:t>
            </w:r>
            <w:r>
              <w:rPr>
                <w:rFonts w:hint="eastAsia"/>
                <w:color w:val="auto"/>
              </w:rPr>
              <w:t>，质量保证期</w:t>
            </w:r>
            <w:r>
              <w:rPr>
                <w:rFonts w:hint="eastAsia"/>
                <w:color w:val="auto"/>
                <w:lang w:val="en-US" w:eastAsia="zh-CN"/>
              </w:rPr>
              <w:t>1</w:t>
            </w:r>
            <w:r>
              <w:rPr>
                <w:rFonts w:hint="eastAsia"/>
                <w:color w:val="auto"/>
              </w:rPr>
              <w:t>年，交货验</w:t>
            </w:r>
            <w:r>
              <w:rPr>
                <w:rFonts w:hint="eastAsia"/>
              </w:rPr>
              <w:t>收合格之日起计。</w:t>
            </w:r>
          </w:p>
          <w:p w14:paraId="1570D799">
            <w:pPr>
              <w:pStyle w:val="9"/>
              <w:numPr>
                <w:ilvl w:val="0"/>
                <w:numId w:val="0"/>
              </w:numPr>
              <w:bidi w:val="0"/>
              <w:rPr>
                <w:rFonts w:hint="eastAsia"/>
              </w:rPr>
            </w:pPr>
            <w:r>
              <w:rPr>
                <w:rFonts w:hint="eastAsia" w:ascii="宋体" w:hAnsi="Courier New" w:eastAsiaTheme="minorEastAsia" w:cstheme="minorBidi"/>
                <w:kern w:val="2"/>
                <w:sz w:val="21"/>
                <w:szCs w:val="20"/>
                <w:lang w:val="en-US" w:eastAsia="zh-CN" w:bidi="ar-SA"/>
              </w:rPr>
              <w:t>2、</w:t>
            </w:r>
            <w:r>
              <w:rPr>
                <w:rFonts w:hint="eastAsia"/>
              </w:rPr>
              <w:t>在质量保证期内提供保修服务，保修服务具体如下:产品出现非</w:t>
            </w:r>
            <w:r>
              <w:rPr>
                <w:rFonts w:hint="eastAsia"/>
                <w:lang w:val="en-US" w:eastAsia="zh-CN"/>
              </w:rPr>
              <w:t>采购人</w:t>
            </w:r>
            <w:r>
              <w:rPr>
                <w:rFonts w:hint="eastAsia"/>
              </w:rPr>
              <w:t>人为原因故障，</w:t>
            </w:r>
            <w:r>
              <w:rPr>
                <w:rFonts w:hint="eastAsia"/>
                <w:lang w:val="en-US" w:eastAsia="zh-CN"/>
              </w:rPr>
              <w:t>成交供应商</w:t>
            </w:r>
            <w:r>
              <w:rPr>
                <w:rFonts w:hint="eastAsia"/>
              </w:rPr>
              <w:t>负责免费维修</w:t>
            </w:r>
            <w:r>
              <w:rPr>
                <w:rFonts w:hint="eastAsia"/>
                <w:lang w:eastAsia="zh-CN"/>
              </w:rPr>
              <w:t>；</w:t>
            </w:r>
            <w:r>
              <w:rPr>
                <w:rFonts w:hint="eastAsia"/>
              </w:rPr>
              <w:t>属于采购</w:t>
            </w:r>
            <w:r>
              <w:rPr>
                <w:rFonts w:hint="eastAsia"/>
                <w:lang w:val="en-US" w:eastAsia="zh-CN"/>
              </w:rPr>
              <w:t>人</w:t>
            </w:r>
            <w:r>
              <w:rPr>
                <w:rFonts w:hint="eastAsia"/>
              </w:rPr>
              <w:t>责任事故造成的产品故障，</w:t>
            </w:r>
            <w:r>
              <w:rPr>
                <w:rFonts w:hint="eastAsia"/>
                <w:lang w:val="en-US" w:eastAsia="zh-CN"/>
              </w:rPr>
              <w:t>成交供应商</w:t>
            </w:r>
            <w:r>
              <w:rPr>
                <w:rFonts w:hint="eastAsia"/>
              </w:rPr>
              <w:t>负责维修，费用由采购</w:t>
            </w:r>
            <w:r>
              <w:rPr>
                <w:rFonts w:hint="eastAsia"/>
                <w:lang w:val="en-US" w:eastAsia="zh-CN"/>
              </w:rPr>
              <w:t>人</w:t>
            </w:r>
            <w:r>
              <w:rPr>
                <w:rFonts w:hint="eastAsia"/>
              </w:rPr>
              <w:t>承担。</w:t>
            </w:r>
          </w:p>
          <w:p w14:paraId="33AC359A">
            <w:pPr>
              <w:pStyle w:val="9"/>
              <w:numPr>
                <w:ilvl w:val="0"/>
                <w:numId w:val="0"/>
              </w:numPr>
              <w:bidi w:val="0"/>
              <w:rPr>
                <w:rFonts w:ascii="仿宋" w:hAnsi="仿宋" w:eastAsia="仿宋"/>
                <w:bCs/>
                <w:color w:val="auto"/>
                <w:sz w:val="20"/>
                <w:szCs w:val="20"/>
              </w:rPr>
            </w:pPr>
            <w:r>
              <w:rPr>
                <w:rFonts w:hint="eastAsia" w:ascii="宋体" w:hAnsi="Courier New" w:eastAsiaTheme="minorEastAsia" w:cstheme="minorBidi"/>
                <w:kern w:val="2"/>
                <w:sz w:val="21"/>
                <w:szCs w:val="20"/>
                <w:lang w:val="en-US" w:eastAsia="zh-CN" w:bidi="ar-SA"/>
              </w:rPr>
              <w:t>3、</w:t>
            </w:r>
            <w:r>
              <w:rPr>
                <w:rFonts w:hint="eastAsia"/>
                <w:lang w:val="en-US" w:eastAsia="zh-CN"/>
              </w:rPr>
              <w:t>故障</w:t>
            </w:r>
            <w:r>
              <w:rPr>
                <w:rFonts w:hint="eastAsia"/>
              </w:rPr>
              <w:t>响应时间：送货到</w:t>
            </w:r>
            <w:r>
              <w:rPr>
                <w:rFonts w:hint="eastAsia"/>
                <w:lang w:val="en-US" w:eastAsia="zh-CN"/>
              </w:rPr>
              <w:t>采购人</w:t>
            </w:r>
            <w:r>
              <w:rPr>
                <w:rFonts w:hint="eastAsia"/>
              </w:rPr>
              <w:t>指定位置并安装，提供24小时服务电话。接到采购人维修电话或传真，如出现故障，12小时内</w:t>
            </w:r>
            <w:r>
              <w:rPr>
                <w:rFonts w:hint="eastAsia"/>
                <w:lang w:val="en-US" w:eastAsia="zh-CN"/>
              </w:rPr>
              <w:t>响应并给出解决方案</w:t>
            </w:r>
            <w:r>
              <w:rPr>
                <w:rFonts w:hint="eastAsia"/>
              </w:rPr>
              <w:t>。</w:t>
            </w:r>
          </w:p>
        </w:tc>
        <w:tc>
          <w:tcPr>
            <w:tcW w:w="3677"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0D64C908">
            <w:pPr>
              <w:adjustRightInd w:val="0"/>
              <w:snapToGrid w:val="0"/>
              <w:spacing w:line="400" w:lineRule="exact"/>
              <w:jc w:val="center"/>
              <w:outlineLvl w:val="0"/>
              <w:rPr>
                <w:rFonts w:ascii="宋体" w:hAnsi="宋体"/>
                <w:color w:val="FF0000"/>
                <w:szCs w:val="21"/>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r w14:paraId="368AAEF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810" w:hRule="atLeast"/>
          <w:jc w:val="center"/>
        </w:trPr>
        <w:tc>
          <w:tcPr>
            <w:tcW w:w="545" w:type="dxa"/>
            <w:vAlign w:val="center"/>
          </w:tcPr>
          <w:p w14:paraId="5858F8D2">
            <w:pPr>
              <w:adjustRightInd w:val="0"/>
              <w:snapToGrid w:val="0"/>
              <w:spacing w:line="400" w:lineRule="exact"/>
              <w:jc w:val="center"/>
              <w:outlineLvl w:val="0"/>
              <w:rPr>
                <w:rFonts w:hint="eastAsia" w:ascii="宋体" w:hAnsi="宋体" w:eastAsiaTheme="minorEastAsia"/>
                <w:color w:val="auto"/>
                <w:szCs w:val="21"/>
                <w:lang w:val="en-US" w:eastAsia="zh-CN"/>
              </w:rPr>
            </w:pPr>
            <w:r>
              <w:rPr>
                <w:rFonts w:hint="eastAsia" w:ascii="宋体" w:hAnsi="宋体"/>
                <w:color w:val="auto"/>
                <w:szCs w:val="21"/>
                <w:lang w:val="en-US" w:eastAsia="zh-CN"/>
              </w:rPr>
              <w:t>6</w:t>
            </w:r>
          </w:p>
        </w:tc>
        <w:tc>
          <w:tcPr>
            <w:tcW w:w="3793" w:type="dxa"/>
            <w:vAlign w:val="center"/>
          </w:tcPr>
          <w:p w14:paraId="22C2A5DC">
            <w:pPr>
              <w:pStyle w:val="12"/>
              <w:rPr>
                <w:rFonts w:hint="eastAsia" w:ascii="宋体" w:hAnsi="宋体" w:cs="宋体"/>
                <w:b/>
                <w:bCs/>
                <w:sz w:val="21"/>
                <w:szCs w:val="21"/>
                <w:lang w:val="en-US" w:eastAsia="zh-CN"/>
              </w:rPr>
            </w:pPr>
            <w:r>
              <w:rPr>
                <w:rFonts w:hint="eastAsia" w:ascii="宋体" w:hAnsi="宋体" w:cs="宋体"/>
                <w:b/>
                <w:bCs/>
                <w:sz w:val="21"/>
                <w:szCs w:val="21"/>
                <w:lang w:val="en-US" w:eastAsia="zh-CN"/>
              </w:rPr>
              <w:t>其他要求：</w:t>
            </w:r>
          </w:p>
          <w:p w14:paraId="36A414E6">
            <w:pPr>
              <w:spacing w:line="276" w:lineRule="auto"/>
              <w:rPr>
                <w:rFonts w:asciiTheme="minorEastAsia" w:hAnsiTheme="minorEastAsia" w:cstheme="minorEastAsia"/>
              </w:rPr>
            </w:pPr>
            <w:r>
              <w:rPr>
                <w:rFonts w:hint="eastAsia" w:asciiTheme="minorEastAsia" w:hAnsiTheme="minorEastAsia" w:cstheme="minorEastAsia"/>
              </w:rPr>
              <w:t>1、报价必须含以下部分，包括：</w:t>
            </w:r>
          </w:p>
          <w:p w14:paraId="40D3D019">
            <w:pPr>
              <w:spacing w:line="276" w:lineRule="auto"/>
              <w:rPr>
                <w:rFonts w:asciiTheme="minorEastAsia" w:hAnsiTheme="minorEastAsia" w:cstheme="minorEastAsia"/>
              </w:rPr>
            </w:pPr>
            <w:r>
              <w:rPr>
                <w:rFonts w:hint="eastAsia" w:asciiTheme="minorEastAsia" w:hAnsiTheme="minorEastAsia" w:cstheme="minorEastAsia"/>
              </w:rPr>
              <w:t>（1）要求货物是全新、未经改装、合格、满足本项目技术需求及要求的货物。所有零部件、配件必须是未经使用的全新的并符合国家有关质量安全标准的产品。</w:t>
            </w:r>
          </w:p>
          <w:p w14:paraId="6329260F">
            <w:pPr>
              <w:spacing w:line="276" w:lineRule="auto"/>
              <w:rPr>
                <w:rFonts w:asciiTheme="minorEastAsia" w:hAnsiTheme="minorEastAsia" w:cstheme="minorEastAsia"/>
              </w:rPr>
            </w:pPr>
            <w:r>
              <w:rPr>
                <w:rFonts w:hint="eastAsia" w:asciiTheme="minorEastAsia" w:hAnsiTheme="minorEastAsia" w:cstheme="minorEastAsia"/>
              </w:rPr>
              <w:t>（2）投标报价为采购人指定地点的现场交货价，包括：</w:t>
            </w:r>
          </w:p>
          <w:p w14:paraId="707D507B">
            <w:pPr>
              <w:spacing w:line="276" w:lineRule="auto"/>
              <w:rPr>
                <w:rFonts w:asciiTheme="minorEastAsia" w:hAnsiTheme="minorEastAsia" w:cstheme="minorEastAsia"/>
              </w:rPr>
            </w:pPr>
            <w:r>
              <w:rPr>
                <w:rFonts w:hint="eastAsia" w:asciiTheme="minorEastAsia" w:hAnsiTheme="minorEastAsia" w:cstheme="minorEastAsia"/>
              </w:rPr>
              <w:t>①货物的价格；</w:t>
            </w:r>
          </w:p>
          <w:p w14:paraId="469BA925">
            <w:pPr>
              <w:spacing w:line="276" w:lineRule="auto"/>
              <w:rPr>
                <w:rFonts w:asciiTheme="minorEastAsia" w:hAnsiTheme="minorEastAsia" w:cstheme="minorEastAsia"/>
              </w:rPr>
            </w:pPr>
            <w:r>
              <w:rPr>
                <w:rFonts w:hint="eastAsia" w:asciiTheme="minorEastAsia" w:hAnsiTheme="minorEastAsia" w:cstheme="minorEastAsia"/>
              </w:rPr>
              <w:t>②货物的标准配件附件、备品备件、专用工具、包装的价格；</w:t>
            </w:r>
          </w:p>
          <w:p w14:paraId="0C0927F4">
            <w:pPr>
              <w:widowControl/>
              <w:spacing w:line="276" w:lineRule="auto"/>
              <w:rPr>
                <w:rFonts w:asciiTheme="minorEastAsia" w:hAnsiTheme="minorEastAsia" w:cstheme="minorEastAsia"/>
              </w:rPr>
            </w:pPr>
            <w:r>
              <w:rPr>
                <w:rFonts w:hint="eastAsia" w:asciiTheme="minorEastAsia" w:hAnsiTheme="minorEastAsia" w:cstheme="minorEastAsia"/>
              </w:rPr>
              <w:t>③安装调试过程中涉及的材料和工具、运输、货到就位、保管、装卸、调试、技术支持、售后服务等费用；</w:t>
            </w:r>
          </w:p>
          <w:p w14:paraId="733CEA6F">
            <w:pPr>
              <w:widowControl/>
              <w:spacing w:line="276" w:lineRule="auto"/>
              <w:rPr>
                <w:rFonts w:asciiTheme="minorEastAsia" w:hAnsiTheme="minorEastAsia" w:cstheme="minorEastAsia"/>
              </w:rPr>
            </w:pPr>
            <w:r>
              <w:rPr>
                <w:rFonts w:hint="eastAsia" w:asciiTheme="minorEastAsia" w:hAnsiTheme="minorEastAsia" w:cstheme="minorEastAsia"/>
              </w:rPr>
              <w:t>④必要的保险费用和各项税费；</w:t>
            </w:r>
          </w:p>
          <w:p w14:paraId="6121BA39">
            <w:pPr>
              <w:widowControl/>
              <w:spacing w:line="276" w:lineRule="auto"/>
              <w:rPr>
                <w:rFonts w:asciiTheme="minorEastAsia" w:hAnsiTheme="minorEastAsia" w:cstheme="minorEastAsia"/>
              </w:rPr>
            </w:pPr>
            <w:r>
              <w:rPr>
                <w:rFonts w:hint="eastAsia" w:asciiTheme="minorEastAsia" w:hAnsiTheme="minorEastAsia" w:cstheme="minorEastAsia"/>
              </w:rPr>
              <w:t>⑤送货上门、安装、培训（含教材费、场地租用费）的费用；</w:t>
            </w:r>
          </w:p>
          <w:p w14:paraId="7B3DB3AD">
            <w:pPr>
              <w:widowControl/>
              <w:spacing w:line="276" w:lineRule="auto"/>
              <w:rPr>
                <w:rFonts w:hint="eastAsia" w:asciiTheme="minorEastAsia" w:hAnsiTheme="minorEastAsia" w:eastAsiaTheme="minorEastAsia" w:cstheme="minorEastAsia"/>
                <w:lang w:eastAsia="zh-CN"/>
              </w:rPr>
            </w:pPr>
            <w:r>
              <w:rPr>
                <w:rFonts w:hint="eastAsia" w:asciiTheme="minorEastAsia" w:hAnsiTheme="minorEastAsia" w:cstheme="minorEastAsia"/>
              </w:rPr>
              <w:t>⑥质保期内的维修费用和相关技术服务费</w:t>
            </w:r>
            <w:r>
              <w:rPr>
                <w:rFonts w:hint="eastAsia" w:asciiTheme="minorEastAsia" w:hAnsiTheme="minorEastAsia" w:cstheme="minorEastAsia"/>
                <w:lang w:eastAsia="zh-CN"/>
              </w:rPr>
              <w:t>。</w:t>
            </w:r>
          </w:p>
          <w:p w14:paraId="276C61A3">
            <w:pPr>
              <w:widowControl/>
              <w:spacing w:line="276" w:lineRule="auto"/>
              <w:rPr>
                <w:rFonts w:ascii="仿宋" w:hAnsi="仿宋" w:eastAsia="仿宋"/>
                <w:bCs/>
                <w:color w:val="auto"/>
                <w:sz w:val="20"/>
                <w:szCs w:val="20"/>
              </w:rPr>
            </w:pPr>
            <w:r>
              <w:rPr>
                <w:rFonts w:hint="eastAsia" w:asciiTheme="minorEastAsia" w:hAnsiTheme="minorEastAsia" w:cstheme="minorEastAsia"/>
              </w:rPr>
              <w:t>2、付款方式：成交供应商交货安装并调试完成，经</w:t>
            </w:r>
            <w:r>
              <w:rPr>
                <w:rFonts w:hint="eastAsia" w:asciiTheme="minorEastAsia" w:hAnsiTheme="minorEastAsia" w:cstheme="minorEastAsia"/>
                <w:highlight w:val="none"/>
              </w:rPr>
              <w:t>采购人验收合格后一次性支付合同款（付款前成交供应商须提供等额合规的增值税</w:t>
            </w:r>
            <w:r>
              <w:rPr>
                <w:rFonts w:hint="eastAsia" w:asciiTheme="minorEastAsia" w:hAnsiTheme="minorEastAsia" w:cstheme="minorEastAsia"/>
                <w:highlight w:val="none"/>
                <w:lang w:val="en-US" w:eastAsia="zh-CN"/>
              </w:rPr>
              <w:t>普通</w:t>
            </w:r>
            <w:r>
              <w:rPr>
                <w:rFonts w:hint="eastAsia" w:asciiTheme="minorEastAsia" w:hAnsiTheme="minorEastAsia" w:cstheme="minorEastAsia"/>
                <w:highlight w:val="none"/>
              </w:rPr>
              <w:t>发票）。</w:t>
            </w:r>
          </w:p>
        </w:tc>
        <w:tc>
          <w:tcPr>
            <w:tcW w:w="3677" w:type="dxa"/>
            <w:vAlign w:val="center"/>
          </w:tcPr>
          <w:p w14:paraId="1E9CAB75">
            <w:pPr>
              <w:adjustRightInd w:val="0"/>
              <w:snapToGrid w:val="0"/>
              <w:spacing w:line="400" w:lineRule="exact"/>
              <w:jc w:val="center"/>
              <w:outlineLvl w:val="0"/>
              <w:rPr>
                <w:rFonts w:hint="eastAsia" w:asciiTheme="minorEastAsia" w:hAnsiTheme="minorEastAsia" w:cstheme="minorEastAsia"/>
                <w:color w:val="FF0000"/>
                <w:szCs w:val="21"/>
              </w:rPr>
            </w:pPr>
            <w:r>
              <w:rPr>
                <w:rFonts w:hint="eastAsia" w:asciiTheme="minorEastAsia" w:hAnsiTheme="minorEastAsia" w:cstheme="minorEastAsia"/>
                <w:color w:val="FF0000"/>
                <w:szCs w:val="21"/>
              </w:rPr>
              <w:t>请填入贵单位响应的内容。</w:t>
            </w:r>
          </w:p>
        </w:tc>
        <w:tc>
          <w:tcPr>
            <w:tcW w:w="1067" w:type="dxa"/>
            <w:vAlign w:val="center"/>
          </w:tcPr>
          <w:p w14:paraId="6B962771">
            <w:pPr>
              <w:adjustRightInd w:val="0"/>
              <w:snapToGrid w:val="0"/>
              <w:spacing w:line="400" w:lineRule="exact"/>
              <w:jc w:val="center"/>
              <w:outlineLvl w:val="0"/>
              <w:rPr>
                <w:rFonts w:hint="eastAsia" w:ascii="宋体" w:hAnsi="宋体"/>
                <w:color w:val="FF0000"/>
                <w:szCs w:val="21"/>
                <w:lang w:val="en-US" w:eastAsia="zh-CN"/>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r w14:paraId="0E1B6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12" w:hRule="atLeast"/>
          <w:jc w:val="center"/>
        </w:trPr>
        <w:tc>
          <w:tcPr>
            <w:tcW w:w="545" w:type="dxa"/>
            <w:vAlign w:val="center"/>
          </w:tcPr>
          <w:p w14:paraId="027B4E57">
            <w:pPr>
              <w:adjustRightInd w:val="0"/>
              <w:snapToGrid w:val="0"/>
              <w:spacing w:line="400" w:lineRule="exact"/>
              <w:jc w:val="center"/>
              <w:outlineLvl w:val="0"/>
              <w:rPr>
                <w:rFonts w:hint="eastAsia" w:ascii="宋体" w:hAnsi="宋体" w:eastAsiaTheme="minorEastAsia"/>
                <w:color w:val="auto"/>
                <w:szCs w:val="21"/>
                <w:lang w:val="en-US" w:eastAsia="zh-CN"/>
              </w:rPr>
            </w:pPr>
            <w:r>
              <w:rPr>
                <w:rFonts w:hint="eastAsia" w:ascii="宋体" w:hAnsi="宋体"/>
                <w:color w:val="auto"/>
                <w:szCs w:val="21"/>
                <w:lang w:val="en-US" w:eastAsia="zh-CN"/>
              </w:rPr>
              <w:t>7</w:t>
            </w:r>
          </w:p>
        </w:tc>
        <w:tc>
          <w:tcPr>
            <w:tcW w:w="3793" w:type="dxa"/>
            <w:vAlign w:val="center"/>
          </w:tcPr>
          <w:p w14:paraId="657CC5D3">
            <w:pPr>
              <w:spacing w:line="420" w:lineRule="exact"/>
              <w:rPr>
                <w:rFonts w:hint="eastAsia" w:ascii="宋体" w:hAnsi="宋体" w:cs="宋体"/>
                <w:b/>
                <w:bCs/>
                <w:sz w:val="21"/>
                <w:szCs w:val="21"/>
                <w:lang w:val="en-US" w:eastAsia="zh-CN"/>
              </w:rPr>
            </w:pPr>
            <w:r>
              <w:rPr>
                <w:rFonts w:hint="eastAsia" w:ascii="宋体" w:hAnsi="宋体" w:cs="宋体"/>
                <w:b/>
                <w:bCs/>
                <w:sz w:val="21"/>
                <w:szCs w:val="21"/>
                <w:lang w:val="en-US" w:eastAsia="zh-CN"/>
              </w:rPr>
              <w:t>验收标准、规范：</w:t>
            </w:r>
          </w:p>
          <w:p w14:paraId="0B0A71E9">
            <w:pPr>
              <w:widowControl/>
              <w:spacing w:line="276" w:lineRule="auto"/>
              <w:rPr>
                <w:rFonts w:asciiTheme="minorEastAsia" w:hAnsiTheme="minorEastAsia" w:cstheme="minorEastAsia"/>
              </w:rPr>
            </w:pPr>
            <w:r>
              <w:rPr>
                <w:rFonts w:hint="eastAsia" w:asciiTheme="minorEastAsia" w:hAnsiTheme="minorEastAsia" w:cstheme="minorEastAsia"/>
              </w:rPr>
              <w:t>1、成交供应商所供货物必须是全新整套按国家或国际有关质量标准制造，且能满足本项目技术</w:t>
            </w:r>
            <w:r>
              <w:rPr>
                <w:rFonts w:hint="eastAsia" w:asciiTheme="minorEastAsia" w:hAnsiTheme="minorEastAsia" w:cstheme="minorEastAsia"/>
                <w:lang w:val="en-US" w:eastAsia="zh-CN"/>
              </w:rPr>
              <w:t>参数</w:t>
            </w:r>
            <w:r>
              <w:rPr>
                <w:rFonts w:hint="eastAsia" w:asciiTheme="minorEastAsia" w:hAnsiTheme="minorEastAsia" w:cstheme="minorEastAsia"/>
              </w:rPr>
              <w:t>。</w:t>
            </w:r>
          </w:p>
          <w:p w14:paraId="19523A86">
            <w:pPr>
              <w:widowControl/>
              <w:spacing w:line="276" w:lineRule="auto"/>
              <w:rPr>
                <w:rFonts w:asciiTheme="minorEastAsia" w:hAnsiTheme="minorEastAsia" w:cstheme="minorEastAsia"/>
              </w:rPr>
            </w:pPr>
            <w:r>
              <w:rPr>
                <w:rFonts w:hint="eastAsia" w:asciiTheme="minorEastAsia" w:hAnsiTheme="minorEastAsia" w:cstheme="minorEastAsia"/>
                <w:lang w:val="en-US" w:eastAsia="zh-CN"/>
              </w:rPr>
              <w:t>2</w:t>
            </w:r>
            <w:r>
              <w:rPr>
                <w:rFonts w:hint="eastAsia" w:asciiTheme="minorEastAsia" w:hAnsiTheme="minorEastAsia" w:cstheme="minorEastAsia"/>
              </w:rPr>
              <w:t>、成交供应商在货物验收时由采购人对照采购需求一览表中的技术参数全面核对检验，如不符合采购需求一览表中的技术</w:t>
            </w:r>
            <w:r>
              <w:rPr>
                <w:rFonts w:hint="eastAsia" w:asciiTheme="minorEastAsia" w:hAnsiTheme="minorEastAsia" w:cstheme="minorEastAsia"/>
                <w:lang w:val="en-US" w:eastAsia="zh-CN"/>
              </w:rPr>
              <w:t>参数</w:t>
            </w:r>
            <w:r>
              <w:rPr>
                <w:rFonts w:hint="eastAsia" w:asciiTheme="minorEastAsia" w:hAnsiTheme="minorEastAsia" w:cstheme="minorEastAsia"/>
              </w:rPr>
              <w:t>及要求以及提供虚假承诺的，按相关规定做退货处理及违约处理，成交供应商承担所有责任和费用，采购人保留进一步追究责任的权利。</w:t>
            </w:r>
          </w:p>
          <w:p w14:paraId="32ADF3D0">
            <w:pPr>
              <w:widowControl/>
              <w:spacing w:line="276" w:lineRule="auto"/>
              <w:rPr>
                <w:rFonts w:asciiTheme="minorEastAsia" w:hAnsiTheme="minorEastAsia" w:cstheme="minorEastAsia"/>
              </w:rPr>
            </w:pPr>
            <w:r>
              <w:rPr>
                <w:rFonts w:hint="eastAsia" w:asciiTheme="minorEastAsia" w:hAnsiTheme="minorEastAsia" w:cstheme="minorEastAsia"/>
                <w:lang w:val="en-US" w:eastAsia="zh-CN"/>
              </w:rPr>
              <w:t>3</w:t>
            </w:r>
            <w:r>
              <w:rPr>
                <w:rFonts w:hint="eastAsia" w:asciiTheme="minorEastAsia" w:hAnsiTheme="minorEastAsia" w:cstheme="minorEastAsia"/>
              </w:rPr>
              <w:t>、产品到达现场后，成交供应商应在采购人人员在场情况下当面开箱，共同清点、检查外观，作出开箱记录，双方签字确认。成交供应商保证货物到达采购人所在地完好无损，如有缺漏、损坏，由成交供应商负责调换、补齐或赔偿。</w:t>
            </w:r>
          </w:p>
          <w:p w14:paraId="7AE52C1C">
            <w:pPr>
              <w:widowControl/>
              <w:spacing w:line="276" w:lineRule="auto"/>
              <w:rPr>
                <w:rFonts w:asciiTheme="minorEastAsia" w:hAnsiTheme="minorEastAsia" w:cstheme="minorEastAsia"/>
              </w:rPr>
            </w:pPr>
            <w:r>
              <w:rPr>
                <w:rFonts w:hint="eastAsia" w:asciiTheme="minorEastAsia" w:hAnsiTheme="minorEastAsia" w:cstheme="minorEastAsia"/>
                <w:lang w:val="en-US" w:eastAsia="zh-CN"/>
              </w:rPr>
              <w:t>4</w:t>
            </w:r>
            <w:r>
              <w:rPr>
                <w:rFonts w:hint="eastAsia" w:asciiTheme="minorEastAsia" w:hAnsiTheme="minorEastAsia" w:cstheme="minorEastAsia"/>
              </w:rPr>
              <w:t>、成交供应商提供完备的技术或服务资料、装箱单和合格证等，并派遣专业人员进行现场安装调试。验收合格条件如下：</w:t>
            </w:r>
          </w:p>
          <w:p w14:paraId="3A862016">
            <w:pPr>
              <w:widowControl/>
              <w:spacing w:line="276" w:lineRule="auto"/>
              <w:rPr>
                <w:rFonts w:asciiTheme="minorEastAsia" w:hAnsiTheme="minorEastAsia" w:cstheme="minorEastAsia"/>
              </w:rPr>
            </w:pPr>
            <w:r>
              <w:rPr>
                <w:rFonts w:hint="eastAsia" w:asciiTheme="minorEastAsia" w:hAnsiTheme="minorEastAsia" w:cstheme="minorEastAsia"/>
              </w:rPr>
              <w:t>（1）货物的技术参数与响应文件中技术</w:t>
            </w:r>
            <w:r>
              <w:rPr>
                <w:rFonts w:hint="eastAsia" w:asciiTheme="minorEastAsia" w:hAnsiTheme="minorEastAsia" w:cstheme="minorEastAsia"/>
                <w:lang w:val="en-US" w:eastAsia="zh-CN"/>
              </w:rPr>
              <w:t>参数</w:t>
            </w:r>
            <w:r>
              <w:rPr>
                <w:rFonts w:hint="eastAsia" w:asciiTheme="minorEastAsia" w:hAnsiTheme="minorEastAsia" w:cstheme="minorEastAsia"/>
              </w:rPr>
              <w:t>偏离表或证明材料一致，性能或指标达到规定的标准。</w:t>
            </w:r>
          </w:p>
          <w:p w14:paraId="07732C97">
            <w:pPr>
              <w:widowControl/>
              <w:spacing w:line="276" w:lineRule="auto"/>
              <w:rPr>
                <w:rFonts w:asciiTheme="minorEastAsia" w:hAnsiTheme="minorEastAsia" w:cstheme="minorEastAsia"/>
              </w:rPr>
            </w:pPr>
            <w:r>
              <w:rPr>
                <w:rFonts w:hint="eastAsia" w:asciiTheme="minorEastAsia" w:hAnsiTheme="minorEastAsia" w:cstheme="minorEastAsia"/>
              </w:rPr>
              <w:t>（2）技术资料、装箱单、合格证等资料齐全。</w:t>
            </w:r>
          </w:p>
          <w:p w14:paraId="26B2F7D2">
            <w:pPr>
              <w:widowControl/>
              <w:spacing w:line="276" w:lineRule="auto"/>
              <w:rPr>
                <w:rFonts w:asciiTheme="minorEastAsia" w:hAnsiTheme="minorEastAsia" w:cstheme="minorEastAsia"/>
              </w:rPr>
            </w:pPr>
            <w:r>
              <w:rPr>
                <w:rFonts w:hint="eastAsia" w:asciiTheme="minorEastAsia" w:hAnsiTheme="minorEastAsia" w:cstheme="minorEastAsia"/>
              </w:rPr>
              <w:t>（3）在规定时间内完成交货及验收，并经采购人确认。</w:t>
            </w:r>
          </w:p>
          <w:p w14:paraId="119AB2B5">
            <w:pPr>
              <w:widowControl/>
              <w:spacing w:line="276" w:lineRule="auto"/>
              <w:rPr>
                <w:rFonts w:asciiTheme="minorEastAsia" w:hAnsiTheme="minorEastAsia" w:cstheme="minorEastAsia"/>
              </w:rPr>
            </w:pPr>
            <w:r>
              <w:rPr>
                <w:rFonts w:hint="eastAsia" w:asciiTheme="minorEastAsia" w:hAnsiTheme="minorEastAsia" w:cstheme="minorEastAsia"/>
                <w:lang w:val="en-US" w:eastAsia="zh-CN"/>
              </w:rPr>
              <w:t>5</w:t>
            </w:r>
            <w:r>
              <w:rPr>
                <w:rFonts w:hint="eastAsia" w:asciiTheme="minorEastAsia" w:hAnsiTheme="minorEastAsia" w:cstheme="minorEastAsia"/>
              </w:rPr>
              <w:t>、产品</w:t>
            </w:r>
            <w:r>
              <w:rPr>
                <w:rFonts w:hint="eastAsia" w:asciiTheme="minorEastAsia" w:hAnsiTheme="minorEastAsia" w:cstheme="minorEastAsia"/>
                <w:lang w:val="en-US" w:eastAsia="zh-CN"/>
              </w:rPr>
              <w:t>及</w:t>
            </w:r>
            <w:r>
              <w:rPr>
                <w:rFonts w:hint="eastAsia" w:asciiTheme="minorEastAsia" w:hAnsiTheme="minorEastAsia" w:cstheme="minorEastAsia"/>
              </w:rPr>
              <w:t>服务在安装调试并试用符合要求后，才作为最终验收。</w:t>
            </w:r>
          </w:p>
          <w:p w14:paraId="346D4C24">
            <w:pPr>
              <w:spacing w:line="420" w:lineRule="exact"/>
              <w:rPr>
                <w:rFonts w:ascii="仿宋" w:hAnsi="仿宋" w:eastAsia="仿宋"/>
                <w:color w:val="auto"/>
                <w:sz w:val="20"/>
                <w:szCs w:val="20"/>
              </w:rPr>
            </w:pPr>
            <w:r>
              <w:rPr>
                <w:rFonts w:hint="eastAsia" w:asciiTheme="minorEastAsia" w:hAnsiTheme="minorEastAsia" w:cstheme="minorEastAsia"/>
                <w:lang w:val="en-US" w:eastAsia="zh-CN"/>
              </w:rPr>
              <w:t>6</w:t>
            </w:r>
            <w:r>
              <w:rPr>
                <w:rFonts w:hint="eastAsia" w:asciiTheme="minorEastAsia" w:hAnsiTheme="minorEastAsia" w:cstheme="minorEastAsia"/>
              </w:rPr>
              <w:t>、成交供应商提供的货物未达到采购文件规定要求，且对采购人造成损失的，由成交供应商承担一切责任，并赔偿所造成的损失。</w:t>
            </w:r>
          </w:p>
        </w:tc>
        <w:tc>
          <w:tcPr>
            <w:tcW w:w="3677" w:type="dxa"/>
            <w:vAlign w:val="center"/>
          </w:tcPr>
          <w:p w14:paraId="282A6037">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tcBorders>
              <w:right w:val="single" w:color="auto" w:sz="4" w:space="0"/>
            </w:tcBorders>
            <w:vAlign w:val="center"/>
          </w:tcPr>
          <w:p w14:paraId="422DBE2A">
            <w:pPr>
              <w:adjustRightInd w:val="0"/>
              <w:snapToGrid w:val="0"/>
              <w:spacing w:line="400" w:lineRule="exact"/>
              <w:jc w:val="center"/>
              <w:outlineLvl w:val="0"/>
              <w:rPr>
                <w:rFonts w:ascii="宋体" w:hAnsi="宋体"/>
                <w:color w:val="FF0000"/>
                <w:szCs w:val="21"/>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bl>
    <w:p w14:paraId="6C53E3F6">
      <w:pPr>
        <w:pStyle w:val="12"/>
        <w:rPr>
          <w:rFonts w:hint="eastAsia" w:asciiTheme="minorEastAsia" w:hAnsiTheme="minorEastAsia" w:cstheme="majorEastAsia"/>
          <w:bCs/>
          <w:color w:val="000000"/>
          <w:sz w:val="28"/>
          <w:szCs w:val="28"/>
        </w:rPr>
      </w:pPr>
    </w:p>
    <w:p w14:paraId="043E61AD">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16B4F4B1">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34CF88B9">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5E1B7CCF">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4D622A22">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0DE9AFD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asciiTheme="majorEastAsia" w:hAnsiTheme="majorEastAsia" w:eastAsiaTheme="majorEastAsia" w:cstheme="majorEastAsia"/>
          <w:b/>
          <w:color w:val="000000"/>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7              </w:t>
      </w: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南宁中心血站2025年身份证识别仪（含授权）</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4"/>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9"/>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2"/>
        <w:spacing w:line="20" w:lineRule="exact"/>
        <w:ind w:firstLine="0" w:firstLineChars="0"/>
      </w:pPr>
    </w:p>
    <w:p w14:paraId="1CCF99B3">
      <w:pPr>
        <w:pStyle w:val="2"/>
        <w:spacing w:line="20" w:lineRule="exact"/>
        <w:ind w:firstLine="0" w:firstLineChars="0"/>
      </w:pPr>
    </w:p>
    <w:p w14:paraId="7E8FA178">
      <w:pPr>
        <w:pStyle w:val="2"/>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8</w:t>
      </w:r>
      <w:r>
        <w:rPr>
          <w:rFonts w:hint="eastAsia" w:asciiTheme="minorEastAsia" w:hAnsiTheme="minorEastAsia" w:cstheme="majorEastAsia"/>
          <w:bCs/>
          <w:color w:val="000000"/>
          <w:sz w:val="28"/>
          <w:szCs w:val="28"/>
        </w:rPr>
        <w:t>：</w:t>
      </w:r>
    </w:p>
    <w:p w14:paraId="66FD8270">
      <w:pPr>
        <w:pStyle w:val="2"/>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3"/>
        <w:rPr>
          <w:rFonts w:hint="eastAsia"/>
          <w:color w:val="auto"/>
        </w:rPr>
      </w:pPr>
    </w:p>
    <w:p w14:paraId="6658D501">
      <w:pPr>
        <w:pStyle w:val="3"/>
        <w:rPr>
          <w:rFonts w:hint="eastAsia"/>
          <w:color w:val="auto"/>
        </w:rPr>
      </w:pPr>
    </w:p>
    <w:p w14:paraId="34878DB2">
      <w:pPr>
        <w:pStyle w:val="3"/>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3"/>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3"/>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5"/>
        </w:numPr>
        <w:rPr>
          <w:rFonts w:hint="eastAsia" w:ascii="宋体" w:hAnsi="宋体"/>
          <w:color w:val="auto"/>
          <w:sz w:val="28"/>
        </w:rPr>
      </w:pPr>
      <w:r>
        <w:rPr>
          <w:rFonts w:hint="eastAsia" w:ascii="宋体" w:hAnsi="宋体"/>
          <w:color w:val="auto"/>
          <w:sz w:val="28"/>
        </w:rPr>
        <w:t>采购结果公告</w:t>
      </w:r>
    </w:p>
    <w:p w14:paraId="53018E3B">
      <w:pPr>
        <w:numPr>
          <w:ilvl w:val="0"/>
          <w:numId w:val="5"/>
        </w:numPr>
        <w:rPr>
          <w:rFonts w:hint="eastAsia" w:ascii="宋体" w:hAnsi="宋体"/>
          <w:color w:val="auto"/>
          <w:sz w:val="28"/>
        </w:rPr>
      </w:pPr>
      <w:r>
        <w:rPr>
          <w:rFonts w:hint="eastAsia" w:ascii="宋体" w:hAnsi="宋体"/>
          <w:color w:val="auto"/>
          <w:sz w:val="28"/>
        </w:rPr>
        <w:t>采购需求一览表</w:t>
      </w:r>
    </w:p>
    <w:p w14:paraId="1BAF156E">
      <w:pPr>
        <w:numPr>
          <w:ilvl w:val="0"/>
          <w:numId w:val="5"/>
        </w:numPr>
        <w:rPr>
          <w:rFonts w:hint="eastAsia" w:ascii="宋体" w:hAnsi="宋体"/>
          <w:color w:val="auto"/>
          <w:sz w:val="28"/>
        </w:rPr>
      </w:pPr>
      <w:r>
        <w:rPr>
          <w:rFonts w:hint="eastAsia" w:ascii="宋体" w:hAnsi="宋体"/>
          <w:color w:val="auto"/>
          <w:sz w:val="28"/>
        </w:rPr>
        <w:t>投标报价表</w:t>
      </w:r>
    </w:p>
    <w:p w14:paraId="7A93DFB3">
      <w:pPr>
        <w:numPr>
          <w:ilvl w:val="0"/>
          <w:numId w:val="5"/>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5"/>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5"/>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5"/>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9"/>
        <w:jc w:val="center"/>
        <w:rPr>
          <w:rFonts w:hAnsi="宋体"/>
          <w:b/>
          <w:color w:val="auto"/>
          <w:sz w:val="32"/>
        </w:rPr>
      </w:pPr>
    </w:p>
    <w:p w14:paraId="5785B8E7">
      <w:pPr>
        <w:pStyle w:val="9"/>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9"/>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9"/>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9"/>
        <w:spacing w:line="360" w:lineRule="auto"/>
        <w:rPr>
          <w:rFonts w:hint="eastAsia" w:hAnsi="宋体"/>
          <w:color w:val="auto"/>
        </w:rPr>
      </w:pPr>
    </w:p>
    <w:p w14:paraId="241AF819">
      <w:pPr>
        <w:pStyle w:val="9"/>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9"/>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9"/>
        <w:spacing w:line="360" w:lineRule="auto"/>
        <w:rPr>
          <w:rFonts w:hint="eastAsia" w:hAnsi="宋体"/>
          <w:b/>
          <w:color w:val="auto"/>
        </w:rPr>
      </w:pPr>
      <w:r>
        <w:rPr>
          <w:rFonts w:hint="eastAsia" w:hAnsi="宋体"/>
          <w:b/>
          <w:color w:val="auto"/>
        </w:rPr>
        <w:t xml:space="preserve">    </w:t>
      </w:r>
    </w:p>
    <w:p w14:paraId="1C76F77C">
      <w:pPr>
        <w:pStyle w:val="9"/>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9"/>
        <w:spacing w:line="360" w:lineRule="auto"/>
        <w:rPr>
          <w:rFonts w:hint="eastAsia" w:hAnsi="宋体"/>
          <w:b/>
          <w:color w:val="auto"/>
        </w:rPr>
      </w:pPr>
    </w:p>
    <w:p w14:paraId="09029BF8">
      <w:pPr>
        <w:pStyle w:val="9"/>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9"/>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9"/>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9"/>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9"/>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9"/>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9"/>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9"/>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9"/>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9"/>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9"/>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9"/>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9"/>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9"/>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9"/>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9"/>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9"/>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9"/>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9"/>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9"/>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9"/>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9"/>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9"/>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9"/>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9"/>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9"/>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9"/>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9"/>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9"/>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9"/>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9"/>
        <w:spacing w:line="360" w:lineRule="auto"/>
        <w:rPr>
          <w:rFonts w:hint="eastAsia" w:hAnsi="宋体"/>
          <w:b/>
          <w:color w:val="auto"/>
        </w:rPr>
      </w:pPr>
      <w:r>
        <w:rPr>
          <w:rFonts w:hint="eastAsia" w:hAnsi="宋体"/>
          <w:b/>
          <w:bCs/>
          <w:color w:val="auto"/>
          <w:sz w:val="24"/>
          <w:szCs w:val="24"/>
        </w:rPr>
        <w:t>8.  技术资料</w:t>
      </w:r>
    </w:p>
    <w:p w14:paraId="38613666">
      <w:pPr>
        <w:pStyle w:val="9"/>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9"/>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9"/>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9"/>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9"/>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9"/>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9"/>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9"/>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9"/>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9"/>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9"/>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9"/>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9"/>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9"/>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9"/>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9"/>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9"/>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9"/>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9"/>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9"/>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5"/>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9"/>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9"/>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9"/>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9"/>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9"/>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9"/>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9"/>
        <w:spacing w:line="360" w:lineRule="auto"/>
        <w:rPr>
          <w:rFonts w:hint="eastAsia" w:hAnsi="宋体"/>
          <w:b/>
          <w:bCs/>
          <w:color w:val="auto"/>
          <w:sz w:val="24"/>
          <w:szCs w:val="24"/>
        </w:rPr>
      </w:pPr>
      <w:r>
        <w:rPr>
          <w:rFonts w:hint="eastAsia" w:hAnsi="宋体"/>
          <w:b/>
          <w:bCs/>
          <w:color w:val="auto"/>
          <w:sz w:val="24"/>
          <w:szCs w:val="24"/>
        </w:rPr>
        <w:t>14.  合同生效及其它</w:t>
      </w:r>
    </w:p>
    <w:p w14:paraId="0795D398">
      <w:pPr>
        <w:pStyle w:val="9"/>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9"/>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9"/>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9"/>
        <w:spacing w:line="360" w:lineRule="auto"/>
        <w:ind w:firstLine="360"/>
        <w:rPr>
          <w:rFonts w:hint="eastAsia" w:hAnsi="宋体"/>
          <w:color w:val="auto"/>
        </w:rPr>
      </w:pPr>
      <w:r>
        <w:rPr>
          <w:rFonts w:hint="eastAsia" w:hAnsi="宋体"/>
          <w:color w:val="auto"/>
        </w:rPr>
        <w:t>（1）采购结果公告；</w:t>
      </w:r>
    </w:p>
    <w:p w14:paraId="404C60AF">
      <w:pPr>
        <w:pStyle w:val="9"/>
        <w:spacing w:line="360" w:lineRule="auto"/>
        <w:ind w:firstLine="360"/>
        <w:rPr>
          <w:rFonts w:hint="eastAsia" w:hAnsi="宋体"/>
          <w:color w:val="auto"/>
        </w:rPr>
      </w:pPr>
      <w:r>
        <w:rPr>
          <w:rFonts w:hint="eastAsia" w:hAnsi="宋体"/>
          <w:color w:val="auto"/>
        </w:rPr>
        <w:t>（2）采购需求一览表；</w:t>
      </w:r>
    </w:p>
    <w:p w14:paraId="6DE1B8D7">
      <w:pPr>
        <w:pStyle w:val="9"/>
        <w:spacing w:line="360" w:lineRule="auto"/>
        <w:ind w:firstLine="360"/>
        <w:rPr>
          <w:rFonts w:hint="eastAsia" w:hAnsi="宋体"/>
          <w:color w:val="auto"/>
        </w:rPr>
      </w:pPr>
      <w:r>
        <w:rPr>
          <w:rFonts w:hint="eastAsia" w:hAnsi="宋体"/>
          <w:color w:val="auto"/>
        </w:rPr>
        <w:t>（3）投标报价表；</w:t>
      </w:r>
    </w:p>
    <w:p w14:paraId="38EC2C3A">
      <w:pPr>
        <w:pStyle w:val="9"/>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9"/>
        <w:spacing w:line="360" w:lineRule="auto"/>
        <w:ind w:firstLine="360"/>
        <w:rPr>
          <w:rFonts w:hint="eastAsia" w:hAnsi="宋体"/>
          <w:color w:val="auto"/>
        </w:rPr>
      </w:pPr>
      <w:r>
        <w:rPr>
          <w:rFonts w:hint="eastAsia" w:hAnsi="宋体"/>
          <w:color w:val="auto"/>
        </w:rPr>
        <w:t>（5）响应技术资料表；（如有）</w:t>
      </w:r>
    </w:p>
    <w:p w14:paraId="776C65C2">
      <w:pPr>
        <w:pStyle w:val="9"/>
        <w:spacing w:line="360" w:lineRule="auto"/>
        <w:ind w:firstLine="360"/>
        <w:rPr>
          <w:rFonts w:hint="eastAsia" w:hAnsi="宋体"/>
          <w:color w:val="auto"/>
        </w:rPr>
      </w:pPr>
      <w:r>
        <w:rPr>
          <w:rFonts w:hint="eastAsia" w:hAnsi="宋体"/>
          <w:color w:val="auto"/>
        </w:rPr>
        <w:t>（6）商务条款偏离表（如有）；</w:t>
      </w:r>
    </w:p>
    <w:p w14:paraId="37AA493F">
      <w:pPr>
        <w:pStyle w:val="9"/>
        <w:spacing w:line="360" w:lineRule="auto"/>
        <w:ind w:firstLine="360"/>
        <w:rPr>
          <w:rFonts w:hint="eastAsia" w:hAnsi="宋体"/>
          <w:color w:val="auto"/>
        </w:rPr>
      </w:pPr>
      <w:r>
        <w:rPr>
          <w:rFonts w:hint="eastAsia" w:hAnsi="宋体"/>
          <w:color w:val="auto"/>
        </w:rPr>
        <w:t>（7）其他与本合同相关的资料（如有）。</w:t>
      </w:r>
    </w:p>
    <w:p w14:paraId="40C15DA7">
      <w:pPr>
        <w:pStyle w:val="9"/>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9"/>
        <w:spacing w:line="360" w:lineRule="auto"/>
        <w:ind w:firstLine="360"/>
        <w:rPr>
          <w:rFonts w:hint="eastAsia" w:hAnsi="宋体"/>
          <w:color w:val="auto"/>
        </w:rPr>
      </w:pPr>
      <w:r>
        <w:rPr>
          <w:rFonts w:hint="eastAsia" w:hAnsi="宋体"/>
          <w:color w:val="auto"/>
        </w:rPr>
        <w:t xml:space="preserve">14.5本合同一式伍份，具有同等法律效力，甲方三份，乙方二份，自甲乙双方法定代表或被授权代表人签字并加盖单位公章后正式生效。 </w:t>
      </w:r>
    </w:p>
    <w:p w14:paraId="388B0EAA">
      <w:pPr>
        <w:pStyle w:val="5"/>
        <w:numPr>
          <w:ilvl w:val="3"/>
          <w:numId w:val="0"/>
        </w:numPr>
        <w:ind w:left="1077" w:leftChars="0"/>
        <w:rPr>
          <w:rFonts w:hint="eastAsia"/>
        </w:rPr>
      </w:pPr>
    </w:p>
    <w:p w14:paraId="7CBF39AF">
      <w:pPr>
        <w:rPr>
          <w:rFonts w:hint="eastAsia" w:hAnsi="宋体"/>
          <w:color w:val="auto"/>
        </w:rPr>
      </w:pPr>
    </w:p>
    <w:p w14:paraId="58620BA2">
      <w:pPr>
        <w:rPr>
          <w:rFonts w:hint="eastAsia" w:hAnsi="宋体"/>
          <w:color w:val="auto"/>
        </w:rPr>
      </w:pPr>
    </w:p>
    <w:p w14:paraId="017377E4">
      <w:pPr>
        <w:rPr>
          <w:rFonts w:hint="eastAsia" w:hAnsi="宋体"/>
          <w:color w:val="auto"/>
        </w:rPr>
      </w:pPr>
    </w:p>
    <w:p w14:paraId="2EBAC682">
      <w:pPr>
        <w:rPr>
          <w:rFonts w:hint="eastAsia" w:hAnsi="宋体"/>
          <w:color w:val="auto"/>
        </w:rPr>
      </w:pPr>
    </w:p>
    <w:p w14:paraId="67C2473B">
      <w:pPr>
        <w:rPr>
          <w:rFonts w:hint="eastAsia" w:hAnsi="宋体"/>
          <w:color w:val="auto"/>
        </w:rPr>
      </w:pPr>
    </w:p>
    <w:p w14:paraId="65B63E8F">
      <w:pPr>
        <w:rPr>
          <w:rFonts w:hint="eastAsia" w:hAnsi="宋体"/>
          <w:color w:val="auto"/>
        </w:rPr>
      </w:pPr>
    </w:p>
    <w:p w14:paraId="7547A01D">
      <w:pPr>
        <w:rPr>
          <w:rFonts w:hint="eastAsia" w:hAnsi="宋体"/>
          <w:color w:val="auto"/>
        </w:rPr>
      </w:pPr>
    </w:p>
    <w:p w14:paraId="1639E25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1BA65998">
      <w:pPr>
        <w:pStyle w:val="9"/>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5"/>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2AE20FDF">
      <w:pPr>
        <w:spacing w:line="360" w:lineRule="auto"/>
        <w:rPr>
          <w:rFonts w:hint="eastAsia" w:hAnsi="宋体" w:cs="宋体"/>
          <w:b/>
          <w:color w:val="auto"/>
          <w:sz w:val="36"/>
          <w:lang w:val="en-US" w:eastAsia="zh-CN"/>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AA1DAE7">
      <w:pPr>
        <w:pStyle w:val="9"/>
        <w:jc w:val="center"/>
        <w:outlineLvl w:val="0"/>
        <w:rPr>
          <w:rFonts w:hint="eastAsia" w:hAnsi="宋体"/>
          <w:color w:val="auto"/>
        </w:rPr>
      </w:pPr>
    </w:p>
    <w:p w14:paraId="6A76851E">
      <w:pPr>
        <w:rPr>
          <w:color w:val="auto"/>
        </w:rPr>
      </w:pPr>
    </w:p>
    <w:p w14:paraId="6F140C39">
      <w:pPr>
        <w:rPr>
          <w:color w:val="auto"/>
        </w:rPr>
      </w:pPr>
    </w:p>
    <w:p w14:paraId="470AA34D">
      <w:pPr>
        <w:pStyle w:val="2"/>
        <w:ind w:left="0" w:leftChars="0" w:firstLine="0" w:firstLineChars="0"/>
        <w:jc w:val="both"/>
        <w:rPr>
          <w:rFonts w:hint="eastAsia" w:ascii="宋体" w:hAnsi="宋体"/>
          <w:color w:val="auto"/>
          <w:kern w:val="44"/>
          <w:sz w:val="44"/>
          <w:szCs w:val="44"/>
        </w:rPr>
      </w:pPr>
    </w:p>
    <w:p w14:paraId="4819BB63">
      <w:pPr>
        <w:spacing w:line="560" w:lineRule="exact"/>
        <w:jc w:val="left"/>
        <w:rPr>
          <w:rFonts w:asciiTheme="minorEastAsia" w:hAnsiTheme="minorEastAsia" w:cstheme="majorEastAsia"/>
          <w:bCs/>
          <w:color w:val="000000"/>
          <w:sz w:val="28"/>
          <w:szCs w:val="28"/>
        </w:rPr>
      </w:pPr>
    </w:p>
    <w:p w14:paraId="54F2D2D1">
      <w:pPr>
        <w:pStyle w:val="2"/>
        <w:spacing w:line="20" w:lineRule="exact"/>
        <w:ind w:firstLine="0" w:firstLineChars="0"/>
      </w:pPr>
    </w:p>
    <w:sectPr>
      <w:headerReference r:id="rId3" w:type="default"/>
      <w:footerReference r:id="rId5" w:type="default"/>
      <w:headerReference r:id="rId4" w:type="even"/>
      <w:pgSz w:w="11906" w:h="16838"/>
      <w:pgMar w:top="2098" w:right="1474" w:bottom="1984"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BDAB535-6885-44B0-A99C-EADEC6F7AA2F}"/>
  </w:font>
  <w:font w:name="Courier New">
    <w:panose1 w:val="02070309020205020404"/>
    <w:charset w:val="01"/>
    <w:family w:val="modern"/>
    <w:pitch w:val="default"/>
    <w:sig w:usb0="E0002EFF" w:usb1="C0007843" w:usb2="00000009" w:usb3="00000000" w:csb0="400001FF" w:csb1="FFFF0000"/>
    <w:embedRegular r:id="rId2" w:fontKey="{7A4FCB6B-3BFC-43B2-BADC-88E0FE85A62C}"/>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566D8A4B-0987-4CB5-A594-B50B0097CAE3}"/>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DEC6EB47-97F9-4166-AD0B-983E2A6BF77E}"/>
  </w:font>
  <w:font w:name="仿宋_GB2312">
    <w:panose1 w:val="02010609030101010101"/>
    <w:charset w:val="86"/>
    <w:family w:val="modern"/>
    <w:pitch w:val="default"/>
    <w:sig w:usb0="00000001" w:usb1="080E0000" w:usb2="00000000" w:usb3="00000000" w:csb0="00040000" w:csb1="00000000"/>
    <w:embedRegular r:id="rId5" w:fontKey="{EFE9BE0D-8C1A-44C5-AEC4-8D0DD38AC37E}"/>
  </w:font>
  <w:font w:name="方正楷体_GB2312">
    <w:panose1 w:val="02000000000000000000"/>
    <w:charset w:val="86"/>
    <w:family w:val="auto"/>
    <w:pitch w:val="default"/>
    <w:sig w:usb0="A00002BF" w:usb1="184F6CFA" w:usb2="00000012" w:usb3="00000000" w:csb0="00040001" w:csb1="00000000"/>
    <w:embedRegular r:id="rId6" w:fontKey="{4EED652C-C943-4BC2-B244-40CB9D8542D5}"/>
  </w:font>
  <w:font w:name="Wingdings 2">
    <w:panose1 w:val="05020102010507070707"/>
    <w:charset w:val="02"/>
    <w:family w:val="roman"/>
    <w:pitch w:val="default"/>
    <w:sig w:usb0="00000000" w:usb1="00000000" w:usb2="00000000" w:usb3="00000000" w:csb0="80000000" w:csb1="00000000"/>
    <w:embedRegular r:id="rId7" w:fontKey="{CAB63D68-4F58-40D4-9D74-5A2082CCF83D}"/>
  </w:font>
  <w:font w:name="仿宋">
    <w:panose1 w:val="02010609060101010101"/>
    <w:charset w:val="86"/>
    <w:family w:val="modern"/>
    <w:pitch w:val="default"/>
    <w:sig w:usb0="800002BF" w:usb1="38CF7CFA" w:usb2="00000016" w:usb3="00000000" w:csb0="00040001" w:csb1="00000000"/>
    <w:embedRegular r:id="rId8" w:fontKey="{4390C6D4-7651-4EC1-9FDE-9973FFCD3853}"/>
  </w:font>
  <w:font w:name="方正公文小标宋">
    <w:panose1 w:val="02000500000000000000"/>
    <w:charset w:val="86"/>
    <w:family w:val="auto"/>
    <w:pitch w:val="default"/>
    <w:sig w:usb0="A00002BF" w:usb1="38CF7CFA" w:usb2="00000016" w:usb3="00000000" w:csb0="00040001" w:csb1="00000000"/>
    <w:embedRegular r:id="rId9" w:fontKey="{34CF9B64-9E4D-4217-A800-25239A329E2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D4C1A225"/>
    <w:multiLevelType w:val="singleLevel"/>
    <w:tmpl w:val="D4C1A225"/>
    <w:lvl w:ilvl="0" w:tentative="0">
      <w:start w:val="1"/>
      <w:numFmt w:val="decimal"/>
      <w:suff w:val="nothing"/>
      <w:lvlText w:val="%1、"/>
      <w:lvlJc w:val="left"/>
    </w:lvl>
  </w:abstractNum>
  <w:abstractNum w:abstractNumId="2">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5"/>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3">
    <w:nsid w:val="24E0DC2F"/>
    <w:multiLevelType w:val="singleLevel"/>
    <w:tmpl w:val="24E0DC2F"/>
    <w:lvl w:ilvl="0" w:tentative="0">
      <w:start w:val="1"/>
      <w:numFmt w:val="chineseCounting"/>
      <w:suff w:val="nothing"/>
      <w:lvlText w:val="%1、"/>
      <w:lvlJc w:val="left"/>
      <w:rPr>
        <w:rFonts w:hint="eastAsia"/>
      </w:rPr>
    </w:lvl>
  </w:abstractNum>
  <w:abstractNum w:abstractNumId="4">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BD17FD"/>
    <w:rsid w:val="01C94FED"/>
    <w:rsid w:val="01D228A5"/>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71C51"/>
    <w:rsid w:val="02616DA5"/>
    <w:rsid w:val="02626BB5"/>
    <w:rsid w:val="0281282A"/>
    <w:rsid w:val="02873BB9"/>
    <w:rsid w:val="02982881"/>
    <w:rsid w:val="02A93C57"/>
    <w:rsid w:val="02B92BC7"/>
    <w:rsid w:val="02BA3F8E"/>
    <w:rsid w:val="02C77B6E"/>
    <w:rsid w:val="02C92E4A"/>
    <w:rsid w:val="02CF2588"/>
    <w:rsid w:val="02D95E8F"/>
    <w:rsid w:val="02F82037"/>
    <w:rsid w:val="02FB2109"/>
    <w:rsid w:val="02FD7CFF"/>
    <w:rsid w:val="030816FC"/>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4A784B"/>
    <w:rsid w:val="057B5C57"/>
    <w:rsid w:val="05857BB8"/>
    <w:rsid w:val="058E3BEF"/>
    <w:rsid w:val="058F7498"/>
    <w:rsid w:val="05901757"/>
    <w:rsid w:val="05933136"/>
    <w:rsid w:val="05AA7C26"/>
    <w:rsid w:val="05B34320"/>
    <w:rsid w:val="05C13E91"/>
    <w:rsid w:val="05D013CA"/>
    <w:rsid w:val="05F62A68"/>
    <w:rsid w:val="05F679D1"/>
    <w:rsid w:val="05F81055"/>
    <w:rsid w:val="05FC1705"/>
    <w:rsid w:val="05FD4EEA"/>
    <w:rsid w:val="061504FA"/>
    <w:rsid w:val="061960B4"/>
    <w:rsid w:val="06204C76"/>
    <w:rsid w:val="06242AB8"/>
    <w:rsid w:val="062F1DB1"/>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81B68"/>
    <w:rsid w:val="074B5449"/>
    <w:rsid w:val="074E3DA5"/>
    <w:rsid w:val="07506C6F"/>
    <w:rsid w:val="07644FCE"/>
    <w:rsid w:val="07807554"/>
    <w:rsid w:val="07852DBD"/>
    <w:rsid w:val="078B0C44"/>
    <w:rsid w:val="07984D5F"/>
    <w:rsid w:val="07B41888"/>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697585"/>
    <w:rsid w:val="08703746"/>
    <w:rsid w:val="087662BE"/>
    <w:rsid w:val="08787CCE"/>
    <w:rsid w:val="08837B28"/>
    <w:rsid w:val="088E5CA1"/>
    <w:rsid w:val="088F7117"/>
    <w:rsid w:val="08935419"/>
    <w:rsid w:val="08935BFF"/>
    <w:rsid w:val="08971CDC"/>
    <w:rsid w:val="0897548B"/>
    <w:rsid w:val="08BE655F"/>
    <w:rsid w:val="08BF64A5"/>
    <w:rsid w:val="08D25F0F"/>
    <w:rsid w:val="08D47674"/>
    <w:rsid w:val="08D66CD6"/>
    <w:rsid w:val="08DE7761"/>
    <w:rsid w:val="08F33DB8"/>
    <w:rsid w:val="08FF0055"/>
    <w:rsid w:val="08FF26FB"/>
    <w:rsid w:val="090A4E34"/>
    <w:rsid w:val="09121B08"/>
    <w:rsid w:val="0912673B"/>
    <w:rsid w:val="091743B4"/>
    <w:rsid w:val="091A12E3"/>
    <w:rsid w:val="091F45D8"/>
    <w:rsid w:val="092521C7"/>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80C8F"/>
    <w:rsid w:val="0A93759F"/>
    <w:rsid w:val="0A947DB4"/>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BEA32BC"/>
    <w:rsid w:val="0C036612"/>
    <w:rsid w:val="0C0C6C4E"/>
    <w:rsid w:val="0C0D16D2"/>
    <w:rsid w:val="0C1A6AC5"/>
    <w:rsid w:val="0C1C1816"/>
    <w:rsid w:val="0C233095"/>
    <w:rsid w:val="0C3617A4"/>
    <w:rsid w:val="0C424305"/>
    <w:rsid w:val="0C4A4577"/>
    <w:rsid w:val="0C5B034D"/>
    <w:rsid w:val="0C63272F"/>
    <w:rsid w:val="0C6A7729"/>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665437"/>
    <w:rsid w:val="0D753CF4"/>
    <w:rsid w:val="0D9A6E96"/>
    <w:rsid w:val="0D9B5B75"/>
    <w:rsid w:val="0D9E6986"/>
    <w:rsid w:val="0D9F1A2C"/>
    <w:rsid w:val="0DAD4941"/>
    <w:rsid w:val="0DC05FA9"/>
    <w:rsid w:val="0DC3019B"/>
    <w:rsid w:val="0DC56EF5"/>
    <w:rsid w:val="0DD815E5"/>
    <w:rsid w:val="0DD83E1C"/>
    <w:rsid w:val="0DE14C55"/>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B06A9"/>
    <w:rsid w:val="0E802CD1"/>
    <w:rsid w:val="0E8C4A31"/>
    <w:rsid w:val="0E9E356B"/>
    <w:rsid w:val="0EA630C4"/>
    <w:rsid w:val="0EA8130B"/>
    <w:rsid w:val="0EA86716"/>
    <w:rsid w:val="0EAF5F5E"/>
    <w:rsid w:val="0EC37C0E"/>
    <w:rsid w:val="0ECE72C9"/>
    <w:rsid w:val="0EE11B9F"/>
    <w:rsid w:val="0EE22FB1"/>
    <w:rsid w:val="0EE507E9"/>
    <w:rsid w:val="0EE74E98"/>
    <w:rsid w:val="0EF62F20"/>
    <w:rsid w:val="0F0B6DFD"/>
    <w:rsid w:val="0F1E256E"/>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5280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87117"/>
    <w:rsid w:val="106A21C0"/>
    <w:rsid w:val="106A3E02"/>
    <w:rsid w:val="106C5F56"/>
    <w:rsid w:val="10722280"/>
    <w:rsid w:val="107C1CBF"/>
    <w:rsid w:val="10852043"/>
    <w:rsid w:val="108856CC"/>
    <w:rsid w:val="109C57D8"/>
    <w:rsid w:val="10A122E9"/>
    <w:rsid w:val="10AB3BFC"/>
    <w:rsid w:val="10D77E40"/>
    <w:rsid w:val="10DE19DB"/>
    <w:rsid w:val="10EC73A6"/>
    <w:rsid w:val="10F05693"/>
    <w:rsid w:val="10F7541F"/>
    <w:rsid w:val="10FA7E3B"/>
    <w:rsid w:val="10FD74C6"/>
    <w:rsid w:val="111F67E9"/>
    <w:rsid w:val="1120365F"/>
    <w:rsid w:val="11253A39"/>
    <w:rsid w:val="11301467"/>
    <w:rsid w:val="113E4531"/>
    <w:rsid w:val="113E6DED"/>
    <w:rsid w:val="11401B02"/>
    <w:rsid w:val="11402F7D"/>
    <w:rsid w:val="115427BA"/>
    <w:rsid w:val="11646CC3"/>
    <w:rsid w:val="11772AD0"/>
    <w:rsid w:val="117A68DA"/>
    <w:rsid w:val="117B46D6"/>
    <w:rsid w:val="11851B24"/>
    <w:rsid w:val="118534B0"/>
    <w:rsid w:val="11A66D9F"/>
    <w:rsid w:val="11A958B5"/>
    <w:rsid w:val="11B40356"/>
    <w:rsid w:val="11B5429E"/>
    <w:rsid w:val="11B63EDB"/>
    <w:rsid w:val="11BF2B49"/>
    <w:rsid w:val="11DF400A"/>
    <w:rsid w:val="11EC7608"/>
    <w:rsid w:val="11FD3712"/>
    <w:rsid w:val="11FD3BF1"/>
    <w:rsid w:val="12047E58"/>
    <w:rsid w:val="1206047A"/>
    <w:rsid w:val="120E63DC"/>
    <w:rsid w:val="12233D31"/>
    <w:rsid w:val="122B3F0E"/>
    <w:rsid w:val="122C034F"/>
    <w:rsid w:val="123477B2"/>
    <w:rsid w:val="125C1ADE"/>
    <w:rsid w:val="125D0D88"/>
    <w:rsid w:val="126B0E01"/>
    <w:rsid w:val="126D3E19"/>
    <w:rsid w:val="126D6927"/>
    <w:rsid w:val="1273430E"/>
    <w:rsid w:val="128334CA"/>
    <w:rsid w:val="1283614B"/>
    <w:rsid w:val="12987ECD"/>
    <w:rsid w:val="12A239F1"/>
    <w:rsid w:val="12A3059B"/>
    <w:rsid w:val="12A3647B"/>
    <w:rsid w:val="12AE15DD"/>
    <w:rsid w:val="12B26A30"/>
    <w:rsid w:val="12BF3117"/>
    <w:rsid w:val="12C25FB3"/>
    <w:rsid w:val="12CE5E3D"/>
    <w:rsid w:val="12D270AB"/>
    <w:rsid w:val="12E2233F"/>
    <w:rsid w:val="12E24D72"/>
    <w:rsid w:val="12EF37E0"/>
    <w:rsid w:val="12F27822"/>
    <w:rsid w:val="131B5197"/>
    <w:rsid w:val="133143D3"/>
    <w:rsid w:val="133424E4"/>
    <w:rsid w:val="13441F06"/>
    <w:rsid w:val="134B4B63"/>
    <w:rsid w:val="1356229B"/>
    <w:rsid w:val="1374444E"/>
    <w:rsid w:val="138A315B"/>
    <w:rsid w:val="139469DE"/>
    <w:rsid w:val="139F0B29"/>
    <w:rsid w:val="13A15663"/>
    <w:rsid w:val="13AA2891"/>
    <w:rsid w:val="13AF6FC8"/>
    <w:rsid w:val="13BD6F36"/>
    <w:rsid w:val="13CE7877"/>
    <w:rsid w:val="13D21969"/>
    <w:rsid w:val="13DD26AB"/>
    <w:rsid w:val="13E35C29"/>
    <w:rsid w:val="13E62E35"/>
    <w:rsid w:val="14000A06"/>
    <w:rsid w:val="14166EAE"/>
    <w:rsid w:val="141D3454"/>
    <w:rsid w:val="141D7C47"/>
    <w:rsid w:val="141E7E6C"/>
    <w:rsid w:val="14361DD5"/>
    <w:rsid w:val="143E4A1F"/>
    <w:rsid w:val="143F42F3"/>
    <w:rsid w:val="14416F62"/>
    <w:rsid w:val="144C7353"/>
    <w:rsid w:val="1451183F"/>
    <w:rsid w:val="14534220"/>
    <w:rsid w:val="14650186"/>
    <w:rsid w:val="14650AEA"/>
    <w:rsid w:val="146D1D12"/>
    <w:rsid w:val="147F5C32"/>
    <w:rsid w:val="1483424E"/>
    <w:rsid w:val="149327E6"/>
    <w:rsid w:val="14A96ED7"/>
    <w:rsid w:val="14AA25A7"/>
    <w:rsid w:val="14AE1051"/>
    <w:rsid w:val="14AF08A6"/>
    <w:rsid w:val="14B53220"/>
    <w:rsid w:val="14BA00C9"/>
    <w:rsid w:val="14BD48EA"/>
    <w:rsid w:val="14C75042"/>
    <w:rsid w:val="14CF112E"/>
    <w:rsid w:val="14D44793"/>
    <w:rsid w:val="14D471C3"/>
    <w:rsid w:val="14D902A4"/>
    <w:rsid w:val="14FB3D92"/>
    <w:rsid w:val="15087C85"/>
    <w:rsid w:val="152D1341"/>
    <w:rsid w:val="15381DF6"/>
    <w:rsid w:val="15587106"/>
    <w:rsid w:val="155A1F76"/>
    <w:rsid w:val="156150CD"/>
    <w:rsid w:val="15681628"/>
    <w:rsid w:val="156B3E24"/>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35972"/>
    <w:rsid w:val="1686445B"/>
    <w:rsid w:val="168D7158"/>
    <w:rsid w:val="16947717"/>
    <w:rsid w:val="16953140"/>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472444"/>
    <w:rsid w:val="17490324"/>
    <w:rsid w:val="174E6AC3"/>
    <w:rsid w:val="17571BDE"/>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20856"/>
    <w:rsid w:val="184215CE"/>
    <w:rsid w:val="185912B9"/>
    <w:rsid w:val="186E0A2F"/>
    <w:rsid w:val="1872280A"/>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8FF1B7D"/>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3D4C48"/>
    <w:rsid w:val="1A4A4649"/>
    <w:rsid w:val="1A5C175F"/>
    <w:rsid w:val="1A6531E5"/>
    <w:rsid w:val="1A660501"/>
    <w:rsid w:val="1A713C70"/>
    <w:rsid w:val="1A743CC7"/>
    <w:rsid w:val="1A76647F"/>
    <w:rsid w:val="1A777F8E"/>
    <w:rsid w:val="1A7D090D"/>
    <w:rsid w:val="1A7E3A7B"/>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A6810"/>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7416EB"/>
    <w:rsid w:val="1D854F49"/>
    <w:rsid w:val="1D9715CC"/>
    <w:rsid w:val="1D9D4020"/>
    <w:rsid w:val="1DB25492"/>
    <w:rsid w:val="1DC474C1"/>
    <w:rsid w:val="1DC87796"/>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101B"/>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07E98"/>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C65AC1"/>
    <w:rsid w:val="1FCE0366"/>
    <w:rsid w:val="1FD20711"/>
    <w:rsid w:val="1FD60202"/>
    <w:rsid w:val="1FD87326"/>
    <w:rsid w:val="1FD93A53"/>
    <w:rsid w:val="1FE77225"/>
    <w:rsid w:val="1FEE3FE0"/>
    <w:rsid w:val="20042986"/>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208E"/>
    <w:rsid w:val="20CA7FDC"/>
    <w:rsid w:val="20D02A2F"/>
    <w:rsid w:val="20D04EFC"/>
    <w:rsid w:val="20E15FED"/>
    <w:rsid w:val="20F44FCC"/>
    <w:rsid w:val="20F64290"/>
    <w:rsid w:val="210038BF"/>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573150"/>
    <w:rsid w:val="2268769E"/>
    <w:rsid w:val="226A65F4"/>
    <w:rsid w:val="2277734E"/>
    <w:rsid w:val="228F5402"/>
    <w:rsid w:val="229913E0"/>
    <w:rsid w:val="22A86433"/>
    <w:rsid w:val="22BF41CE"/>
    <w:rsid w:val="22D91964"/>
    <w:rsid w:val="22ED21FF"/>
    <w:rsid w:val="22F24851"/>
    <w:rsid w:val="22F6604F"/>
    <w:rsid w:val="22F77AA0"/>
    <w:rsid w:val="22F8237B"/>
    <w:rsid w:val="22F8597C"/>
    <w:rsid w:val="230D3E98"/>
    <w:rsid w:val="23170A0E"/>
    <w:rsid w:val="23192918"/>
    <w:rsid w:val="23326EEF"/>
    <w:rsid w:val="2336639B"/>
    <w:rsid w:val="233E3F55"/>
    <w:rsid w:val="23417A62"/>
    <w:rsid w:val="234644E0"/>
    <w:rsid w:val="234A2D6A"/>
    <w:rsid w:val="236B2A0F"/>
    <w:rsid w:val="236C6DC3"/>
    <w:rsid w:val="236D6311"/>
    <w:rsid w:val="23714FC0"/>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7AC3"/>
    <w:rsid w:val="23EE53EE"/>
    <w:rsid w:val="24083725"/>
    <w:rsid w:val="241237D2"/>
    <w:rsid w:val="2426102C"/>
    <w:rsid w:val="242D14B2"/>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D60477"/>
    <w:rsid w:val="24DE69B8"/>
    <w:rsid w:val="24DF6EA4"/>
    <w:rsid w:val="24E108A6"/>
    <w:rsid w:val="24E567F1"/>
    <w:rsid w:val="24EB69BB"/>
    <w:rsid w:val="24FA696E"/>
    <w:rsid w:val="250B2646"/>
    <w:rsid w:val="250E600A"/>
    <w:rsid w:val="251E68D2"/>
    <w:rsid w:val="25200C2B"/>
    <w:rsid w:val="252C178B"/>
    <w:rsid w:val="252D4DA1"/>
    <w:rsid w:val="252F32BF"/>
    <w:rsid w:val="253563E1"/>
    <w:rsid w:val="25403C5A"/>
    <w:rsid w:val="25405AFA"/>
    <w:rsid w:val="25611556"/>
    <w:rsid w:val="256231E9"/>
    <w:rsid w:val="256655D6"/>
    <w:rsid w:val="256A4F48"/>
    <w:rsid w:val="256C40AE"/>
    <w:rsid w:val="256D6525"/>
    <w:rsid w:val="256F434C"/>
    <w:rsid w:val="2576546E"/>
    <w:rsid w:val="25811D5E"/>
    <w:rsid w:val="259812D8"/>
    <w:rsid w:val="25A11320"/>
    <w:rsid w:val="25B9096F"/>
    <w:rsid w:val="25BB54DD"/>
    <w:rsid w:val="25C0067F"/>
    <w:rsid w:val="25CE0F7F"/>
    <w:rsid w:val="25F100FA"/>
    <w:rsid w:val="25FA62CC"/>
    <w:rsid w:val="25FB159F"/>
    <w:rsid w:val="25FF1B34"/>
    <w:rsid w:val="26024C0D"/>
    <w:rsid w:val="26077C10"/>
    <w:rsid w:val="26094A7F"/>
    <w:rsid w:val="260E43FE"/>
    <w:rsid w:val="2612688F"/>
    <w:rsid w:val="26155979"/>
    <w:rsid w:val="261B6853"/>
    <w:rsid w:val="26291E43"/>
    <w:rsid w:val="262F052D"/>
    <w:rsid w:val="263317DE"/>
    <w:rsid w:val="263C18BA"/>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132B3"/>
    <w:rsid w:val="26B72C9B"/>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F96370"/>
    <w:rsid w:val="28036D25"/>
    <w:rsid w:val="280731D0"/>
    <w:rsid w:val="280F512D"/>
    <w:rsid w:val="28137003"/>
    <w:rsid w:val="28220B11"/>
    <w:rsid w:val="28353194"/>
    <w:rsid w:val="283677DD"/>
    <w:rsid w:val="283E0982"/>
    <w:rsid w:val="283F31CF"/>
    <w:rsid w:val="28487FF1"/>
    <w:rsid w:val="285964B4"/>
    <w:rsid w:val="285F6F50"/>
    <w:rsid w:val="2863528B"/>
    <w:rsid w:val="28650F90"/>
    <w:rsid w:val="28673EB0"/>
    <w:rsid w:val="287C5E6E"/>
    <w:rsid w:val="287D1A92"/>
    <w:rsid w:val="288602EB"/>
    <w:rsid w:val="28887BBF"/>
    <w:rsid w:val="288E6355"/>
    <w:rsid w:val="289D2CDE"/>
    <w:rsid w:val="28A553DB"/>
    <w:rsid w:val="28A6098D"/>
    <w:rsid w:val="28A84C2E"/>
    <w:rsid w:val="28B75EE1"/>
    <w:rsid w:val="28C24B60"/>
    <w:rsid w:val="28D379BC"/>
    <w:rsid w:val="28DA7F43"/>
    <w:rsid w:val="28E72533"/>
    <w:rsid w:val="28EC1B66"/>
    <w:rsid w:val="28EE1F72"/>
    <w:rsid w:val="28F27833"/>
    <w:rsid w:val="28F92C18"/>
    <w:rsid w:val="29000396"/>
    <w:rsid w:val="291B0D14"/>
    <w:rsid w:val="291C3316"/>
    <w:rsid w:val="29341F13"/>
    <w:rsid w:val="294D7C6B"/>
    <w:rsid w:val="295C2DFA"/>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840FF"/>
    <w:rsid w:val="2A5870B9"/>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DA1CC1"/>
    <w:rsid w:val="2AE82B97"/>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7A04FD"/>
    <w:rsid w:val="2B882D63"/>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7548FE"/>
    <w:rsid w:val="2C951EE7"/>
    <w:rsid w:val="2CA83E8D"/>
    <w:rsid w:val="2CAD278A"/>
    <w:rsid w:val="2CB71CE1"/>
    <w:rsid w:val="2CC118F2"/>
    <w:rsid w:val="2CC54615"/>
    <w:rsid w:val="2CD05FD9"/>
    <w:rsid w:val="2CD444D8"/>
    <w:rsid w:val="2CDB0817"/>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7964B4"/>
    <w:rsid w:val="2F86780E"/>
    <w:rsid w:val="2F89303B"/>
    <w:rsid w:val="2F8A045D"/>
    <w:rsid w:val="2F8B60CE"/>
    <w:rsid w:val="2FA072CE"/>
    <w:rsid w:val="2FA34124"/>
    <w:rsid w:val="2FB176F8"/>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57F42"/>
    <w:rsid w:val="30380EFD"/>
    <w:rsid w:val="304737B8"/>
    <w:rsid w:val="304B0BD8"/>
    <w:rsid w:val="304E16EE"/>
    <w:rsid w:val="305C2A71"/>
    <w:rsid w:val="30743B43"/>
    <w:rsid w:val="30762ED1"/>
    <w:rsid w:val="3077056D"/>
    <w:rsid w:val="307C65D9"/>
    <w:rsid w:val="308145A4"/>
    <w:rsid w:val="30835D5B"/>
    <w:rsid w:val="308377FB"/>
    <w:rsid w:val="308A649E"/>
    <w:rsid w:val="3090727F"/>
    <w:rsid w:val="30AF4D78"/>
    <w:rsid w:val="30B265CB"/>
    <w:rsid w:val="30BE55B1"/>
    <w:rsid w:val="30C032DC"/>
    <w:rsid w:val="30C351A6"/>
    <w:rsid w:val="30CA1D84"/>
    <w:rsid w:val="30CD3556"/>
    <w:rsid w:val="30CF03F5"/>
    <w:rsid w:val="30D164AC"/>
    <w:rsid w:val="30E87759"/>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F2660"/>
    <w:rsid w:val="31AF3BC6"/>
    <w:rsid w:val="31B209D4"/>
    <w:rsid w:val="31B639EF"/>
    <w:rsid w:val="31B96A95"/>
    <w:rsid w:val="31BB05E2"/>
    <w:rsid w:val="31CC7F43"/>
    <w:rsid w:val="31DA1533"/>
    <w:rsid w:val="31DA78BC"/>
    <w:rsid w:val="31DF2042"/>
    <w:rsid w:val="31E433BD"/>
    <w:rsid w:val="31EA14EF"/>
    <w:rsid w:val="31ED2BBC"/>
    <w:rsid w:val="31F04974"/>
    <w:rsid w:val="31F73625"/>
    <w:rsid w:val="31FB6BA0"/>
    <w:rsid w:val="31FE5606"/>
    <w:rsid w:val="32056A2F"/>
    <w:rsid w:val="320D3B8B"/>
    <w:rsid w:val="32144F6B"/>
    <w:rsid w:val="32177761"/>
    <w:rsid w:val="32230959"/>
    <w:rsid w:val="322748ED"/>
    <w:rsid w:val="32323932"/>
    <w:rsid w:val="323359E0"/>
    <w:rsid w:val="323366BD"/>
    <w:rsid w:val="32384404"/>
    <w:rsid w:val="324236CA"/>
    <w:rsid w:val="32427F42"/>
    <w:rsid w:val="324E1E79"/>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D5514"/>
    <w:rsid w:val="32CD3CC7"/>
    <w:rsid w:val="32CE76AE"/>
    <w:rsid w:val="32D47229"/>
    <w:rsid w:val="32F01183"/>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901B40"/>
    <w:rsid w:val="339B1FEE"/>
    <w:rsid w:val="33A45B91"/>
    <w:rsid w:val="33AB50A9"/>
    <w:rsid w:val="33C04BC7"/>
    <w:rsid w:val="33C67E44"/>
    <w:rsid w:val="33CB346D"/>
    <w:rsid w:val="33E365F1"/>
    <w:rsid w:val="33F425AD"/>
    <w:rsid w:val="33FE176B"/>
    <w:rsid w:val="34056568"/>
    <w:rsid w:val="34131A69"/>
    <w:rsid w:val="342363ED"/>
    <w:rsid w:val="342B19E7"/>
    <w:rsid w:val="342D4A42"/>
    <w:rsid w:val="342E1B6C"/>
    <w:rsid w:val="3436722A"/>
    <w:rsid w:val="344F393B"/>
    <w:rsid w:val="34593C6A"/>
    <w:rsid w:val="345D7B2D"/>
    <w:rsid w:val="347237AF"/>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927C1"/>
    <w:rsid w:val="356102C6"/>
    <w:rsid w:val="357D319D"/>
    <w:rsid w:val="357E0CC8"/>
    <w:rsid w:val="3583684E"/>
    <w:rsid w:val="358E78BC"/>
    <w:rsid w:val="35902289"/>
    <w:rsid w:val="359A765A"/>
    <w:rsid w:val="35A17B8F"/>
    <w:rsid w:val="35AE7A80"/>
    <w:rsid w:val="35B22666"/>
    <w:rsid w:val="35B33E11"/>
    <w:rsid w:val="35C061B4"/>
    <w:rsid w:val="35C9081B"/>
    <w:rsid w:val="35CA14D0"/>
    <w:rsid w:val="35CC61A9"/>
    <w:rsid w:val="35CE4FC1"/>
    <w:rsid w:val="35D97A63"/>
    <w:rsid w:val="35DA55BC"/>
    <w:rsid w:val="35EA2607"/>
    <w:rsid w:val="35F745D6"/>
    <w:rsid w:val="35FA4F9F"/>
    <w:rsid w:val="36010FB1"/>
    <w:rsid w:val="36025178"/>
    <w:rsid w:val="362471D1"/>
    <w:rsid w:val="36392E40"/>
    <w:rsid w:val="363B2715"/>
    <w:rsid w:val="36414B9C"/>
    <w:rsid w:val="366F1AA9"/>
    <w:rsid w:val="367B08E9"/>
    <w:rsid w:val="36863185"/>
    <w:rsid w:val="368D02E0"/>
    <w:rsid w:val="36971AC1"/>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E1109A"/>
    <w:rsid w:val="37E76935"/>
    <w:rsid w:val="37F63E14"/>
    <w:rsid w:val="37FC61D6"/>
    <w:rsid w:val="38074AF9"/>
    <w:rsid w:val="380F3A29"/>
    <w:rsid w:val="381B5216"/>
    <w:rsid w:val="383B5256"/>
    <w:rsid w:val="385F7ACA"/>
    <w:rsid w:val="38711EC0"/>
    <w:rsid w:val="38762086"/>
    <w:rsid w:val="387737AC"/>
    <w:rsid w:val="387B6676"/>
    <w:rsid w:val="388E61CF"/>
    <w:rsid w:val="38A17B54"/>
    <w:rsid w:val="38B4205B"/>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468CE"/>
    <w:rsid w:val="392A081F"/>
    <w:rsid w:val="392C7DC2"/>
    <w:rsid w:val="393B6A95"/>
    <w:rsid w:val="394713D0"/>
    <w:rsid w:val="39630928"/>
    <w:rsid w:val="3963744A"/>
    <w:rsid w:val="396624C6"/>
    <w:rsid w:val="39677CC5"/>
    <w:rsid w:val="3968720C"/>
    <w:rsid w:val="3975337B"/>
    <w:rsid w:val="39757F23"/>
    <w:rsid w:val="39844B9F"/>
    <w:rsid w:val="398C3158"/>
    <w:rsid w:val="398C3287"/>
    <w:rsid w:val="398D5F0D"/>
    <w:rsid w:val="39AC106B"/>
    <w:rsid w:val="39B11459"/>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544AC"/>
    <w:rsid w:val="3A3A2995"/>
    <w:rsid w:val="3A3F7F9E"/>
    <w:rsid w:val="3A536600"/>
    <w:rsid w:val="3A6340C3"/>
    <w:rsid w:val="3A7C622C"/>
    <w:rsid w:val="3A966626"/>
    <w:rsid w:val="3A9A6BF7"/>
    <w:rsid w:val="3A9D621B"/>
    <w:rsid w:val="3AB801A0"/>
    <w:rsid w:val="3AC96ADB"/>
    <w:rsid w:val="3ACA0133"/>
    <w:rsid w:val="3AD038A8"/>
    <w:rsid w:val="3AD86194"/>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F2E9C"/>
    <w:rsid w:val="3B6E66B5"/>
    <w:rsid w:val="3B801B01"/>
    <w:rsid w:val="3B886938"/>
    <w:rsid w:val="3B9A43C4"/>
    <w:rsid w:val="3BB11549"/>
    <w:rsid w:val="3BC35B77"/>
    <w:rsid w:val="3BC767F9"/>
    <w:rsid w:val="3BC902C7"/>
    <w:rsid w:val="3BCC2E3F"/>
    <w:rsid w:val="3BD669C1"/>
    <w:rsid w:val="3BE377C4"/>
    <w:rsid w:val="3BEA420A"/>
    <w:rsid w:val="3BEE152D"/>
    <w:rsid w:val="3BF73E30"/>
    <w:rsid w:val="3BFF2436"/>
    <w:rsid w:val="3C10772C"/>
    <w:rsid w:val="3C325351"/>
    <w:rsid w:val="3C355835"/>
    <w:rsid w:val="3C391733"/>
    <w:rsid w:val="3C41640C"/>
    <w:rsid w:val="3C427C84"/>
    <w:rsid w:val="3C5367F4"/>
    <w:rsid w:val="3C6D114E"/>
    <w:rsid w:val="3C77021F"/>
    <w:rsid w:val="3C801D4A"/>
    <w:rsid w:val="3C83096C"/>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B5953"/>
    <w:rsid w:val="3D3E30C8"/>
    <w:rsid w:val="3D4420C4"/>
    <w:rsid w:val="3D452045"/>
    <w:rsid w:val="3D55305B"/>
    <w:rsid w:val="3D670A42"/>
    <w:rsid w:val="3D6A462F"/>
    <w:rsid w:val="3D836DBF"/>
    <w:rsid w:val="3D852DCD"/>
    <w:rsid w:val="3D8B46A9"/>
    <w:rsid w:val="3D8D4043"/>
    <w:rsid w:val="3D9623A6"/>
    <w:rsid w:val="3DA07968"/>
    <w:rsid w:val="3DB97072"/>
    <w:rsid w:val="3DD07A95"/>
    <w:rsid w:val="3DD55751"/>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F0C66"/>
    <w:rsid w:val="3F5760D4"/>
    <w:rsid w:val="3F5A4C65"/>
    <w:rsid w:val="3F633807"/>
    <w:rsid w:val="3F6525B0"/>
    <w:rsid w:val="3F6611D6"/>
    <w:rsid w:val="3F6619C5"/>
    <w:rsid w:val="3F6C1B91"/>
    <w:rsid w:val="3F72070B"/>
    <w:rsid w:val="3F810A52"/>
    <w:rsid w:val="3F9A748B"/>
    <w:rsid w:val="3FA12B1B"/>
    <w:rsid w:val="3FA1323D"/>
    <w:rsid w:val="3FB14A35"/>
    <w:rsid w:val="3FCB706E"/>
    <w:rsid w:val="3FCF20A1"/>
    <w:rsid w:val="3FD12E37"/>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82580"/>
    <w:rsid w:val="41796F00"/>
    <w:rsid w:val="4188606E"/>
    <w:rsid w:val="418A4AAA"/>
    <w:rsid w:val="419E3AA3"/>
    <w:rsid w:val="41C34504"/>
    <w:rsid w:val="41C85B7C"/>
    <w:rsid w:val="41CE028B"/>
    <w:rsid w:val="41CE67FD"/>
    <w:rsid w:val="41D80A0C"/>
    <w:rsid w:val="41FD4695"/>
    <w:rsid w:val="42004166"/>
    <w:rsid w:val="421D0552"/>
    <w:rsid w:val="423055E2"/>
    <w:rsid w:val="42311689"/>
    <w:rsid w:val="42483274"/>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F2657"/>
    <w:rsid w:val="43486C85"/>
    <w:rsid w:val="434C0533"/>
    <w:rsid w:val="435272F0"/>
    <w:rsid w:val="435B543B"/>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B4B32"/>
    <w:rsid w:val="447137A5"/>
    <w:rsid w:val="44735E84"/>
    <w:rsid w:val="44AC2A30"/>
    <w:rsid w:val="44AE3A8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751FD3"/>
    <w:rsid w:val="457572C5"/>
    <w:rsid w:val="45810E61"/>
    <w:rsid w:val="45836AB7"/>
    <w:rsid w:val="458944ED"/>
    <w:rsid w:val="459528AC"/>
    <w:rsid w:val="459B57B9"/>
    <w:rsid w:val="459E05CA"/>
    <w:rsid w:val="459E169C"/>
    <w:rsid w:val="459F501F"/>
    <w:rsid w:val="45AF3CA8"/>
    <w:rsid w:val="45B56BCF"/>
    <w:rsid w:val="45CC1794"/>
    <w:rsid w:val="45D65851"/>
    <w:rsid w:val="45D81177"/>
    <w:rsid w:val="461F3BB2"/>
    <w:rsid w:val="46204FE1"/>
    <w:rsid w:val="462150B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673E5"/>
    <w:rsid w:val="479A5DE2"/>
    <w:rsid w:val="479A6ECC"/>
    <w:rsid w:val="47AF039F"/>
    <w:rsid w:val="47BF4A37"/>
    <w:rsid w:val="47DB0C72"/>
    <w:rsid w:val="47E572EF"/>
    <w:rsid w:val="47FD669A"/>
    <w:rsid w:val="4803567D"/>
    <w:rsid w:val="48043F53"/>
    <w:rsid w:val="48052B82"/>
    <w:rsid w:val="480665F6"/>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910643"/>
    <w:rsid w:val="489B36DC"/>
    <w:rsid w:val="489C2EE5"/>
    <w:rsid w:val="48AA54D8"/>
    <w:rsid w:val="48AC1B1D"/>
    <w:rsid w:val="48AF311E"/>
    <w:rsid w:val="48B914EA"/>
    <w:rsid w:val="48BC4BA2"/>
    <w:rsid w:val="48C42A3E"/>
    <w:rsid w:val="48D54326"/>
    <w:rsid w:val="48D662CD"/>
    <w:rsid w:val="48D85A8C"/>
    <w:rsid w:val="48DA5442"/>
    <w:rsid w:val="48DC5FB4"/>
    <w:rsid w:val="48FB174D"/>
    <w:rsid w:val="48FD385A"/>
    <w:rsid w:val="49033566"/>
    <w:rsid w:val="49070C2C"/>
    <w:rsid w:val="4912350A"/>
    <w:rsid w:val="49170DBF"/>
    <w:rsid w:val="491C4628"/>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F007E"/>
    <w:rsid w:val="4A581FBE"/>
    <w:rsid w:val="4A5D57E8"/>
    <w:rsid w:val="4A606FC4"/>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6F4E0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C6761"/>
    <w:rsid w:val="4D1C1488"/>
    <w:rsid w:val="4D1D62B4"/>
    <w:rsid w:val="4D245859"/>
    <w:rsid w:val="4D2A39AF"/>
    <w:rsid w:val="4D550538"/>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4843C1"/>
    <w:rsid w:val="4E4F6905"/>
    <w:rsid w:val="4E5128D2"/>
    <w:rsid w:val="4E51713C"/>
    <w:rsid w:val="4E58536C"/>
    <w:rsid w:val="4E5A4F50"/>
    <w:rsid w:val="4E5F42F3"/>
    <w:rsid w:val="4E5F516F"/>
    <w:rsid w:val="4E6068C3"/>
    <w:rsid w:val="4E606D65"/>
    <w:rsid w:val="4E650350"/>
    <w:rsid w:val="4E902622"/>
    <w:rsid w:val="4E926869"/>
    <w:rsid w:val="4E9350C8"/>
    <w:rsid w:val="4E991C32"/>
    <w:rsid w:val="4EA64317"/>
    <w:rsid w:val="4EA93452"/>
    <w:rsid w:val="4EB57700"/>
    <w:rsid w:val="4EC863E9"/>
    <w:rsid w:val="4ECA4512"/>
    <w:rsid w:val="4ECC56E8"/>
    <w:rsid w:val="4ED90FAC"/>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754FB"/>
    <w:rsid w:val="4F3C3535"/>
    <w:rsid w:val="4F416B96"/>
    <w:rsid w:val="4F435A60"/>
    <w:rsid w:val="4F494735"/>
    <w:rsid w:val="4F4C3A4D"/>
    <w:rsid w:val="4F517A0B"/>
    <w:rsid w:val="4F5F204E"/>
    <w:rsid w:val="4F6351A5"/>
    <w:rsid w:val="4F656BB2"/>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C537D"/>
    <w:rsid w:val="4FEC63D6"/>
    <w:rsid w:val="500B0B32"/>
    <w:rsid w:val="5013740F"/>
    <w:rsid w:val="50163C04"/>
    <w:rsid w:val="50165D95"/>
    <w:rsid w:val="50215076"/>
    <w:rsid w:val="50285660"/>
    <w:rsid w:val="50335649"/>
    <w:rsid w:val="50374085"/>
    <w:rsid w:val="50376558"/>
    <w:rsid w:val="503912FC"/>
    <w:rsid w:val="503B1553"/>
    <w:rsid w:val="505F3A2E"/>
    <w:rsid w:val="5064534C"/>
    <w:rsid w:val="506D7517"/>
    <w:rsid w:val="50783741"/>
    <w:rsid w:val="507B7E86"/>
    <w:rsid w:val="508B3E41"/>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5083F"/>
    <w:rsid w:val="518A71A5"/>
    <w:rsid w:val="519C1787"/>
    <w:rsid w:val="51A0391C"/>
    <w:rsid w:val="51A1768C"/>
    <w:rsid w:val="51AD1971"/>
    <w:rsid w:val="51B42BB4"/>
    <w:rsid w:val="51C728B6"/>
    <w:rsid w:val="51C9605C"/>
    <w:rsid w:val="51D200E5"/>
    <w:rsid w:val="51D60801"/>
    <w:rsid w:val="51F12014"/>
    <w:rsid w:val="51FA4931"/>
    <w:rsid w:val="51FC7D50"/>
    <w:rsid w:val="51FD72E8"/>
    <w:rsid w:val="51FD7660"/>
    <w:rsid w:val="52102850"/>
    <w:rsid w:val="521A01FF"/>
    <w:rsid w:val="521D530A"/>
    <w:rsid w:val="52203D87"/>
    <w:rsid w:val="52260585"/>
    <w:rsid w:val="5227715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BC7724"/>
    <w:rsid w:val="52C51AD2"/>
    <w:rsid w:val="52C76741"/>
    <w:rsid w:val="52D06F57"/>
    <w:rsid w:val="52D22737"/>
    <w:rsid w:val="52E8236F"/>
    <w:rsid w:val="52F26FE0"/>
    <w:rsid w:val="52F34059"/>
    <w:rsid w:val="52F87809"/>
    <w:rsid w:val="530230A0"/>
    <w:rsid w:val="53090279"/>
    <w:rsid w:val="530E3233"/>
    <w:rsid w:val="530F48B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718B9"/>
    <w:rsid w:val="53EB3264"/>
    <w:rsid w:val="54121604"/>
    <w:rsid w:val="54196AF6"/>
    <w:rsid w:val="541E4BE5"/>
    <w:rsid w:val="543B7BAA"/>
    <w:rsid w:val="543C12E8"/>
    <w:rsid w:val="543D7C40"/>
    <w:rsid w:val="54492A66"/>
    <w:rsid w:val="544B5B68"/>
    <w:rsid w:val="544F6377"/>
    <w:rsid w:val="54517C34"/>
    <w:rsid w:val="545D1087"/>
    <w:rsid w:val="54806F3B"/>
    <w:rsid w:val="54847052"/>
    <w:rsid w:val="549216CA"/>
    <w:rsid w:val="549A1982"/>
    <w:rsid w:val="54A40745"/>
    <w:rsid w:val="54AC5361"/>
    <w:rsid w:val="54AD283C"/>
    <w:rsid w:val="54AD6F43"/>
    <w:rsid w:val="54B237ED"/>
    <w:rsid w:val="54B33B15"/>
    <w:rsid w:val="54BC6CBF"/>
    <w:rsid w:val="54BD68D2"/>
    <w:rsid w:val="54BD6947"/>
    <w:rsid w:val="54C40BFB"/>
    <w:rsid w:val="54C6675E"/>
    <w:rsid w:val="54D74548"/>
    <w:rsid w:val="54DA6DFE"/>
    <w:rsid w:val="54E624D0"/>
    <w:rsid w:val="54F12DC4"/>
    <w:rsid w:val="550054A8"/>
    <w:rsid w:val="55107147"/>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945073"/>
    <w:rsid w:val="55B17F5E"/>
    <w:rsid w:val="55B57704"/>
    <w:rsid w:val="55D73B2B"/>
    <w:rsid w:val="55D846BA"/>
    <w:rsid w:val="55E32B8E"/>
    <w:rsid w:val="55EB5E1E"/>
    <w:rsid w:val="55EF42D1"/>
    <w:rsid w:val="55F14746"/>
    <w:rsid w:val="55FD1675"/>
    <w:rsid w:val="55FF6D27"/>
    <w:rsid w:val="560A15DE"/>
    <w:rsid w:val="560E16CA"/>
    <w:rsid w:val="5615729A"/>
    <w:rsid w:val="56162524"/>
    <w:rsid w:val="561920F5"/>
    <w:rsid w:val="562059A8"/>
    <w:rsid w:val="56230093"/>
    <w:rsid w:val="562565D9"/>
    <w:rsid w:val="562878CD"/>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405A2"/>
    <w:rsid w:val="574249AC"/>
    <w:rsid w:val="574C494B"/>
    <w:rsid w:val="57633422"/>
    <w:rsid w:val="57690A75"/>
    <w:rsid w:val="576E55E7"/>
    <w:rsid w:val="577C7327"/>
    <w:rsid w:val="57876C3E"/>
    <w:rsid w:val="578D2033"/>
    <w:rsid w:val="57A0402B"/>
    <w:rsid w:val="57A8418D"/>
    <w:rsid w:val="57B25190"/>
    <w:rsid w:val="57B3441B"/>
    <w:rsid w:val="57B36B9E"/>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D270C"/>
    <w:rsid w:val="589013ED"/>
    <w:rsid w:val="58964BEC"/>
    <w:rsid w:val="589B7538"/>
    <w:rsid w:val="58A63D63"/>
    <w:rsid w:val="58AF10EC"/>
    <w:rsid w:val="58B065DD"/>
    <w:rsid w:val="58CC57D8"/>
    <w:rsid w:val="58D664DB"/>
    <w:rsid w:val="58E53300"/>
    <w:rsid w:val="59035618"/>
    <w:rsid w:val="590B141E"/>
    <w:rsid w:val="591C7677"/>
    <w:rsid w:val="591E5852"/>
    <w:rsid w:val="592A2410"/>
    <w:rsid w:val="59332852"/>
    <w:rsid w:val="593E7462"/>
    <w:rsid w:val="5954409D"/>
    <w:rsid w:val="59605E6B"/>
    <w:rsid w:val="596811F4"/>
    <w:rsid w:val="59751D84"/>
    <w:rsid w:val="597F4067"/>
    <w:rsid w:val="598C4EB2"/>
    <w:rsid w:val="599B45C2"/>
    <w:rsid w:val="59A85E17"/>
    <w:rsid w:val="59AD5375"/>
    <w:rsid w:val="59B273B0"/>
    <w:rsid w:val="59D2663D"/>
    <w:rsid w:val="59D54C0B"/>
    <w:rsid w:val="59E854F3"/>
    <w:rsid w:val="59EA5123"/>
    <w:rsid w:val="5A020223"/>
    <w:rsid w:val="5A0B5FE8"/>
    <w:rsid w:val="5A1C07CC"/>
    <w:rsid w:val="5A1C3233"/>
    <w:rsid w:val="5A274BDA"/>
    <w:rsid w:val="5A2B6347"/>
    <w:rsid w:val="5A332659"/>
    <w:rsid w:val="5A504131"/>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E028A8"/>
    <w:rsid w:val="5AE37293"/>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0787"/>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0666A"/>
    <w:rsid w:val="5C57043F"/>
    <w:rsid w:val="5C6519EA"/>
    <w:rsid w:val="5C66288B"/>
    <w:rsid w:val="5C6B7076"/>
    <w:rsid w:val="5C752D1F"/>
    <w:rsid w:val="5C777FC3"/>
    <w:rsid w:val="5C790ABB"/>
    <w:rsid w:val="5C8306ED"/>
    <w:rsid w:val="5C855BE8"/>
    <w:rsid w:val="5C8A0EB3"/>
    <w:rsid w:val="5C8F5B00"/>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326C82"/>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1D5CDD"/>
    <w:rsid w:val="5E343906"/>
    <w:rsid w:val="5E3622BE"/>
    <w:rsid w:val="5E497EFD"/>
    <w:rsid w:val="5E4C4C10"/>
    <w:rsid w:val="5E5E3A95"/>
    <w:rsid w:val="5E5F35C4"/>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73FEC"/>
    <w:rsid w:val="6029439A"/>
    <w:rsid w:val="603B5AF9"/>
    <w:rsid w:val="604F5167"/>
    <w:rsid w:val="606F6B7A"/>
    <w:rsid w:val="607411DC"/>
    <w:rsid w:val="60772A82"/>
    <w:rsid w:val="60840D60"/>
    <w:rsid w:val="608A19AE"/>
    <w:rsid w:val="60903873"/>
    <w:rsid w:val="60A70F41"/>
    <w:rsid w:val="60B8432C"/>
    <w:rsid w:val="60BC75F6"/>
    <w:rsid w:val="60E528A3"/>
    <w:rsid w:val="60E57A6B"/>
    <w:rsid w:val="60F01AD4"/>
    <w:rsid w:val="60F220DA"/>
    <w:rsid w:val="610553D3"/>
    <w:rsid w:val="61076864"/>
    <w:rsid w:val="610A2B60"/>
    <w:rsid w:val="611265F3"/>
    <w:rsid w:val="611B68BF"/>
    <w:rsid w:val="611E37D0"/>
    <w:rsid w:val="61330309"/>
    <w:rsid w:val="613913FC"/>
    <w:rsid w:val="613E0FF4"/>
    <w:rsid w:val="613F53D2"/>
    <w:rsid w:val="61461DEA"/>
    <w:rsid w:val="61471756"/>
    <w:rsid w:val="614E0C9F"/>
    <w:rsid w:val="614F0308"/>
    <w:rsid w:val="615E2BDF"/>
    <w:rsid w:val="616D5E79"/>
    <w:rsid w:val="616F6992"/>
    <w:rsid w:val="61705454"/>
    <w:rsid w:val="617A3030"/>
    <w:rsid w:val="61891AD9"/>
    <w:rsid w:val="618B4832"/>
    <w:rsid w:val="61953C54"/>
    <w:rsid w:val="61992403"/>
    <w:rsid w:val="61A66D2D"/>
    <w:rsid w:val="61B5032E"/>
    <w:rsid w:val="61C23BFD"/>
    <w:rsid w:val="61C775AB"/>
    <w:rsid w:val="61CE1ED9"/>
    <w:rsid w:val="61DC552F"/>
    <w:rsid w:val="61DE7B45"/>
    <w:rsid w:val="61E45063"/>
    <w:rsid w:val="61F310A8"/>
    <w:rsid w:val="61F916EC"/>
    <w:rsid w:val="61FC4D45"/>
    <w:rsid w:val="62026C93"/>
    <w:rsid w:val="620360F8"/>
    <w:rsid w:val="621409F7"/>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38F5"/>
    <w:rsid w:val="62DC1620"/>
    <w:rsid w:val="62E53013"/>
    <w:rsid w:val="62E92EFF"/>
    <w:rsid w:val="63001CB3"/>
    <w:rsid w:val="63031F7B"/>
    <w:rsid w:val="63040FB0"/>
    <w:rsid w:val="631039BB"/>
    <w:rsid w:val="632E7D87"/>
    <w:rsid w:val="63307A70"/>
    <w:rsid w:val="633452B5"/>
    <w:rsid w:val="6337519D"/>
    <w:rsid w:val="633839B4"/>
    <w:rsid w:val="63455073"/>
    <w:rsid w:val="634C7460"/>
    <w:rsid w:val="635A392B"/>
    <w:rsid w:val="635E78A1"/>
    <w:rsid w:val="63680B30"/>
    <w:rsid w:val="63695BDF"/>
    <w:rsid w:val="637B0DBB"/>
    <w:rsid w:val="637C5D8F"/>
    <w:rsid w:val="638543A7"/>
    <w:rsid w:val="63997ED5"/>
    <w:rsid w:val="639A1747"/>
    <w:rsid w:val="639C1186"/>
    <w:rsid w:val="63A32DFF"/>
    <w:rsid w:val="63A335B2"/>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021AE"/>
    <w:rsid w:val="64340573"/>
    <w:rsid w:val="644435A4"/>
    <w:rsid w:val="644F46F3"/>
    <w:rsid w:val="645121EF"/>
    <w:rsid w:val="64520C49"/>
    <w:rsid w:val="64637C5F"/>
    <w:rsid w:val="64644428"/>
    <w:rsid w:val="64683E83"/>
    <w:rsid w:val="647D015E"/>
    <w:rsid w:val="649A2A6D"/>
    <w:rsid w:val="649B4A42"/>
    <w:rsid w:val="649F08AC"/>
    <w:rsid w:val="64A20054"/>
    <w:rsid w:val="64AF2A42"/>
    <w:rsid w:val="64D04BC0"/>
    <w:rsid w:val="64DB2C1D"/>
    <w:rsid w:val="64DF7FC5"/>
    <w:rsid w:val="64FE7CAA"/>
    <w:rsid w:val="6504410B"/>
    <w:rsid w:val="65180FCE"/>
    <w:rsid w:val="651A2EED"/>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7014231"/>
    <w:rsid w:val="670313DE"/>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65B7A"/>
    <w:rsid w:val="68CE058F"/>
    <w:rsid w:val="68CF0500"/>
    <w:rsid w:val="68D85849"/>
    <w:rsid w:val="68E4139B"/>
    <w:rsid w:val="68EA574A"/>
    <w:rsid w:val="69016D77"/>
    <w:rsid w:val="690610F0"/>
    <w:rsid w:val="69100C7C"/>
    <w:rsid w:val="692844CB"/>
    <w:rsid w:val="692A2401"/>
    <w:rsid w:val="692D1AE1"/>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D7AC6"/>
    <w:rsid w:val="6AEB54A3"/>
    <w:rsid w:val="6AEE3408"/>
    <w:rsid w:val="6B09715A"/>
    <w:rsid w:val="6B117E6A"/>
    <w:rsid w:val="6B25125E"/>
    <w:rsid w:val="6B2A152C"/>
    <w:rsid w:val="6B2C3812"/>
    <w:rsid w:val="6B2D3FF5"/>
    <w:rsid w:val="6B2D67A1"/>
    <w:rsid w:val="6B3C5A82"/>
    <w:rsid w:val="6B4442E6"/>
    <w:rsid w:val="6B4A41DF"/>
    <w:rsid w:val="6B6B4434"/>
    <w:rsid w:val="6B8C71E8"/>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C5733"/>
    <w:rsid w:val="6C465805"/>
    <w:rsid w:val="6C466469"/>
    <w:rsid w:val="6C5A3462"/>
    <w:rsid w:val="6C5B074C"/>
    <w:rsid w:val="6C5B25E5"/>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A3D59"/>
    <w:rsid w:val="6D5C2BF0"/>
    <w:rsid w:val="6D5D661A"/>
    <w:rsid w:val="6D635677"/>
    <w:rsid w:val="6D641EFA"/>
    <w:rsid w:val="6D720E83"/>
    <w:rsid w:val="6D760E4D"/>
    <w:rsid w:val="6D8D4546"/>
    <w:rsid w:val="6D8E0EF1"/>
    <w:rsid w:val="6D9768D8"/>
    <w:rsid w:val="6DA81105"/>
    <w:rsid w:val="6DAF6F69"/>
    <w:rsid w:val="6DC12810"/>
    <w:rsid w:val="6DD30318"/>
    <w:rsid w:val="6DD35C0B"/>
    <w:rsid w:val="6DD54110"/>
    <w:rsid w:val="6DD7788F"/>
    <w:rsid w:val="6DE53886"/>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01CC"/>
    <w:rsid w:val="6F12155D"/>
    <w:rsid w:val="6F124AE3"/>
    <w:rsid w:val="6F160B9B"/>
    <w:rsid w:val="6F211995"/>
    <w:rsid w:val="6F306C5E"/>
    <w:rsid w:val="6F34719A"/>
    <w:rsid w:val="6F381E72"/>
    <w:rsid w:val="6F3C65DA"/>
    <w:rsid w:val="6F446832"/>
    <w:rsid w:val="6F465E7B"/>
    <w:rsid w:val="6F4C2B68"/>
    <w:rsid w:val="6F5B27FF"/>
    <w:rsid w:val="6F637FD7"/>
    <w:rsid w:val="6FA816CB"/>
    <w:rsid w:val="6FA84010"/>
    <w:rsid w:val="6FAA5C3A"/>
    <w:rsid w:val="6FBB743C"/>
    <w:rsid w:val="6FC745AF"/>
    <w:rsid w:val="6FCA795F"/>
    <w:rsid w:val="6FCD5F3A"/>
    <w:rsid w:val="6FDB5DF3"/>
    <w:rsid w:val="6FF95C6B"/>
    <w:rsid w:val="6FFA3875"/>
    <w:rsid w:val="700E1760"/>
    <w:rsid w:val="70113F0A"/>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B4A5F"/>
    <w:rsid w:val="711D7418"/>
    <w:rsid w:val="711F196A"/>
    <w:rsid w:val="711F5874"/>
    <w:rsid w:val="712075D4"/>
    <w:rsid w:val="7127508A"/>
    <w:rsid w:val="712812A1"/>
    <w:rsid w:val="712E5702"/>
    <w:rsid w:val="713F1E58"/>
    <w:rsid w:val="713F466A"/>
    <w:rsid w:val="71431807"/>
    <w:rsid w:val="71473529"/>
    <w:rsid w:val="71536A6C"/>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C41A5"/>
    <w:rsid w:val="72293BB5"/>
    <w:rsid w:val="7232489D"/>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5715D"/>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E201E"/>
    <w:rsid w:val="756B158B"/>
    <w:rsid w:val="7584167E"/>
    <w:rsid w:val="75846316"/>
    <w:rsid w:val="75862E9C"/>
    <w:rsid w:val="7591259A"/>
    <w:rsid w:val="7593319C"/>
    <w:rsid w:val="75A11D2F"/>
    <w:rsid w:val="75A130CA"/>
    <w:rsid w:val="75B65F94"/>
    <w:rsid w:val="75B70869"/>
    <w:rsid w:val="75CE3A9D"/>
    <w:rsid w:val="75D367D1"/>
    <w:rsid w:val="75D415FD"/>
    <w:rsid w:val="75DB3E64"/>
    <w:rsid w:val="75E729A9"/>
    <w:rsid w:val="75F254A0"/>
    <w:rsid w:val="75F2793E"/>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CA3EED"/>
    <w:rsid w:val="76E23C36"/>
    <w:rsid w:val="76E26A05"/>
    <w:rsid w:val="76EC4FFB"/>
    <w:rsid w:val="76EE28B0"/>
    <w:rsid w:val="770245AD"/>
    <w:rsid w:val="7706525B"/>
    <w:rsid w:val="771D7602"/>
    <w:rsid w:val="771F0CBB"/>
    <w:rsid w:val="772B07F7"/>
    <w:rsid w:val="772E0EFE"/>
    <w:rsid w:val="77494E74"/>
    <w:rsid w:val="774A736D"/>
    <w:rsid w:val="77501AF6"/>
    <w:rsid w:val="77543AE3"/>
    <w:rsid w:val="775B5A6C"/>
    <w:rsid w:val="77623947"/>
    <w:rsid w:val="776A6AE2"/>
    <w:rsid w:val="776E69D5"/>
    <w:rsid w:val="77735FF8"/>
    <w:rsid w:val="77742801"/>
    <w:rsid w:val="777D65D9"/>
    <w:rsid w:val="778426ED"/>
    <w:rsid w:val="7795028C"/>
    <w:rsid w:val="77A11F2D"/>
    <w:rsid w:val="77AB18D1"/>
    <w:rsid w:val="77AD41FF"/>
    <w:rsid w:val="77CA24A3"/>
    <w:rsid w:val="77DE63D6"/>
    <w:rsid w:val="77F069A1"/>
    <w:rsid w:val="77F55EC0"/>
    <w:rsid w:val="77F70585"/>
    <w:rsid w:val="78035878"/>
    <w:rsid w:val="78112CFA"/>
    <w:rsid w:val="781D4C9F"/>
    <w:rsid w:val="781F6078"/>
    <w:rsid w:val="7840713B"/>
    <w:rsid w:val="785E2448"/>
    <w:rsid w:val="786A03E5"/>
    <w:rsid w:val="786B57A0"/>
    <w:rsid w:val="786D1EFA"/>
    <w:rsid w:val="787B4FFC"/>
    <w:rsid w:val="78852E36"/>
    <w:rsid w:val="78863D61"/>
    <w:rsid w:val="78925FFE"/>
    <w:rsid w:val="789D1B38"/>
    <w:rsid w:val="78A1562B"/>
    <w:rsid w:val="78A42A36"/>
    <w:rsid w:val="78A43B6E"/>
    <w:rsid w:val="78A55F58"/>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577F0"/>
    <w:rsid w:val="7A29299B"/>
    <w:rsid w:val="7A2A0963"/>
    <w:rsid w:val="7A301453"/>
    <w:rsid w:val="7A3023C7"/>
    <w:rsid w:val="7A37276E"/>
    <w:rsid w:val="7A3A3BC9"/>
    <w:rsid w:val="7A456471"/>
    <w:rsid w:val="7A4A421F"/>
    <w:rsid w:val="7A4A4694"/>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8A691F"/>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442C81"/>
    <w:rsid w:val="7C525909"/>
    <w:rsid w:val="7C6046F7"/>
    <w:rsid w:val="7C6E0D3E"/>
    <w:rsid w:val="7C6E26A8"/>
    <w:rsid w:val="7C752273"/>
    <w:rsid w:val="7C7A01A3"/>
    <w:rsid w:val="7C8A32C0"/>
    <w:rsid w:val="7C966C5D"/>
    <w:rsid w:val="7C9D5974"/>
    <w:rsid w:val="7CBA0BB5"/>
    <w:rsid w:val="7CCA416D"/>
    <w:rsid w:val="7CCB2214"/>
    <w:rsid w:val="7CCC79EB"/>
    <w:rsid w:val="7CDD76FD"/>
    <w:rsid w:val="7CE23E88"/>
    <w:rsid w:val="7CE254BB"/>
    <w:rsid w:val="7CF053EB"/>
    <w:rsid w:val="7CF0542C"/>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AF12EE"/>
    <w:rsid w:val="7DB0081C"/>
    <w:rsid w:val="7DB630F9"/>
    <w:rsid w:val="7DB73A20"/>
    <w:rsid w:val="7DBB71BB"/>
    <w:rsid w:val="7DCB4F84"/>
    <w:rsid w:val="7DD562E3"/>
    <w:rsid w:val="7DE70059"/>
    <w:rsid w:val="7DEC5B2F"/>
    <w:rsid w:val="7DF148A5"/>
    <w:rsid w:val="7DF33B0D"/>
    <w:rsid w:val="7DFB302E"/>
    <w:rsid w:val="7E05177A"/>
    <w:rsid w:val="7E07584B"/>
    <w:rsid w:val="7E0B4D22"/>
    <w:rsid w:val="7E0C4F7C"/>
    <w:rsid w:val="7E0E3C07"/>
    <w:rsid w:val="7E0E6B37"/>
    <w:rsid w:val="7E154BC6"/>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BC057B"/>
    <w:rsid w:val="7EC55AEA"/>
    <w:rsid w:val="7ECC17C2"/>
    <w:rsid w:val="7ED22AB7"/>
    <w:rsid w:val="7ED97E28"/>
    <w:rsid w:val="7F007C0B"/>
    <w:rsid w:val="7F046D38"/>
    <w:rsid w:val="7F0D608A"/>
    <w:rsid w:val="7F134998"/>
    <w:rsid w:val="7F1A5F1D"/>
    <w:rsid w:val="7F1B6A2D"/>
    <w:rsid w:val="7F1C5034"/>
    <w:rsid w:val="7F1E3F4E"/>
    <w:rsid w:val="7F203896"/>
    <w:rsid w:val="7F2134CD"/>
    <w:rsid w:val="7F3956D2"/>
    <w:rsid w:val="7F3C3803"/>
    <w:rsid w:val="7F3D225C"/>
    <w:rsid w:val="7F460B32"/>
    <w:rsid w:val="7F467F74"/>
    <w:rsid w:val="7F485DBA"/>
    <w:rsid w:val="7F4E6E82"/>
    <w:rsid w:val="7F542359"/>
    <w:rsid w:val="7F545CFB"/>
    <w:rsid w:val="7F5D7691"/>
    <w:rsid w:val="7F6D0D44"/>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5">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6">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w:basedOn w:val="3"/>
    <w:autoRedefine/>
    <w:qFormat/>
    <w:uiPriority w:val="0"/>
    <w:pPr>
      <w:ind w:firstLine="420" w:firstLineChars="100"/>
    </w:pPr>
  </w:style>
  <w:style w:type="paragraph" w:styleId="3">
    <w:name w:val="Body Text"/>
    <w:basedOn w:val="1"/>
    <w:link w:val="29"/>
    <w:autoRedefine/>
    <w:unhideWhenUsed/>
    <w:qFormat/>
    <w:uiPriority w:val="0"/>
    <w:pPr>
      <w:spacing w:after="120"/>
    </w:pPr>
    <w:rPr>
      <w:rFonts w:ascii="Times New Roman" w:hAnsi="Times New Roman"/>
    </w:rPr>
  </w:style>
  <w:style w:type="paragraph" w:styleId="7">
    <w:name w:val="annotation text"/>
    <w:basedOn w:val="1"/>
    <w:autoRedefine/>
    <w:qFormat/>
    <w:uiPriority w:val="0"/>
    <w:pPr>
      <w:jc w:val="left"/>
    </w:pPr>
  </w:style>
  <w:style w:type="paragraph" w:styleId="8">
    <w:name w:val="Body Text Indent"/>
    <w:basedOn w:val="1"/>
    <w:autoRedefine/>
    <w:qFormat/>
    <w:uiPriority w:val="0"/>
    <w:pPr>
      <w:spacing w:line="200" w:lineRule="exact"/>
      <w:ind w:firstLine="301"/>
    </w:pPr>
    <w:rPr>
      <w:rFonts w:ascii="宋体" w:hAnsi="Courier New"/>
      <w:spacing w:val="-4"/>
      <w:sz w:val="18"/>
      <w:szCs w:val="20"/>
    </w:rPr>
  </w:style>
  <w:style w:type="paragraph" w:styleId="9">
    <w:name w:val="Plain Text"/>
    <w:basedOn w:val="1"/>
    <w:next w:val="5"/>
    <w:link w:val="27"/>
    <w:autoRedefine/>
    <w:qFormat/>
    <w:uiPriority w:val="0"/>
    <w:rPr>
      <w:rFonts w:ascii="宋体" w:hAnsi="Courier New"/>
      <w:szCs w:val="20"/>
    </w:rPr>
  </w:style>
  <w:style w:type="paragraph" w:styleId="10">
    <w:name w:val="Date"/>
    <w:basedOn w:val="1"/>
    <w:next w:val="1"/>
    <w:autoRedefine/>
    <w:qFormat/>
    <w:uiPriority w:val="99"/>
    <w:pPr>
      <w:ind w:left="100" w:leftChars="2500"/>
    </w:pPr>
    <w:rPr>
      <w:kern w:val="0"/>
      <w:sz w:val="24"/>
    </w:rPr>
  </w:style>
  <w:style w:type="paragraph" w:styleId="11">
    <w:name w:val="Balloon Text"/>
    <w:basedOn w:val="1"/>
    <w:link w:val="28"/>
    <w:autoRedefine/>
    <w:qFormat/>
    <w:uiPriority w:val="0"/>
    <w:rPr>
      <w:sz w:val="18"/>
      <w:szCs w:val="18"/>
    </w:rPr>
  </w:style>
  <w:style w:type="paragraph" w:styleId="12">
    <w:name w:val="footer"/>
    <w:basedOn w:val="1"/>
    <w:autoRedefine/>
    <w:unhideWhenUsed/>
    <w:qFormat/>
    <w:uiPriority w:val="0"/>
    <w:pPr>
      <w:tabs>
        <w:tab w:val="center" w:pos="4153"/>
        <w:tab w:val="right" w:pos="8306"/>
      </w:tabs>
      <w:snapToGrid w:val="0"/>
      <w:jc w:val="left"/>
    </w:pPr>
    <w:rPr>
      <w:sz w:val="18"/>
      <w:szCs w:val="18"/>
    </w:rPr>
  </w:style>
  <w:style w:type="paragraph" w:styleId="13">
    <w:name w:val="header"/>
    <w:basedOn w:val="1"/>
    <w:link w:val="25"/>
    <w:autoRedefine/>
    <w:qFormat/>
    <w:uiPriority w:val="0"/>
    <w:pPr>
      <w:pBdr>
        <w:bottom w:val="single" w:color="auto" w:sz="6" w:space="1"/>
      </w:pBdr>
      <w:tabs>
        <w:tab w:val="center" w:pos="4153"/>
        <w:tab w:val="right" w:pos="8306"/>
      </w:tabs>
      <w:snapToGrid w:val="0"/>
      <w:jc w:val="center"/>
    </w:pPr>
    <w:rPr>
      <w:sz w:val="18"/>
      <w:szCs w:val="18"/>
    </w:rPr>
  </w:style>
  <w:style w:type="paragraph" w:styleId="14">
    <w:name w:val="Subtitle"/>
    <w:basedOn w:val="1"/>
    <w:next w:val="1"/>
    <w:link w:val="31"/>
    <w:autoRedefine/>
    <w:qFormat/>
    <w:uiPriority w:val="0"/>
    <w:pPr>
      <w:spacing w:before="240" w:after="60"/>
      <w:jc w:val="center"/>
      <w:outlineLvl w:val="1"/>
    </w:pPr>
    <w:rPr>
      <w:rFonts w:ascii="Arial" w:hAnsi="Arial" w:eastAsia="微软雅黑"/>
      <w:kern w:val="28"/>
      <w:sz w:val="36"/>
    </w:rPr>
  </w:style>
  <w:style w:type="paragraph" w:styleId="15">
    <w:name w:val="Normal (Web)"/>
    <w:basedOn w:val="1"/>
    <w:autoRedefine/>
    <w:qFormat/>
    <w:uiPriority w:val="0"/>
    <w:pPr>
      <w:spacing w:beforeAutospacing="1" w:afterAutospacing="1"/>
      <w:jc w:val="left"/>
    </w:pPr>
    <w:rPr>
      <w:rFonts w:cs="Times New Roman"/>
      <w:kern w:val="0"/>
      <w:sz w:val="24"/>
    </w:rPr>
  </w:style>
  <w:style w:type="paragraph" w:styleId="16">
    <w:name w:val="Body Text First Indent 2"/>
    <w:basedOn w:val="8"/>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Hyperlink"/>
    <w:basedOn w:val="19"/>
    <w:autoRedefine/>
    <w:qFormat/>
    <w:uiPriority w:val="0"/>
    <w:rPr>
      <w:color w:val="0563C1" w:themeColor="hyperlink"/>
      <w:u w:val="single"/>
      <w14:textFill>
        <w14:solidFill>
          <w14:schemeClr w14:val="hlink"/>
        </w14:solidFill>
      </w14:textFill>
    </w:rPr>
  </w:style>
  <w:style w:type="paragraph" w:customStyle="1" w:styleId="21">
    <w:name w:val="表格文字"/>
    <w:basedOn w:val="1"/>
    <w:autoRedefine/>
    <w:qFormat/>
    <w:uiPriority w:val="0"/>
    <w:pPr>
      <w:jc w:val="left"/>
    </w:pPr>
    <w:rPr>
      <w:kern w:val="21"/>
      <w:szCs w:val="21"/>
    </w:rPr>
  </w:style>
  <w:style w:type="paragraph" w:styleId="22">
    <w:name w:val="List Paragraph"/>
    <w:basedOn w:val="1"/>
    <w:autoRedefine/>
    <w:qFormat/>
    <w:uiPriority w:val="34"/>
    <w:pPr>
      <w:ind w:firstLine="420" w:firstLineChars="200"/>
    </w:pPr>
  </w:style>
  <w:style w:type="paragraph" w:customStyle="1" w:styleId="23">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4">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5">
    <w:name w:val="页眉 Char"/>
    <w:basedOn w:val="19"/>
    <w:link w:val="13"/>
    <w:autoRedefine/>
    <w:qFormat/>
    <w:uiPriority w:val="0"/>
    <w:rPr>
      <w:rFonts w:asciiTheme="minorHAnsi" w:hAnsiTheme="minorHAnsi" w:eastAsiaTheme="minorEastAsia" w:cstheme="minorBidi"/>
      <w:kern w:val="2"/>
      <w:sz w:val="18"/>
      <w:szCs w:val="18"/>
    </w:rPr>
  </w:style>
  <w:style w:type="paragraph" w:customStyle="1" w:styleId="26">
    <w:name w:val="列出段落1"/>
    <w:basedOn w:val="1"/>
    <w:autoRedefine/>
    <w:qFormat/>
    <w:uiPriority w:val="34"/>
    <w:pPr>
      <w:ind w:firstLine="420" w:firstLineChars="200"/>
    </w:pPr>
  </w:style>
  <w:style w:type="character" w:customStyle="1" w:styleId="27">
    <w:name w:val="纯文本 Char"/>
    <w:basedOn w:val="19"/>
    <w:link w:val="9"/>
    <w:autoRedefine/>
    <w:qFormat/>
    <w:uiPriority w:val="0"/>
    <w:rPr>
      <w:rFonts w:ascii="宋体" w:hAnsi="Courier New" w:eastAsiaTheme="minorEastAsia" w:cstheme="minorBidi"/>
      <w:kern w:val="2"/>
      <w:sz w:val="21"/>
    </w:rPr>
  </w:style>
  <w:style w:type="character" w:customStyle="1" w:styleId="28">
    <w:name w:val="批注框文本 Char"/>
    <w:basedOn w:val="19"/>
    <w:link w:val="11"/>
    <w:autoRedefine/>
    <w:qFormat/>
    <w:uiPriority w:val="0"/>
    <w:rPr>
      <w:rFonts w:asciiTheme="minorHAnsi" w:hAnsiTheme="minorHAnsi" w:eastAsiaTheme="minorEastAsia" w:cstheme="minorBidi"/>
      <w:kern w:val="2"/>
      <w:sz w:val="18"/>
      <w:szCs w:val="18"/>
    </w:rPr>
  </w:style>
  <w:style w:type="character" w:customStyle="1" w:styleId="29">
    <w:name w:val="正文文本 Char"/>
    <w:basedOn w:val="19"/>
    <w:link w:val="3"/>
    <w:autoRedefine/>
    <w:qFormat/>
    <w:uiPriority w:val="0"/>
    <w:rPr>
      <w:rFonts w:ascii="Times New Roman" w:hAnsi="Times New Roman"/>
      <w:kern w:val="2"/>
      <w:sz w:val="21"/>
      <w:szCs w:val="24"/>
    </w:rPr>
  </w:style>
  <w:style w:type="paragraph" w:customStyle="1" w:styleId="30">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1">
    <w:name w:val="副标题 Char"/>
    <w:basedOn w:val="19"/>
    <w:link w:val="14"/>
    <w:autoRedefine/>
    <w:qFormat/>
    <w:uiPriority w:val="0"/>
    <w:rPr>
      <w:rFonts w:ascii="Arial" w:hAnsi="Arial" w:eastAsia="微软雅黑"/>
      <w:kern w:val="28"/>
      <w:sz w:val="36"/>
      <w:szCs w:val="24"/>
    </w:rPr>
  </w:style>
  <w:style w:type="paragraph" w:customStyle="1" w:styleId="32">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3">
    <w:name w:val="Table Paragraph"/>
    <w:basedOn w:val="1"/>
    <w:unhideWhenUsed/>
    <w:qFormat/>
    <w:uiPriority w:val="1"/>
    <w:rPr>
      <w:rFonts w:hint="eastAsia"/>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A4793E-E0BD-431D-A147-3C40811BB18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26</Pages>
  <Words>10611</Words>
  <Characters>11041</Characters>
  <Lines>71</Lines>
  <Paragraphs>20</Paragraphs>
  <TotalTime>1</TotalTime>
  <ScaleCrop>false</ScaleCrop>
  <LinksUpToDate>false</LinksUpToDate>
  <CharactersWithSpaces>12883</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2024-12-06T07:56:00Z</cp:lastPrinted>
  <dcterms:modified xsi:type="dcterms:W3CDTF">2025-08-15T01:56:41Z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127536711A934BE2946F08AB5A1B1634_13</vt:lpwstr>
  </property>
  <property fmtid="{D5CDD505-2E9C-101B-9397-08002B2CF9AE}" pid="4" name="KSOTemplateDocerSaveRecord">
    <vt:lpwstr>eyJoZGlkIjoiMTEzZWI4NDMyYWM1NTVmYTViNTkyNDAxYTQ4NmE5OGEiLCJ1c2VySWQiOiIyMjY4OTY5MDYifQ==</vt:lpwstr>
  </property>
</Properties>
</file>