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项目名称：南宁中心血站血液安全管理系统网络安全等级保护测评服务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南宁中心血站血液安全管理系统网络安全等级保护测评服务采购公告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南宁中心血站按照采购计划，对南宁中心血站血液安全管理系统网络安全等级保护测评服务进行采购，现就该项目邀请具有资质的单位进行响应，采购信息如下：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项目名称：南宁中心血站血液安全管理系统网络安全等级保护测评服务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陆万元整（￥60000.00）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陆万元整（￥60000.00）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7DD84A8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（六）具有公安部第三研究所颁发的《网络安全等级测评与检测评估机构服务认证证书》，提供证书复印件</w:t>
      </w:r>
      <w:r>
        <w:rPr>
          <w:rFonts w:hint="eastAsia" w:ascii="仿宋_GB2312" w:hAnsi="Courier New" w:eastAsia="仿宋_GB2312" w:cs="Courier New"/>
          <w:color w:val="000000"/>
          <w:kern w:val="0"/>
          <w:sz w:val="32"/>
          <w:szCs w:val="32"/>
          <w:lang w:val="zh-TW" w:eastAsia="zh-CN"/>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14CA058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（十二）提供相应的服务方案（格式自拟）；</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（十三）提供类似业绩及服务能力水平等有关证明材料（如有请提供）。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95320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20</w:t>
      </w:r>
      <w:bookmarkStart w:id="16" w:name="_GoBack"/>
      <w:bookmarkEnd w:id="16"/>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南宁中心血站血液安全管理系统网络安全等级保护测评服务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0154B4C6">
            <w:pPr>
              <w:bidi w:val="0"/>
              <w:rPr>
                <w:rFonts w:hint="eastAsia"/>
                <w:b/>
                <w:bCs/>
                <w:lang w:eastAsia="zh-CN"/>
              </w:rPr>
            </w:pPr>
            <w:r>
              <w:rPr>
                <w:rFonts w:hint="eastAsia"/>
                <w:b/>
                <w:bCs/>
              </w:rPr>
              <w:t>1、总的要求</w:t>
            </w:r>
            <w:r>
              <w:rPr>
                <w:rFonts w:hint="eastAsia"/>
                <w:b/>
                <w:bCs/>
                <w:lang w:eastAsia="zh-CN"/>
              </w:rPr>
              <w:t>：</w:t>
            </w:r>
          </w:p>
          <w:p w14:paraId="7485AD81">
            <w:pPr>
              <w:bidi w:val="0"/>
              <w:ind w:firstLine="420" w:firstLineChars="200"/>
              <w:rPr>
                <w:rFonts w:hint="eastAsia"/>
              </w:rPr>
            </w:pPr>
            <w:r>
              <w:rPr>
                <w:rFonts w:hint="eastAsia"/>
              </w:rPr>
              <w:t>依据《网络安全等级保护基本要求》（GB/T 22239-2019）对南宁</w:t>
            </w:r>
            <w:r>
              <w:rPr>
                <w:rFonts w:hint="eastAsia"/>
                <w:lang w:val="en-US" w:eastAsia="zh-CN"/>
              </w:rPr>
              <w:t>中心血站</w:t>
            </w:r>
            <w:r>
              <w:rPr>
                <w:rFonts w:hint="eastAsia"/>
              </w:rPr>
              <w:t>血液安全管理系统开展</w:t>
            </w:r>
            <w:r>
              <w:rPr>
                <w:rFonts w:hint="eastAsia"/>
                <w:lang w:val="en-US" w:eastAsia="zh-CN"/>
              </w:rPr>
              <w:t>二</w:t>
            </w:r>
            <w:r>
              <w:rPr>
                <w:rFonts w:hint="eastAsia"/>
              </w:rPr>
              <w:t>级等保测评工作，并出具网络安全等级保护测评报告。</w:t>
            </w:r>
          </w:p>
          <w:p w14:paraId="36D27B92">
            <w:pPr>
              <w:bidi w:val="0"/>
              <w:rPr>
                <w:rFonts w:hint="eastAsia"/>
                <w:b/>
                <w:bCs/>
                <w:lang w:eastAsia="zh-CN"/>
              </w:rPr>
            </w:pPr>
            <w:r>
              <w:rPr>
                <w:rFonts w:hint="eastAsia"/>
                <w:b/>
                <w:bCs/>
              </w:rPr>
              <w:t>2、标准依据</w:t>
            </w:r>
            <w:r>
              <w:rPr>
                <w:rFonts w:hint="eastAsia"/>
                <w:b/>
                <w:bCs/>
                <w:lang w:eastAsia="zh-CN"/>
              </w:rPr>
              <w:t>：</w:t>
            </w:r>
          </w:p>
          <w:p w14:paraId="558C6878">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《计算机信息系统安全保护等级划分准则》（GB 17859-1999)</w:t>
            </w:r>
          </w:p>
          <w:p w14:paraId="02B04386">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《网络安全等级保护基本要求》（GB/T 22239-2019）</w:t>
            </w:r>
          </w:p>
          <w:p w14:paraId="79DB1888">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《网络安全等级保护测评要求》（GB/T 28448-2019）</w:t>
            </w:r>
          </w:p>
          <w:p w14:paraId="38AE541A">
            <w:pPr>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lang w:val="en-US" w:eastAsia="zh-CN"/>
              </w:rPr>
              <w:t xml:space="preserve"> </w:t>
            </w:r>
            <w:r>
              <w:rPr>
                <w:rFonts w:hint="eastAsia"/>
              </w:rPr>
              <w:t>《网络安全等级保护测评过程指南》（GB/T 28449-2018)</w:t>
            </w:r>
          </w:p>
          <w:p w14:paraId="6DB5B76B">
            <w:pPr>
              <w:bidi w:val="0"/>
              <w:rPr>
                <w:rFonts w:hint="eastAsia"/>
              </w:rPr>
            </w:pPr>
            <w:r>
              <w:rPr>
                <w:rFonts w:hint="eastAsia"/>
                <w:lang w:eastAsia="zh-CN"/>
              </w:rPr>
              <w:t>（</w:t>
            </w:r>
            <w:r>
              <w:rPr>
                <w:rFonts w:hint="eastAsia"/>
                <w:lang w:val="en-US" w:eastAsia="zh-CN"/>
              </w:rPr>
              <w:t>5</w:t>
            </w:r>
            <w:r>
              <w:rPr>
                <w:rFonts w:hint="eastAsia"/>
                <w:lang w:eastAsia="zh-CN"/>
              </w:rPr>
              <w:t>）</w:t>
            </w:r>
            <w:r>
              <w:rPr>
                <w:rFonts w:hint="eastAsia"/>
                <w:lang w:val="en-US" w:eastAsia="zh-CN"/>
              </w:rPr>
              <w:t xml:space="preserve"> </w:t>
            </w:r>
            <w:r>
              <w:rPr>
                <w:rFonts w:hint="eastAsia"/>
              </w:rPr>
              <w:t>《网络安全等级保护设计技术要求》（GB/T 25070-2019）</w:t>
            </w:r>
          </w:p>
          <w:p w14:paraId="5630AFA6">
            <w:pPr>
              <w:bidi w:val="0"/>
              <w:rPr>
                <w:rFonts w:hint="eastAsia"/>
              </w:rPr>
            </w:pPr>
            <w:r>
              <w:rPr>
                <w:rFonts w:hint="eastAsia"/>
                <w:lang w:eastAsia="zh-CN"/>
              </w:rPr>
              <w:t>（</w:t>
            </w:r>
            <w:r>
              <w:rPr>
                <w:rFonts w:hint="eastAsia"/>
                <w:lang w:val="en-US" w:eastAsia="zh-CN"/>
              </w:rPr>
              <w:t>6</w:t>
            </w:r>
            <w:r>
              <w:rPr>
                <w:rFonts w:hint="eastAsia"/>
                <w:lang w:eastAsia="zh-CN"/>
              </w:rPr>
              <w:t>）</w:t>
            </w:r>
            <w:r>
              <w:rPr>
                <w:rFonts w:hint="eastAsia"/>
              </w:rPr>
              <w:t>《网络安全等级保护测试评估技术指南》（GB/T 36627-2018）</w:t>
            </w:r>
          </w:p>
          <w:p w14:paraId="71E240CB">
            <w:pPr>
              <w:bidi w:val="0"/>
              <w:rPr>
                <w:rFonts w:hint="eastAsia"/>
                <w:b/>
                <w:bCs/>
              </w:rPr>
            </w:pPr>
            <w:r>
              <w:rPr>
                <w:rFonts w:hint="eastAsia"/>
                <w:b/>
                <w:bCs/>
              </w:rPr>
              <w:t>3、测评内容</w:t>
            </w:r>
            <w:r>
              <w:rPr>
                <w:rFonts w:hint="eastAsia"/>
                <w:b/>
                <w:bCs/>
                <w:lang w:eastAsia="zh-CN"/>
              </w:rPr>
              <w:t>：</w:t>
            </w:r>
          </w:p>
          <w:p w14:paraId="6BB3A6A8">
            <w:pPr>
              <w:bidi w:val="0"/>
              <w:rPr>
                <w:rFonts w:hint="eastAsia"/>
                <w:lang w:eastAsia="zh-CN"/>
              </w:rPr>
            </w:pPr>
            <w:r>
              <w:rPr>
                <w:rFonts w:hint="eastAsia"/>
                <w:lang w:eastAsia="zh-CN"/>
              </w:rPr>
              <w:t>（</w:t>
            </w:r>
            <w:r>
              <w:rPr>
                <w:rFonts w:hint="eastAsia"/>
                <w:lang w:val="en-US" w:eastAsia="zh-CN"/>
              </w:rPr>
              <w:t>1</w:t>
            </w:r>
            <w:r>
              <w:rPr>
                <w:rFonts w:hint="eastAsia"/>
                <w:lang w:eastAsia="zh-CN"/>
              </w:rPr>
              <w:t>）</w:t>
            </w:r>
            <w:r>
              <w:rPr>
                <w:rFonts w:hint="eastAsia"/>
              </w:rPr>
              <w:t>安全通用要求</w:t>
            </w:r>
            <w:r>
              <w:rPr>
                <w:rFonts w:hint="eastAsia"/>
                <w:lang w:eastAsia="zh-CN"/>
              </w:rPr>
              <w:t>：</w:t>
            </w:r>
          </w:p>
          <w:p w14:paraId="579DB080">
            <w:pPr>
              <w:bidi w:val="0"/>
              <w:ind w:firstLine="420" w:firstLineChars="200"/>
              <w:rPr>
                <w:rFonts w:hint="eastAsia"/>
              </w:rPr>
            </w:pPr>
            <w:r>
              <w:rPr>
                <w:rFonts w:hint="eastAsia"/>
              </w:rPr>
              <w:t>测评内容包括安全技术和安全管理两大类，其中技术类包括对安全物理环境、安全通信网络、安全区域边界、安全计算环境、安全管理中心五个方面的测评</w:t>
            </w:r>
            <w:r>
              <w:rPr>
                <w:rFonts w:hint="eastAsia"/>
                <w:lang w:eastAsia="zh-CN"/>
              </w:rPr>
              <w:t>；</w:t>
            </w:r>
            <w:r>
              <w:rPr>
                <w:rFonts w:hint="eastAsia"/>
              </w:rPr>
              <w:t>安全管理类测评包括对安全管理制度、安全管理机构、安全管理人员、安全建设管理、安全运维管理五个方面的测评。</w:t>
            </w:r>
          </w:p>
          <w:p w14:paraId="795E9B1F">
            <w:pPr>
              <w:bidi w:val="0"/>
              <w:rPr>
                <w:rFonts w:hint="eastAsia"/>
                <w:b/>
                <w:bCs/>
                <w:lang w:eastAsia="zh-CN"/>
              </w:rPr>
            </w:pPr>
            <w:r>
              <w:rPr>
                <w:rFonts w:hint="eastAsia"/>
                <w:b/>
                <w:bCs/>
              </w:rPr>
              <w:t>4、测评方法</w:t>
            </w:r>
            <w:r>
              <w:rPr>
                <w:rFonts w:hint="eastAsia"/>
                <w:b/>
                <w:bCs/>
                <w:lang w:eastAsia="zh-CN"/>
              </w:rPr>
              <w:t>：</w:t>
            </w:r>
          </w:p>
          <w:p w14:paraId="4B14B93A">
            <w:pPr>
              <w:bidi w:val="0"/>
              <w:ind w:firstLine="420" w:firstLineChars="200"/>
              <w:rPr>
                <w:rFonts w:hint="eastAsia"/>
              </w:rPr>
            </w:pPr>
            <w:r>
              <w:rPr>
                <w:rFonts w:hint="eastAsia"/>
              </w:rPr>
              <w:t>在测评实施过程中，采用访谈、检查和测试、渗透测试等测评方法进行，并与国家相关规范及标准的要求相符。</w:t>
            </w:r>
          </w:p>
          <w:p w14:paraId="3EF50B6D">
            <w:pPr>
              <w:bidi w:val="0"/>
              <w:rPr>
                <w:rFonts w:hint="eastAsia"/>
              </w:rPr>
            </w:pPr>
            <w:r>
              <w:rPr>
                <w:rFonts w:hint="eastAsia"/>
              </w:rPr>
              <w:t xml:space="preserve">    访谈是指测评人员通过引导信息系统相关人员进行有目的的（有针对性的）交流以帮助测评人员理解、分析或取得证据的过程</w:t>
            </w:r>
            <w:r>
              <w:rPr>
                <w:rFonts w:hint="eastAsia"/>
                <w:lang w:eastAsia="zh-CN"/>
              </w:rPr>
              <w:t>。</w:t>
            </w:r>
          </w:p>
          <w:p w14:paraId="34E3B2E7">
            <w:pPr>
              <w:bidi w:val="0"/>
              <w:rPr>
                <w:rFonts w:hint="eastAsia"/>
              </w:rPr>
            </w:pPr>
            <w:r>
              <w:rPr>
                <w:rFonts w:hint="eastAsia"/>
              </w:rPr>
              <w:t xml:space="preserve">   </w:t>
            </w:r>
            <w:r>
              <w:rPr>
                <w:rFonts w:hint="eastAsia"/>
                <w:lang w:val="en-US" w:eastAsia="zh-CN"/>
              </w:rPr>
              <w:t xml:space="preserve"> </w:t>
            </w:r>
            <w:r>
              <w:rPr>
                <w:rFonts w:hint="eastAsia"/>
              </w:rPr>
              <w:t>检查是指测评人员通过对测评对象（如管理制度、操作记录、安全配置等）进行观察、查验、分析以帮助测评人员理解、分析或取得证据的过程</w:t>
            </w:r>
            <w:r>
              <w:rPr>
                <w:rFonts w:hint="eastAsia"/>
                <w:lang w:eastAsia="zh-CN"/>
              </w:rPr>
              <w:t>。</w:t>
            </w:r>
          </w:p>
          <w:p w14:paraId="751AF43C">
            <w:pPr>
              <w:bidi w:val="0"/>
              <w:ind w:firstLine="420" w:firstLineChars="200"/>
              <w:rPr>
                <w:rFonts w:hint="eastAsia"/>
              </w:rPr>
            </w:pPr>
            <w:r>
              <w:rPr>
                <w:rFonts w:hint="eastAsia"/>
              </w:rPr>
              <w:t>测试是测评人员使用预定的方法</w:t>
            </w:r>
            <w:r>
              <w:rPr>
                <w:rFonts w:hint="eastAsia"/>
                <w:lang w:val="en-US" w:eastAsia="zh-CN"/>
              </w:rPr>
              <w:t>或</w:t>
            </w:r>
            <w:r>
              <w:rPr>
                <w:rFonts w:hint="eastAsia"/>
              </w:rPr>
              <w:t>工具使测评对象产生特定的行为，通过查看和分析结果以帮助测评人员获取证据的过程</w:t>
            </w:r>
            <w:r>
              <w:rPr>
                <w:rFonts w:hint="eastAsia"/>
                <w:lang w:eastAsia="zh-CN"/>
              </w:rPr>
              <w:t>。</w:t>
            </w:r>
          </w:p>
          <w:p w14:paraId="433ED843">
            <w:pPr>
              <w:bidi w:val="0"/>
              <w:rPr>
                <w:rFonts w:hint="eastAsia"/>
                <w:b/>
                <w:bCs/>
                <w:lang w:eastAsia="zh-CN"/>
              </w:rPr>
            </w:pPr>
            <w:r>
              <w:rPr>
                <w:rFonts w:hint="eastAsia"/>
                <w:b/>
                <w:bCs/>
              </w:rPr>
              <w:t>5、</w:t>
            </w:r>
            <w:r>
              <w:rPr>
                <w:rFonts w:hint="eastAsia"/>
                <w:b/>
                <w:bCs/>
                <w:lang w:val="en-US" w:eastAsia="zh-CN"/>
              </w:rPr>
              <w:t>出具</w:t>
            </w:r>
            <w:r>
              <w:rPr>
                <w:rFonts w:hint="eastAsia"/>
                <w:b/>
                <w:bCs/>
              </w:rPr>
              <w:t>网络安全等级保护测评报告</w:t>
            </w:r>
            <w:r>
              <w:rPr>
                <w:rFonts w:hint="eastAsia"/>
                <w:b/>
                <w:bCs/>
                <w:lang w:eastAsia="zh-CN"/>
              </w:rPr>
              <w:t>：</w:t>
            </w:r>
          </w:p>
          <w:p w14:paraId="79F7E8C3">
            <w:pPr>
              <w:bidi w:val="0"/>
              <w:ind w:firstLine="420" w:firstLineChars="200"/>
              <w:rPr>
                <w:rFonts w:hint="eastAsia"/>
              </w:rPr>
            </w:pPr>
            <w:r>
              <w:rPr>
                <w:rFonts w:hint="eastAsia"/>
              </w:rPr>
              <w:t>合同签订后1个月内完成测评，并出具符合等保相关技术标准要求、国家网络安全等级保护管理部门规范要求的网络安全等级保护测评报告2份。</w:t>
            </w:r>
          </w:p>
          <w:p w14:paraId="22368B55">
            <w:pPr>
              <w:bidi w:val="0"/>
              <w:rPr>
                <w:rFonts w:hint="eastAsia"/>
                <w:b/>
                <w:bCs/>
                <w:lang w:val="en-US" w:eastAsia="zh-CN"/>
              </w:rPr>
            </w:pPr>
            <w:r>
              <w:rPr>
                <w:rFonts w:hint="eastAsia"/>
                <w:b/>
                <w:bCs/>
                <w:lang w:val="en-US" w:eastAsia="zh-CN"/>
              </w:rPr>
              <w:t>6、其他要求：</w:t>
            </w:r>
          </w:p>
          <w:p w14:paraId="590B789E">
            <w:pPr>
              <w:bidi w:val="0"/>
              <w:rPr>
                <w:rFonts w:hint="eastAsia" w:eastAsiaTheme="minorEastAsia"/>
                <w:lang w:eastAsia="zh-CN"/>
              </w:rPr>
            </w:pPr>
            <w:r>
              <w:rPr>
                <w:rFonts w:hint="eastAsia"/>
                <w:lang w:val="en-US" w:eastAsia="zh-CN"/>
              </w:rPr>
              <w:t>（1）</w:t>
            </w:r>
            <w:r>
              <w:rPr>
                <w:rFonts w:hint="eastAsia"/>
              </w:rPr>
              <w:t>投入本项目的等保测评实施人员必须具有公安部信息安全等级保护评估中心或中关村信息安全测评联盟颁发的《信息/网络安全等级测评师证书》（</w:t>
            </w:r>
            <w:r>
              <w:rPr>
                <w:rFonts w:hint="eastAsia"/>
                <w:lang w:val="en-US" w:eastAsia="zh-CN"/>
              </w:rPr>
              <w:t>响应</w:t>
            </w:r>
            <w:r>
              <w:rPr>
                <w:rFonts w:hint="eastAsia"/>
              </w:rPr>
              <w:t>文件中须提供相关证明材料）</w:t>
            </w:r>
            <w:r>
              <w:rPr>
                <w:rFonts w:hint="eastAsia"/>
                <w:lang w:eastAsia="zh-CN"/>
              </w:rPr>
              <w:t>。</w:t>
            </w:r>
          </w:p>
          <w:p w14:paraId="264A252D">
            <w:pPr>
              <w:bidi w:val="0"/>
              <w:rPr>
                <w:rFonts w:hint="default" w:ascii="宋体" w:hAnsi="宋体" w:eastAsia="宋体" w:cs="宋体"/>
                <w:szCs w:val="21"/>
                <w:lang w:val="en-US" w:eastAsia="zh-CN"/>
              </w:rPr>
            </w:pPr>
            <w:r>
              <w:rPr>
                <w:rFonts w:hint="eastAsia"/>
                <w:lang w:val="en-US" w:eastAsia="zh-CN"/>
              </w:rPr>
              <w:t>（2）响应供应商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60000.00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6B11EB6">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b/>
                <w:bCs/>
                <w:color w:val="auto"/>
                <w:sz w:val="21"/>
                <w:szCs w:val="21"/>
                <w:highlight w:val="none"/>
                <w:shd w:val="clear" w:color="auto" w:fill="FFFFFF"/>
              </w:rPr>
              <w:t>一、合同签订期：</w:t>
            </w:r>
            <w:r>
              <w:rPr>
                <w:rFonts w:hint="eastAsia" w:ascii="宋体" w:hAnsi="宋体" w:eastAsia="宋体" w:cs="宋体"/>
                <w:color w:val="auto"/>
                <w:sz w:val="21"/>
                <w:szCs w:val="21"/>
                <w:highlight w:val="none"/>
                <w:shd w:val="clear" w:color="auto" w:fill="FFFFFF"/>
              </w:rPr>
              <w:t>自采购结果公告结束之日起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p w14:paraId="7656B727">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b/>
                <w:bCs/>
                <w:color w:val="auto"/>
                <w:sz w:val="21"/>
                <w:szCs w:val="21"/>
                <w:highlight w:val="none"/>
                <w:shd w:val="clear" w:color="auto" w:fill="FFFFFF"/>
              </w:rPr>
              <w:t>二、服务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p w14:paraId="5C3FE10F">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三、服务地点：</w:t>
            </w:r>
            <w:r>
              <w:rPr>
                <w:rFonts w:hint="eastAsia" w:ascii="宋体" w:hAnsi="宋体" w:eastAsia="宋体" w:cs="宋体"/>
                <w:color w:val="auto"/>
                <w:sz w:val="21"/>
                <w:szCs w:val="21"/>
                <w:highlight w:val="none"/>
                <w:shd w:val="clear" w:color="auto" w:fill="FFFFFF"/>
              </w:rPr>
              <w:t>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p w14:paraId="4F7825C1">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四、其他要求：</w:t>
            </w:r>
          </w:p>
          <w:p w14:paraId="54114BC3">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1CE7253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631F1CA2">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材料费:包含汇报材料及成果打印费用</w:t>
            </w:r>
            <w:r>
              <w:rPr>
                <w:rFonts w:hint="eastAsia" w:ascii="宋体" w:hAnsi="宋体" w:cs="宋体"/>
                <w:color w:val="auto"/>
                <w:sz w:val="21"/>
                <w:szCs w:val="21"/>
                <w:highlight w:val="none"/>
                <w:shd w:val="clear" w:color="auto" w:fill="FFFFFF"/>
                <w:lang w:eastAsia="zh-CN"/>
              </w:rPr>
              <w:t>；</w:t>
            </w:r>
          </w:p>
          <w:p w14:paraId="675E878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必要的保险费用和各项税金。</w:t>
            </w:r>
          </w:p>
          <w:p w14:paraId="62A34F11">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01A935E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 w:val="21"/>
                <w:szCs w:val="21"/>
                <w:highlight w:val="none"/>
                <w:shd w:val="clear" w:color="auto" w:fill="FFFFFF"/>
                <w:lang w:val="en-US" w:eastAsia="zh-CN"/>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eastAsia="宋体" w:cs="宋体"/>
                <w:color w:val="auto"/>
                <w:sz w:val="21"/>
                <w:szCs w:val="21"/>
                <w:highlight w:val="none"/>
                <w:shd w:val="clear" w:color="auto" w:fill="FFFFFF"/>
              </w:rPr>
              <w:t>网络安全等级保护测评报告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608D28A2">
            <w:pPr>
              <w:ind w:firstLine="0" w:firstLineChars="0"/>
              <w:rPr>
                <w:rFonts w:ascii="宋体" w:hAnsi="宋体"/>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r>
              <w:rPr>
                <w:rFonts w:hint="eastAsia" w:ascii="宋体" w:hAnsi="宋体"/>
                <w:b w:val="0"/>
                <w:bCs w:val="0"/>
                <w:szCs w:val="21"/>
              </w:rPr>
              <w:t xml:space="preserve"> </w:t>
            </w:r>
            <w:r>
              <w:rPr>
                <w:rFonts w:hint="eastAsia"/>
              </w:rPr>
              <w:t xml:space="preserve"> </w:t>
            </w:r>
          </w:p>
        </w:tc>
      </w:tr>
    </w:tbl>
    <w:p w14:paraId="71E99B0E">
      <w:pPr>
        <w:pStyle w:val="38"/>
        <w:ind w:firstLine="460" w:firstLineChars="200"/>
        <w:rPr>
          <w:sz w:val="21"/>
          <w:szCs w:val="21"/>
        </w:rPr>
      </w:pPr>
    </w:p>
    <w:p w14:paraId="7D42BC59">
      <w:pPr>
        <w:pStyle w:val="6"/>
        <w:spacing w:line="500" w:lineRule="exact"/>
        <w:jc w:val="left"/>
        <w:rPr>
          <w:rFonts w:hint="eastAsia" w:ascii="仿宋" w:hAnsi="仿宋" w:eastAsia="仿宋"/>
          <w:color w:val="auto"/>
          <w:sz w:val="30"/>
          <w:szCs w:val="30"/>
        </w:rPr>
      </w:pPr>
    </w:p>
    <w:p w14:paraId="08B4102D">
      <w:pPr>
        <w:pStyle w:val="6"/>
        <w:spacing w:line="500" w:lineRule="exact"/>
        <w:jc w:val="left"/>
        <w:rPr>
          <w:rFonts w:hint="eastAsia" w:ascii="仿宋" w:hAnsi="仿宋" w:eastAsia="仿宋"/>
          <w:color w:val="auto"/>
          <w:sz w:val="30"/>
          <w:szCs w:val="30"/>
        </w:rPr>
      </w:pPr>
    </w:p>
    <w:p w14:paraId="26F1C732">
      <w:pPr>
        <w:pStyle w:val="6"/>
        <w:spacing w:line="500" w:lineRule="exact"/>
        <w:jc w:val="left"/>
        <w:rPr>
          <w:rFonts w:hint="eastAsia" w:ascii="仿宋" w:hAnsi="仿宋" w:eastAsia="仿宋"/>
          <w:color w:val="auto"/>
          <w:sz w:val="30"/>
          <w:szCs w:val="30"/>
        </w:rPr>
      </w:pPr>
    </w:p>
    <w:p w14:paraId="3E0143C9">
      <w:pPr>
        <w:pStyle w:val="6"/>
        <w:spacing w:line="500" w:lineRule="exact"/>
        <w:jc w:val="left"/>
        <w:rPr>
          <w:rFonts w:hint="eastAsia" w:ascii="仿宋" w:hAnsi="仿宋" w:eastAsia="仿宋"/>
          <w:color w:val="auto"/>
          <w:sz w:val="30"/>
          <w:szCs w:val="30"/>
        </w:rPr>
      </w:pPr>
    </w:p>
    <w:p w14:paraId="0E5F2E8C">
      <w:pPr>
        <w:pStyle w:val="6"/>
        <w:spacing w:line="500" w:lineRule="exact"/>
        <w:jc w:val="left"/>
        <w:rPr>
          <w:rFonts w:hint="eastAsia" w:ascii="仿宋" w:hAnsi="仿宋" w:eastAsia="仿宋"/>
          <w:color w:val="auto"/>
          <w:sz w:val="30"/>
          <w:szCs w:val="30"/>
        </w:rPr>
      </w:pPr>
    </w:p>
    <w:p w14:paraId="265DAF25">
      <w:pPr>
        <w:pStyle w:val="6"/>
        <w:spacing w:line="500" w:lineRule="exact"/>
        <w:jc w:val="left"/>
        <w:rPr>
          <w:rFonts w:hint="eastAsia" w:ascii="仿宋" w:hAnsi="仿宋" w:eastAsia="仿宋"/>
          <w:color w:val="auto"/>
          <w:sz w:val="30"/>
          <w:szCs w:val="30"/>
        </w:rPr>
      </w:pPr>
    </w:p>
    <w:p w14:paraId="012A1F9B">
      <w:pPr>
        <w:pStyle w:val="6"/>
        <w:spacing w:line="500" w:lineRule="exact"/>
        <w:jc w:val="left"/>
        <w:rPr>
          <w:rFonts w:hint="eastAsia" w:ascii="仿宋" w:hAnsi="仿宋" w:eastAsia="仿宋"/>
          <w:color w:val="auto"/>
          <w:sz w:val="30"/>
          <w:szCs w:val="30"/>
        </w:rPr>
      </w:pPr>
    </w:p>
    <w:p w14:paraId="2B2781F8">
      <w:pPr>
        <w:pStyle w:val="6"/>
        <w:spacing w:line="500" w:lineRule="exact"/>
        <w:jc w:val="left"/>
        <w:rPr>
          <w:rFonts w:hint="eastAsia" w:ascii="仿宋" w:hAnsi="仿宋" w:eastAsia="仿宋"/>
          <w:color w:val="auto"/>
          <w:sz w:val="30"/>
          <w:szCs w:val="30"/>
        </w:rPr>
      </w:pPr>
    </w:p>
    <w:p w14:paraId="79B60461">
      <w:pPr>
        <w:pStyle w:val="6"/>
        <w:spacing w:line="500" w:lineRule="exact"/>
        <w:jc w:val="left"/>
        <w:rPr>
          <w:rFonts w:hint="eastAsia" w:ascii="仿宋" w:hAnsi="仿宋" w:eastAsia="仿宋"/>
          <w:color w:val="auto"/>
          <w:sz w:val="30"/>
          <w:szCs w:val="30"/>
        </w:rPr>
      </w:pPr>
    </w:p>
    <w:p w14:paraId="76D78282">
      <w:pPr>
        <w:pStyle w:val="6"/>
        <w:spacing w:line="500" w:lineRule="exact"/>
        <w:jc w:val="left"/>
        <w:rPr>
          <w:rFonts w:hint="eastAsia" w:ascii="仿宋" w:hAnsi="仿宋" w:eastAsia="仿宋"/>
          <w:color w:val="auto"/>
          <w:sz w:val="30"/>
          <w:szCs w:val="30"/>
        </w:rPr>
      </w:pPr>
    </w:p>
    <w:p w14:paraId="148D26B7">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南宁中心血站血液安全管理系统网络安全等级保护测评服务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73E63B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49DB7D73">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8049D0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南宁中心血站血液安全管理系统网络安全等级保护测评服务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金额不能超过项目最高限价（￥60000.00元）。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南宁中心血站血液安全管理系统网络安全等级保护测评服务</w:t>
            </w:r>
          </w:p>
        </w:tc>
        <w:tc>
          <w:tcPr>
            <w:tcW w:w="3429" w:type="dxa"/>
            <w:vAlign w:val="center"/>
          </w:tcPr>
          <w:p w14:paraId="41C47E60">
            <w:pPr>
              <w:bidi w:val="0"/>
              <w:rPr>
                <w:rFonts w:hint="eastAsia"/>
                <w:b/>
                <w:bCs/>
                <w:lang w:eastAsia="zh-CN"/>
              </w:rPr>
            </w:pPr>
            <w:r>
              <w:rPr>
                <w:rFonts w:hint="eastAsia"/>
                <w:b/>
                <w:bCs/>
              </w:rPr>
              <w:t>1、总的要求</w:t>
            </w:r>
            <w:r>
              <w:rPr>
                <w:rFonts w:hint="eastAsia"/>
                <w:b/>
                <w:bCs/>
                <w:lang w:eastAsia="zh-CN"/>
              </w:rPr>
              <w:t>：</w:t>
            </w:r>
          </w:p>
          <w:p w14:paraId="31FDF6CA">
            <w:pPr>
              <w:bidi w:val="0"/>
              <w:ind w:firstLine="420" w:firstLineChars="200"/>
              <w:rPr>
                <w:rFonts w:hint="eastAsia"/>
              </w:rPr>
            </w:pPr>
            <w:r>
              <w:rPr>
                <w:rFonts w:hint="eastAsia"/>
              </w:rPr>
              <w:t>依据《网络安全等级保护基本要求》（GB/T 22239-2019）对南宁</w:t>
            </w:r>
            <w:r>
              <w:rPr>
                <w:rFonts w:hint="eastAsia"/>
                <w:lang w:val="en-US" w:eastAsia="zh-CN"/>
              </w:rPr>
              <w:t>中心血站</w:t>
            </w:r>
            <w:r>
              <w:rPr>
                <w:rFonts w:hint="eastAsia"/>
              </w:rPr>
              <w:t>血液安全管理系统开展</w:t>
            </w:r>
            <w:r>
              <w:rPr>
                <w:rFonts w:hint="eastAsia"/>
                <w:lang w:val="en-US" w:eastAsia="zh-CN"/>
              </w:rPr>
              <w:t>二</w:t>
            </w:r>
            <w:r>
              <w:rPr>
                <w:rFonts w:hint="eastAsia"/>
              </w:rPr>
              <w:t>级等保测评工作，并出具网络安全等级保护测评报告。</w:t>
            </w:r>
          </w:p>
          <w:p w14:paraId="183EE0E7">
            <w:pPr>
              <w:bidi w:val="0"/>
              <w:rPr>
                <w:rFonts w:hint="eastAsia"/>
                <w:b/>
                <w:bCs/>
                <w:lang w:eastAsia="zh-CN"/>
              </w:rPr>
            </w:pPr>
            <w:r>
              <w:rPr>
                <w:rFonts w:hint="eastAsia"/>
                <w:b/>
                <w:bCs/>
              </w:rPr>
              <w:t>2、标准依据</w:t>
            </w:r>
            <w:r>
              <w:rPr>
                <w:rFonts w:hint="eastAsia"/>
                <w:b/>
                <w:bCs/>
                <w:lang w:eastAsia="zh-CN"/>
              </w:rPr>
              <w:t>：</w:t>
            </w:r>
          </w:p>
          <w:p w14:paraId="0EE033BB">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《计算机信息系统安全保护等级划分准则》（GB 17859-1999)</w:t>
            </w:r>
          </w:p>
          <w:p w14:paraId="49770742">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《网络安全等级保护基本要求》（GB/T 22239-2019）</w:t>
            </w:r>
          </w:p>
          <w:p w14:paraId="213852A0">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《网络安全等级保护测评要求》（GB/T 28448-2019）</w:t>
            </w:r>
          </w:p>
          <w:p w14:paraId="2635E9E7">
            <w:pPr>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lang w:val="en-US" w:eastAsia="zh-CN"/>
              </w:rPr>
              <w:t xml:space="preserve"> </w:t>
            </w:r>
            <w:r>
              <w:rPr>
                <w:rFonts w:hint="eastAsia"/>
              </w:rPr>
              <w:t>《网络安全等级保护测评过程指南》（GB/T 28449-2018)</w:t>
            </w:r>
          </w:p>
          <w:p w14:paraId="73B329F0">
            <w:pPr>
              <w:bidi w:val="0"/>
              <w:rPr>
                <w:rFonts w:hint="eastAsia"/>
              </w:rPr>
            </w:pPr>
            <w:r>
              <w:rPr>
                <w:rFonts w:hint="eastAsia"/>
                <w:lang w:eastAsia="zh-CN"/>
              </w:rPr>
              <w:t>（</w:t>
            </w:r>
            <w:r>
              <w:rPr>
                <w:rFonts w:hint="eastAsia"/>
                <w:lang w:val="en-US" w:eastAsia="zh-CN"/>
              </w:rPr>
              <w:t>5</w:t>
            </w:r>
            <w:r>
              <w:rPr>
                <w:rFonts w:hint="eastAsia"/>
                <w:lang w:eastAsia="zh-CN"/>
              </w:rPr>
              <w:t>）</w:t>
            </w:r>
            <w:r>
              <w:rPr>
                <w:rFonts w:hint="eastAsia"/>
                <w:lang w:val="en-US" w:eastAsia="zh-CN"/>
              </w:rPr>
              <w:t xml:space="preserve"> </w:t>
            </w:r>
            <w:r>
              <w:rPr>
                <w:rFonts w:hint="eastAsia"/>
              </w:rPr>
              <w:t>《网络安全等级保护设计技术要求》（GB/T 25070-2019）</w:t>
            </w:r>
          </w:p>
          <w:p w14:paraId="6D2C58E2">
            <w:pPr>
              <w:bidi w:val="0"/>
              <w:rPr>
                <w:rFonts w:hint="eastAsia"/>
              </w:rPr>
            </w:pPr>
            <w:r>
              <w:rPr>
                <w:rFonts w:hint="eastAsia"/>
                <w:lang w:eastAsia="zh-CN"/>
              </w:rPr>
              <w:t>（</w:t>
            </w:r>
            <w:r>
              <w:rPr>
                <w:rFonts w:hint="eastAsia"/>
                <w:lang w:val="en-US" w:eastAsia="zh-CN"/>
              </w:rPr>
              <w:t>6</w:t>
            </w:r>
            <w:r>
              <w:rPr>
                <w:rFonts w:hint="eastAsia"/>
                <w:lang w:eastAsia="zh-CN"/>
              </w:rPr>
              <w:t>）</w:t>
            </w:r>
            <w:r>
              <w:rPr>
                <w:rFonts w:hint="eastAsia"/>
              </w:rPr>
              <w:t>《网络安全等级保护测试评估技术指南》（GB/T 36627-2018）</w:t>
            </w:r>
          </w:p>
          <w:p w14:paraId="6A8D6381">
            <w:pPr>
              <w:bidi w:val="0"/>
              <w:rPr>
                <w:rFonts w:hint="eastAsia"/>
                <w:b/>
                <w:bCs/>
              </w:rPr>
            </w:pPr>
            <w:r>
              <w:rPr>
                <w:rFonts w:hint="eastAsia"/>
                <w:b/>
                <w:bCs/>
              </w:rPr>
              <w:t>3、测评内容</w:t>
            </w:r>
            <w:r>
              <w:rPr>
                <w:rFonts w:hint="eastAsia"/>
                <w:b/>
                <w:bCs/>
                <w:lang w:eastAsia="zh-CN"/>
              </w:rPr>
              <w:t>：</w:t>
            </w:r>
          </w:p>
          <w:p w14:paraId="6E14F5C6">
            <w:pPr>
              <w:bidi w:val="0"/>
              <w:rPr>
                <w:rFonts w:hint="eastAsia"/>
                <w:lang w:eastAsia="zh-CN"/>
              </w:rPr>
            </w:pPr>
            <w:r>
              <w:rPr>
                <w:rFonts w:hint="eastAsia"/>
                <w:lang w:eastAsia="zh-CN"/>
              </w:rPr>
              <w:t>（</w:t>
            </w:r>
            <w:r>
              <w:rPr>
                <w:rFonts w:hint="eastAsia"/>
                <w:lang w:val="en-US" w:eastAsia="zh-CN"/>
              </w:rPr>
              <w:t>1</w:t>
            </w:r>
            <w:r>
              <w:rPr>
                <w:rFonts w:hint="eastAsia"/>
                <w:lang w:eastAsia="zh-CN"/>
              </w:rPr>
              <w:t>）</w:t>
            </w:r>
            <w:r>
              <w:rPr>
                <w:rFonts w:hint="eastAsia"/>
              </w:rPr>
              <w:t>安全通用要求</w:t>
            </w:r>
            <w:r>
              <w:rPr>
                <w:rFonts w:hint="eastAsia"/>
                <w:lang w:eastAsia="zh-CN"/>
              </w:rPr>
              <w:t>：</w:t>
            </w:r>
          </w:p>
          <w:p w14:paraId="567E6B7D">
            <w:pPr>
              <w:bidi w:val="0"/>
              <w:ind w:firstLine="420" w:firstLineChars="200"/>
              <w:rPr>
                <w:rFonts w:hint="eastAsia"/>
              </w:rPr>
            </w:pPr>
            <w:r>
              <w:rPr>
                <w:rFonts w:hint="eastAsia"/>
              </w:rPr>
              <w:t>测评内容包括安全技术和安全管理两大类，其中技术类包括对安全物理环境、安全通信网络、安全区域边界、安全计算环境、安全管理中心五个方面的测评</w:t>
            </w:r>
            <w:r>
              <w:rPr>
                <w:rFonts w:hint="eastAsia"/>
                <w:lang w:eastAsia="zh-CN"/>
              </w:rPr>
              <w:t>；</w:t>
            </w:r>
            <w:r>
              <w:rPr>
                <w:rFonts w:hint="eastAsia"/>
              </w:rPr>
              <w:t>安全管理类测评包括对安全管理制度、安全管理机构、安全管理人员、安全建设管理、安全运维管理五个方面的测评。</w:t>
            </w:r>
          </w:p>
          <w:p w14:paraId="23C61F7A">
            <w:pPr>
              <w:bidi w:val="0"/>
              <w:rPr>
                <w:rFonts w:hint="eastAsia"/>
                <w:b/>
                <w:bCs/>
                <w:lang w:eastAsia="zh-CN"/>
              </w:rPr>
            </w:pPr>
            <w:r>
              <w:rPr>
                <w:rFonts w:hint="eastAsia"/>
                <w:b/>
                <w:bCs/>
              </w:rPr>
              <w:t>4、测评方法</w:t>
            </w:r>
            <w:r>
              <w:rPr>
                <w:rFonts w:hint="eastAsia"/>
                <w:b/>
                <w:bCs/>
                <w:lang w:eastAsia="zh-CN"/>
              </w:rPr>
              <w:t>：</w:t>
            </w:r>
          </w:p>
          <w:p w14:paraId="3387C973">
            <w:pPr>
              <w:bidi w:val="0"/>
              <w:ind w:firstLine="420" w:firstLineChars="200"/>
              <w:rPr>
                <w:rFonts w:hint="eastAsia"/>
              </w:rPr>
            </w:pPr>
            <w:r>
              <w:rPr>
                <w:rFonts w:hint="eastAsia"/>
              </w:rPr>
              <w:t>在测评实施过程中，采用访谈、检查和测试、渗透测试等测评方法进行，并与国家相关规范及标准的要求相符。</w:t>
            </w:r>
          </w:p>
          <w:p w14:paraId="74BC1DFE">
            <w:pPr>
              <w:bidi w:val="0"/>
              <w:rPr>
                <w:rFonts w:hint="eastAsia"/>
              </w:rPr>
            </w:pPr>
            <w:r>
              <w:rPr>
                <w:rFonts w:hint="eastAsia"/>
              </w:rPr>
              <w:t xml:space="preserve">    访谈是指测评人员通过引导信息系统相关人员进行有目的的（有针对性的）交流以帮助测评人员理解、分析或取得证据的过程</w:t>
            </w:r>
            <w:r>
              <w:rPr>
                <w:rFonts w:hint="eastAsia"/>
                <w:lang w:eastAsia="zh-CN"/>
              </w:rPr>
              <w:t>。</w:t>
            </w:r>
          </w:p>
          <w:p w14:paraId="009D8E58">
            <w:pPr>
              <w:bidi w:val="0"/>
              <w:rPr>
                <w:rFonts w:hint="eastAsia"/>
              </w:rPr>
            </w:pPr>
            <w:r>
              <w:rPr>
                <w:rFonts w:hint="eastAsia"/>
              </w:rPr>
              <w:t xml:space="preserve">   </w:t>
            </w:r>
            <w:r>
              <w:rPr>
                <w:rFonts w:hint="eastAsia"/>
                <w:lang w:val="en-US" w:eastAsia="zh-CN"/>
              </w:rPr>
              <w:t xml:space="preserve"> </w:t>
            </w:r>
            <w:r>
              <w:rPr>
                <w:rFonts w:hint="eastAsia"/>
              </w:rPr>
              <w:t>检查是指测评人员通过对测评对象（如管理制度、操作记录、安全配置等）进行观察、查验、分析以帮助测评人员理解、分析或取得证据的过程</w:t>
            </w:r>
            <w:r>
              <w:rPr>
                <w:rFonts w:hint="eastAsia"/>
                <w:lang w:eastAsia="zh-CN"/>
              </w:rPr>
              <w:t>。</w:t>
            </w:r>
          </w:p>
          <w:p w14:paraId="30648209">
            <w:pPr>
              <w:bidi w:val="0"/>
              <w:ind w:firstLine="420" w:firstLineChars="200"/>
              <w:rPr>
                <w:rFonts w:hint="eastAsia"/>
              </w:rPr>
            </w:pPr>
            <w:r>
              <w:rPr>
                <w:rFonts w:hint="eastAsia"/>
              </w:rPr>
              <w:t>测试是测评人员使用预定的方法</w:t>
            </w:r>
            <w:r>
              <w:rPr>
                <w:rFonts w:hint="eastAsia"/>
                <w:lang w:val="en-US" w:eastAsia="zh-CN"/>
              </w:rPr>
              <w:t>或</w:t>
            </w:r>
            <w:r>
              <w:rPr>
                <w:rFonts w:hint="eastAsia"/>
              </w:rPr>
              <w:t>工具使测评对象产生特定的行为，通过查看和分析结果以帮助测评人员获取证据的过程</w:t>
            </w:r>
            <w:r>
              <w:rPr>
                <w:rFonts w:hint="eastAsia"/>
                <w:lang w:eastAsia="zh-CN"/>
              </w:rPr>
              <w:t>。</w:t>
            </w:r>
          </w:p>
          <w:p w14:paraId="2B1A33FC">
            <w:pPr>
              <w:bidi w:val="0"/>
              <w:rPr>
                <w:rFonts w:hint="eastAsia"/>
                <w:b/>
                <w:bCs/>
                <w:lang w:eastAsia="zh-CN"/>
              </w:rPr>
            </w:pPr>
            <w:r>
              <w:rPr>
                <w:rFonts w:hint="eastAsia"/>
                <w:b/>
                <w:bCs/>
              </w:rPr>
              <w:t>5、</w:t>
            </w:r>
            <w:r>
              <w:rPr>
                <w:rFonts w:hint="eastAsia"/>
                <w:b/>
                <w:bCs/>
                <w:lang w:val="en-US" w:eastAsia="zh-CN"/>
              </w:rPr>
              <w:t>出具</w:t>
            </w:r>
            <w:r>
              <w:rPr>
                <w:rFonts w:hint="eastAsia"/>
                <w:b/>
                <w:bCs/>
              </w:rPr>
              <w:t>网络安全等级保护测评报告</w:t>
            </w:r>
            <w:r>
              <w:rPr>
                <w:rFonts w:hint="eastAsia"/>
                <w:b/>
                <w:bCs/>
                <w:lang w:eastAsia="zh-CN"/>
              </w:rPr>
              <w:t>：</w:t>
            </w:r>
          </w:p>
          <w:p w14:paraId="208F69A3">
            <w:pPr>
              <w:bidi w:val="0"/>
              <w:ind w:firstLine="420" w:firstLineChars="200"/>
              <w:rPr>
                <w:rFonts w:hint="eastAsia"/>
              </w:rPr>
            </w:pPr>
            <w:r>
              <w:rPr>
                <w:rFonts w:hint="eastAsia"/>
              </w:rPr>
              <w:t>合同签订后1个月内完成测评，并出具符合等保相关技术标准要求、国家网络安全等级保护管理部门规范要求的网络安全等级保护测评报告2份。</w:t>
            </w:r>
          </w:p>
          <w:p w14:paraId="7BBAC8C4">
            <w:pPr>
              <w:bidi w:val="0"/>
              <w:rPr>
                <w:rFonts w:hint="eastAsia"/>
                <w:b/>
                <w:bCs/>
                <w:lang w:val="en-US" w:eastAsia="zh-CN"/>
              </w:rPr>
            </w:pPr>
            <w:r>
              <w:rPr>
                <w:rFonts w:hint="eastAsia"/>
                <w:b/>
                <w:bCs/>
                <w:lang w:val="en-US" w:eastAsia="zh-CN"/>
              </w:rPr>
              <w:t>6、其他要求：</w:t>
            </w:r>
          </w:p>
          <w:p w14:paraId="7FF7960F">
            <w:pPr>
              <w:bidi w:val="0"/>
              <w:rPr>
                <w:rFonts w:hint="eastAsia" w:eastAsiaTheme="minorEastAsia"/>
                <w:lang w:eastAsia="zh-CN"/>
              </w:rPr>
            </w:pPr>
            <w:r>
              <w:rPr>
                <w:rFonts w:hint="eastAsia"/>
                <w:lang w:val="en-US" w:eastAsia="zh-CN"/>
              </w:rPr>
              <w:t>（1）</w:t>
            </w:r>
            <w:r>
              <w:rPr>
                <w:rFonts w:hint="eastAsia"/>
              </w:rPr>
              <w:t>投入本项目的等保测评实施人员必须具有公安部信息安全等级保护评估中心或中关村信息安全测评联盟颁发的《信息/网络安全等级测评师证书》（</w:t>
            </w:r>
            <w:r>
              <w:rPr>
                <w:rFonts w:hint="eastAsia"/>
                <w:lang w:val="en-US" w:eastAsia="zh-CN"/>
              </w:rPr>
              <w:t>响应</w:t>
            </w:r>
            <w:r>
              <w:rPr>
                <w:rFonts w:hint="eastAsia"/>
              </w:rPr>
              <w:t>文件中须提供相关证明材料）</w:t>
            </w:r>
            <w:r>
              <w:rPr>
                <w:rFonts w:hint="eastAsia"/>
                <w:lang w:eastAsia="zh-CN"/>
              </w:rPr>
              <w:t>。</w:t>
            </w:r>
          </w:p>
          <w:p w14:paraId="5459B7A2">
            <w:pPr>
              <w:numPr>
                <w:ilvl w:val="0"/>
                <w:numId w:val="0"/>
              </w:numPr>
              <w:ind w:leftChars="0"/>
              <w:rPr>
                <w:rFonts w:hint="eastAsia" w:ascii="宋体" w:hAnsi="宋体" w:eastAsia="宋体" w:cs="宋体"/>
                <w:szCs w:val="21"/>
                <w:lang w:val="en-US" w:eastAsia="zh-CN"/>
              </w:rPr>
            </w:pPr>
            <w:r>
              <w:rPr>
                <w:rFonts w:hint="eastAsia"/>
                <w:lang w:val="en-US" w:eastAsia="zh-CN"/>
              </w:rPr>
              <w:t>（2）响应供应商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南宁中心血站血液安全管理系统网络安全等级保护测评服务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084D6DC2">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合同签订期：</w:t>
            </w:r>
            <w:r>
              <w:rPr>
                <w:rFonts w:hint="eastAsia" w:ascii="宋体" w:hAnsi="宋体" w:eastAsia="宋体" w:cs="宋体"/>
                <w:color w:val="auto"/>
                <w:sz w:val="21"/>
                <w:szCs w:val="21"/>
                <w:highlight w:val="none"/>
                <w:shd w:val="clear" w:color="auto" w:fill="FFFFFF"/>
              </w:rPr>
              <w:t>自采购结果公告结束之日起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shd w:val="clear" w:color="auto" w:fill="FFFFFF"/>
              </w:rPr>
              <w:t>服务地点：</w:t>
            </w:r>
            <w:r>
              <w:rPr>
                <w:rFonts w:hint="eastAsia" w:ascii="宋体" w:hAnsi="宋体" w:eastAsia="宋体" w:cs="宋体"/>
                <w:color w:val="auto"/>
                <w:sz w:val="21"/>
                <w:szCs w:val="21"/>
                <w:highlight w:val="none"/>
                <w:shd w:val="clear" w:color="auto" w:fill="FFFFFF"/>
              </w:rPr>
              <w:t>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01CF0859">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其他要求：</w:t>
            </w:r>
          </w:p>
          <w:p w14:paraId="6F49D8E7">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6075AF12">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430FF893">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材料费:包含汇报材料及成果打印费用</w:t>
            </w:r>
            <w:r>
              <w:rPr>
                <w:rFonts w:hint="eastAsia" w:ascii="宋体" w:hAnsi="宋体" w:cs="宋体"/>
                <w:color w:val="auto"/>
                <w:sz w:val="21"/>
                <w:szCs w:val="21"/>
                <w:highlight w:val="none"/>
                <w:shd w:val="clear" w:color="auto" w:fill="FFFFFF"/>
                <w:lang w:eastAsia="zh-CN"/>
              </w:rPr>
              <w:t>；</w:t>
            </w:r>
          </w:p>
          <w:p w14:paraId="12A5A8D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必要的保险费用和各项税金。</w:t>
            </w:r>
          </w:p>
          <w:p w14:paraId="67436CAA">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4C36D26E">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 w:val="21"/>
                <w:szCs w:val="21"/>
                <w:highlight w:val="none"/>
                <w:shd w:val="clear" w:color="auto" w:fill="FFFFFF"/>
                <w:lang w:val="en-US" w:eastAsia="zh-CN"/>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eastAsia="宋体" w:cs="宋体"/>
                <w:color w:val="auto"/>
                <w:sz w:val="21"/>
                <w:szCs w:val="21"/>
                <w:highlight w:val="none"/>
                <w:shd w:val="clear" w:color="auto" w:fill="FFFFFF"/>
              </w:rPr>
              <w:t>网络安全等级保护测评报告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678EBFC2">
            <w:pPr>
              <w:pStyle w:val="40"/>
              <w:rPr>
                <w:rFonts w:hint="eastAsia" w:hAnsi="宋体" w:cs="宋体"/>
                <w:szCs w:val="21"/>
                <w:lang w:val="en-US" w:eastAsia="zh-CN"/>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D00DFE4">
      <w:pPr>
        <w:pStyle w:val="6"/>
        <w:spacing w:line="560" w:lineRule="exact"/>
        <w:rPr>
          <w:rFonts w:hint="eastAsia" w:ascii="仿宋" w:hAnsi="仿宋" w:eastAsia="仿宋" w:cstheme="minorEastAsia"/>
          <w:color w:val="auto"/>
          <w:sz w:val="28"/>
          <w:szCs w:val="28"/>
        </w:rPr>
      </w:pPr>
    </w:p>
    <w:p w14:paraId="7071BC51">
      <w:pPr>
        <w:pStyle w:val="6"/>
        <w:spacing w:line="560" w:lineRule="exact"/>
        <w:rPr>
          <w:rFonts w:hint="eastAsia" w:ascii="仿宋" w:hAnsi="仿宋" w:eastAsia="仿宋" w:cstheme="minorEastAsia"/>
          <w:color w:val="auto"/>
          <w:sz w:val="28"/>
          <w:szCs w:val="28"/>
        </w:rPr>
      </w:pPr>
    </w:p>
    <w:p w14:paraId="7A2D4B92">
      <w:pPr>
        <w:pStyle w:val="6"/>
        <w:spacing w:line="560" w:lineRule="exact"/>
        <w:rPr>
          <w:rFonts w:hint="eastAsia" w:ascii="仿宋" w:hAnsi="仿宋" w:eastAsia="仿宋" w:cstheme="minorEastAsia"/>
          <w:color w:val="auto"/>
          <w:sz w:val="28"/>
          <w:szCs w:val="28"/>
        </w:rPr>
      </w:pPr>
    </w:p>
    <w:p w14:paraId="538E57D9">
      <w:pPr>
        <w:pStyle w:val="6"/>
        <w:spacing w:line="560" w:lineRule="exact"/>
        <w:rPr>
          <w:rFonts w:hint="eastAsia" w:ascii="仿宋" w:hAnsi="仿宋" w:eastAsia="仿宋" w:cstheme="minorEastAsia"/>
          <w:color w:val="auto"/>
          <w:sz w:val="28"/>
          <w:szCs w:val="28"/>
        </w:rPr>
      </w:pPr>
    </w:p>
    <w:p w14:paraId="3269C0E6">
      <w:pPr>
        <w:pStyle w:val="6"/>
        <w:spacing w:line="560" w:lineRule="exact"/>
        <w:rPr>
          <w:rFonts w:hint="eastAsia" w:ascii="仿宋" w:hAnsi="仿宋" w:eastAsia="仿宋" w:cstheme="minorEastAsia"/>
          <w:color w:val="auto"/>
          <w:sz w:val="28"/>
          <w:szCs w:val="28"/>
        </w:rPr>
      </w:pPr>
    </w:p>
    <w:p w14:paraId="1D4D8178">
      <w:pPr>
        <w:pStyle w:val="6"/>
        <w:spacing w:line="560" w:lineRule="exact"/>
        <w:rPr>
          <w:rFonts w:hint="eastAsia" w:ascii="仿宋" w:hAnsi="仿宋" w:eastAsia="仿宋" w:cstheme="minorEastAsia"/>
          <w:color w:val="auto"/>
          <w:sz w:val="28"/>
          <w:szCs w:val="28"/>
        </w:rPr>
      </w:pPr>
    </w:p>
    <w:p w14:paraId="783CDC57">
      <w:pPr>
        <w:pStyle w:val="6"/>
        <w:spacing w:line="560" w:lineRule="exact"/>
        <w:rPr>
          <w:rFonts w:hint="eastAsia" w:ascii="仿宋" w:hAnsi="仿宋" w:eastAsia="仿宋" w:cstheme="minorEastAsia"/>
          <w:color w:val="auto"/>
          <w:sz w:val="28"/>
          <w:szCs w:val="28"/>
        </w:rPr>
      </w:pPr>
    </w:p>
    <w:p w14:paraId="05C35FC0">
      <w:pPr>
        <w:pStyle w:val="6"/>
        <w:spacing w:line="560" w:lineRule="exact"/>
        <w:rPr>
          <w:rFonts w:hint="eastAsia" w:ascii="仿宋" w:hAnsi="仿宋" w:eastAsia="仿宋" w:cstheme="minorEastAsia"/>
          <w:color w:val="auto"/>
          <w:sz w:val="28"/>
          <w:szCs w:val="28"/>
        </w:rPr>
      </w:pPr>
    </w:p>
    <w:p w14:paraId="04023BE5">
      <w:pPr>
        <w:pStyle w:val="6"/>
        <w:spacing w:line="560" w:lineRule="exact"/>
        <w:rPr>
          <w:rFonts w:hint="eastAsia" w:ascii="仿宋" w:hAnsi="仿宋" w:eastAsia="仿宋" w:cstheme="minorEastAsia"/>
          <w:color w:val="auto"/>
          <w:sz w:val="28"/>
          <w:szCs w:val="28"/>
        </w:rPr>
      </w:pPr>
    </w:p>
    <w:p w14:paraId="38DF0E60">
      <w:pPr>
        <w:pStyle w:val="6"/>
        <w:spacing w:line="560" w:lineRule="exact"/>
        <w:rPr>
          <w:rFonts w:hint="eastAsia" w:ascii="仿宋" w:hAnsi="仿宋" w:eastAsia="仿宋" w:cstheme="minorEastAsia"/>
          <w:color w:val="auto"/>
          <w:sz w:val="28"/>
          <w:szCs w:val="28"/>
        </w:rPr>
      </w:pPr>
    </w:p>
    <w:p w14:paraId="2D4EAE99">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南宁中心血站血液安全管理系统网络安全等级保护测评服务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00EDC3B">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9C8363-951F-42FD-8C80-FEC0D2F7172E}"/>
  </w:font>
  <w:font w:name="Courier New">
    <w:panose1 w:val="02070309020205020404"/>
    <w:charset w:val="01"/>
    <w:family w:val="modern"/>
    <w:pitch w:val="default"/>
    <w:sig w:usb0="E0002EFF" w:usb1="C0007843" w:usb2="00000009" w:usb3="00000000" w:csb0="400001FF" w:csb1="FFFF0000"/>
    <w:embedRegular r:id="rId2" w:fontKey="{C076C922-DE43-478B-9489-51EA362B8FF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6909466-C073-434A-B103-27F7008BEDDC}"/>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6F9C3224-349B-45DA-9571-DA28A25856CF}"/>
  </w:font>
  <w:font w:name="仿宋_GB2312">
    <w:panose1 w:val="02010609030101010101"/>
    <w:charset w:val="86"/>
    <w:family w:val="modern"/>
    <w:pitch w:val="default"/>
    <w:sig w:usb0="00000001" w:usb1="080E0000" w:usb2="00000000" w:usb3="00000000" w:csb0="00040000" w:csb1="00000000"/>
    <w:embedRegular r:id="rId5" w:fontKey="{2910A3BD-730A-4D4C-B180-4F7AB8909384}"/>
  </w:font>
  <w:font w:name="Lucida Sans Unicode">
    <w:panose1 w:val="020B0602030504020204"/>
    <w:charset w:val="00"/>
    <w:family w:val="swiss"/>
    <w:pitch w:val="default"/>
    <w:sig w:usb0="80001AFF" w:usb1="0000396B" w:usb2="00000000" w:usb3="00000000" w:csb0="200000BF" w:csb1="D7F70000"/>
    <w:embedRegular r:id="rId6" w:fontKey="{8A64A3CC-AF88-43D4-BAC2-AAD3657A6444}"/>
  </w:font>
  <w:font w:name="方正楷体_GB2312">
    <w:panose1 w:val="02000000000000000000"/>
    <w:charset w:val="86"/>
    <w:family w:val="auto"/>
    <w:pitch w:val="default"/>
    <w:sig w:usb0="A00002BF" w:usb1="184F6CFA" w:usb2="00000012" w:usb3="00000000" w:csb0="00040001" w:csb1="00000000"/>
    <w:embedRegular r:id="rId7" w:fontKey="{E0B68AC5-21F8-45D9-8167-627FFFA3F5C4}"/>
  </w:font>
  <w:font w:name="仿宋">
    <w:panose1 w:val="02010609060101010101"/>
    <w:charset w:val="86"/>
    <w:family w:val="modern"/>
    <w:pitch w:val="default"/>
    <w:sig w:usb0="800002BF" w:usb1="38CF7CFA" w:usb2="00000016" w:usb3="00000000" w:csb0="00040001" w:csb1="00000000"/>
    <w:embedRegular r:id="rId8" w:fontKey="{134F2FEB-E810-4146-9EC0-DAEFAB7C1C7B}"/>
  </w:font>
  <w:font w:name="Wingdings 2">
    <w:panose1 w:val="05020102010507070707"/>
    <w:charset w:val="02"/>
    <w:family w:val="roman"/>
    <w:pitch w:val="default"/>
    <w:sig w:usb0="00000000" w:usb1="00000000" w:usb2="00000000" w:usb3="00000000" w:csb0="80000000" w:csb1="00000000"/>
    <w:embedRegular r:id="rId9" w:fontKey="{59AD9DE7-09DF-4580-B0D0-5D98868B1CA8}"/>
  </w:font>
  <w:font w:name="方正公文小标宋">
    <w:panose1 w:val="02000500000000000000"/>
    <w:charset w:val="86"/>
    <w:family w:val="auto"/>
    <w:pitch w:val="default"/>
    <w:sig w:usb0="A00002BF" w:usb1="38CF7CFA" w:usb2="00000016" w:usb3="00000000" w:csb0="00040001" w:csb1="00000000"/>
    <w:embedRegular r:id="rId10" w:fontKey="{C73C287C-3CF9-476B-A305-5CB0075530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7B196F"/>
    <w:rsid w:val="03812469"/>
    <w:rsid w:val="03937D91"/>
    <w:rsid w:val="03B22EB1"/>
    <w:rsid w:val="03C86237"/>
    <w:rsid w:val="04581029"/>
    <w:rsid w:val="046C750A"/>
    <w:rsid w:val="04745E76"/>
    <w:rsid w:val="047A748A"/>
    <w:rsid w:val="04E92909"/>
    <w:rsid w:val="05040F0B"/>
    <w:rsid w:val="05154836"/>
    <w:rsid w:val="053A4F12"/>
    <w:rsid w:val="055A5762"/>
    <w:rsid w:val="05B91908"/>
    <w:rsid w:val="06B52E78"/>
    <w:rsid w:val="06B7794F"/>
    <w:rsid w:val="06D71CF0"/>
    <w:rsid w:val="070A427A"/>
    <w:rsid w:val="07D85F5F"/>
    <w:rsid w:val="07D97ECC"/>
    <w:rsid w:val="080C7F89"/>
    <w:rsid w:val="08517143"/>
    <w:rsid w:val="09895AEA"/>
    <w:rsid w:val="0A10535E"/>
    <w:rsid w:val="0B496710"/>
    <w:rsid w:val="0B534F80"/>
    <w:rsid w:val="0B656E1E"/>
    <w:rsid w:val="0B8E420A"/>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A24D69"/>
    <w:rsid w:val="0EAC1011"/>
    <w:rsid w:val="0EBC53D2"/>
    <w:rsid w:val="0F1518AD"/>
    <w:rsid w:val="0F2E5AE8"/>
    <w:rsid w:val="0F6F2253"/>
    <w:rsid w:val="0F804F78"/>
    <w:rsid w:val="0FC934C5"/>
    <w:rsid w:val="10045B0E"/>
    <w:rsid w:val="10D74B39"/>
    <w:rsid w:val="10E8616A"/>
    <w:rsid w:val="110B3484"/>
    <w:rsid w:val="115630D4"/>
    <w:rsid w:val="11692E07"/>
    <w:rsid w:val="117B1CC7"/>
    <w:rsid w:val="117C128D"/>
    <w:rsid w:val="1194486F"/>
    <w:rsid w:val="11A66BE9"/>
    <w:rsid w:val="11BD2408"/>
    <w:rsid w:val="11CB1987"/>
    <w:rsid w:val="12066C99"/>
    <w:rsid w:val="12114284"/>
    <w:rsid w:val="122F2B31"/>
    <w:rsid w:val="12456514"/>
    <w:rsid w:val="12A07ED9"/>
    <w:rsid w:val="12C67FE1"/>
    <w:rsid w:val="12C7072D"/>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B072E8"/>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D7940CD"/>
    <w:rsid w:val="1E0740D4"/>
    <w:rsid w:val="1E4569AA"/>
    <w:rsid w:val="1E4824ED"/>
    <w:rsid w:val="1E4E1501"/>
    <w:rsid w:val="1E5B2BDA"/>
    <w:rsid w:val="1E6848B0"/>
    <w:rsid w:val="1EC97AD9"/>
    <w:rsid w:val="1F666BD8"/>
    <w:rsid w:val="1FF06500"/>
    <w:rsid w:val="203B74FB"/>
    <w:rsid w:val="20850145"/>
    <w:rsid w:val="20EC5803"/>
    <w:rsid w:val="21DC7625"/>
    <w:rsid w:val="2246657F"/>
    <w:rsid w:val="22794E74"/>
    <w:rsid w:val="22C20BF4"/>
    <w:rsid w:val="22DC5488"/>
    <w:rsid w:val="23251A24"/>
    <w:rsid w:val="239E592C"/>
    <w:rsid w:val="23DF7159"/>
    <w:rsid w:val="23E246A0"/>
    <w:rsid w:val="2453722F"/>
    <w:rsid w:val="246C3D73"/>
    <w:rsid w:val="24880C9A"/>
    <w:rsid w:val="24954A88"/>
    <w:rsid w:val="249917FE"/>
    <w:rsid w:val="24C95406"/>
    <w:rsid w:val="25030284"/>
    <w:rsid w:val="253A6EAF"/>
    <w:rsid w:val="258106AA"/>
    <w:rsid w:val="25CD5AD7"/>
    <w:rsid w:val="25FC2044"/>
    <w:rsid w:val="270A6969"/>
    <w:rsid w:val="271355A6"/>
    <w:rsid w:val="27253CD1"/>
    <w:rsid w:val="27392E24"/>
    <w:rsid w:val="27400126"/>
    <w:rsid w:val="2758774E"/>
    <w:rsid w:val="27B45173"/>
    <w:rsid w:val="27B73849"/>
    <w:rsid w:val="287F6F5C"/>
    <w:rsid w:val="293A3A09"/>
    <w:rsid w:val="29415831"/>
    <w:rsid w:val="294361DC"/>
    <w:rsid w:val="299C033F"/>
    <w:rsid w:val="29AB70CB"/>
    <w:rsid w:val="29B835FE"/>
    <w:rsid w:val="2A3A75DF"/>
    <w:rsid w:val="2A9B5BE2"/>
    <w:rsid w:val="2B006E0D"/>
    <w:rsid w:val="2B470615"/>
    <w:rsid w:val="2B852ADC"/>
    <w:rsid w:val="2BAA5280"/>
    <w:rsid w:val="2BAB4636"/>
    <w:rsid w:val="2BAD264D"/>
    <w:rsid w:val="2BB835CD"/>
    <w:rsid w:val="2BEE5268"/>
    <w:rsid w:val="2BF57C61"/>
    <w:rsid w:val="2C5E1BD9"/>
    <w:rsid w:val="2C752B50"/>
    <w:rsid w:val="2C857A8F"/>
    <w:rsid w:val="2CED0939"/>
    <w:rsid w:val="2CF63C91"/>
    <w:rsid w:val="2D29300D"/>
    <w:rsid w:val="2D7E5110"/>
    <w:rsid w:val="2DAC4EEC"/>
    <w:rsid w:val="2DD02A6D"/>
    <w:rsid w:val="2E314855"/>
    <w:rsid w:val="2E620CC5"/>
    <w:rsid w:val="2E921785"/>
    <w:rsid w:val="2EB76AF9"/>
    <w:rsid w:val="2EDA313F"/>
    <w:rsid w:val="2F002653"/>
    <w:rsid w:val="2F48454C"/>
    <w:rsid w:val="2F4A332F"/>
    <w:rsid w:val="2F4F58DB"/>
    <w:rsid w:val="2F5729E1"/>
    <w:rsid w:val="2F995907"/>
    <w:rsid w:val="2FC917E4"/>
    <w:rsid w:val="30C243A0"/>
    <w:rsid w:val="30CA5427"/>
    <w:rsid w:val="311F752F"/>
    <w:rsid w:val="317B3C34"/>
    <w:rsid w:val="31DE6E0A"/>
    <w:rsid w:val="32476D3D"/>
    <w:rsid w:val="32A86C88"/>
    <w:rsid w:val="32B57CD5"/>
    <w:rsid w:val="32D54349"/>
    <w:rsid w:val="334E7DB9"/>
    <w:rsid w:val="33557238"/>
    <w:rsid w:val="33B45BC8"/>
    <w:rsid w:val="33F86541"/>
    <w:rsid w:val="340D0E15"/>
    <w:rsid w:val="34266DEB"/>
    <w:rsid w:val="34711E4F"/>
    <w:rsid w:val="34806536"/>
    <w:rsid w:val="34EA4438"/>
    <w:rsid w:val="34ED5335"/>
    <w:rsid w:val="35234768"/>
    <w:rsid w:val="35577297"/>
    <w:rsid w:val="35935DF5"/>
    <w:rsid w:val="35AD02FE"/>
    <w:rsid w:val="35C3060D"/>
    <w:rsid w:val="35CA2F0A"/>
    <w:rsid w:val="36323860"/>
    <w:rsid w:val="380D6333"/>
    <w:rsid w:val="383D5AFA"/>
    <w:rsid w:val="38545D10"/>
    <w:rsid w:val="38575800"/>
    <w:rsid w:val="386A1ECD"/>
    <w:rsid w:val="388C54AA"/>
    <w:rsid w:val="38B55D1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8F2E53"/>
    <w:rsid w:val="3BF06001"/>
    <w:rsid w:val="3BF55114"/>
    <w:rsid w:val="3C8D3860"/>
    <w:rsid w:val="3D3504B0"/>
    <w:rsid w:val="3DB73ABE"/>
    <w:rsid w:val="3E03620E"/>
    <w:rsid w:val="3E1758C2"/>
    <w:rsid w:val="3E6F5651"/>
    <w:rsid w:val="3E7E2147"/>
    <w:rsid w:val="3EC14DCA"/>
    <w:rsid w:val="3EDF7B5A"/>
    <w:rsid w:val="3EF757D7"/>
    <w:rsid w:val="3F2D1E50"/>
    <w:rsid w:val="3F473ED8"/>
    <w:rsid w:val="3F500F00"/>
    <w:rsid w:val="3F794BDA"/>
    <w:rsid w:val="3F7A4F0B"/>
    <w:rsid w:val="3F884457"/>
    <w:rsid w:val="3FC0099F"/>
    <w:rsid w:val="400022D9"/>
    <w:rsid w:val="405E2277"/>
    <w:rsid w:val="4066074B"/>
    <w:rsid w:val="40DE645B"/>
    <w:rsid w:val="41431D95"/>
    <w:rsid w:val="41455C40"/>
    <w:rsid w:val="41485D02"/>
    <w:rsid w:val="41585D4C"/>
    <w:rsid w:val="417116E0"/>
    <w:rsid w:val="41717D14"/>
    <w:rsid w:val="41727207"/>
    <w:rsid w:val="41A470D2"/>
    <w:rsid w:val="41EC5C11"/>
    <w:rsid w:val="42091919"/>
    <w:rsid w:val="436239D7"/>
    <w:rsid w:val="437E1E93"/>
    <w:rsid w:val="43EF4389"/>
    <w:rsid w:val="44147E9F"/>
    <w:rsid w:val="444D69AF"/>
    <w:rsid w:val="44942BEF"/>
    <w:rsid w:val="450F2962"/>
    <w:rsid w:val="452B1BA6"/>
    <w:rsid w:val="454C2B49"/>
    <w:rsid w:val="45570BED"/>
    <w:rsid w:val="456B4699"/>
    <w:rsid w:val="45D636A5"/>
    <w:rsid w:val="45EF323D"/>
    <w:rsid w:val="46523C26"/>
    <w:rsid w:val="468365B4"/>
    <w:rsid w:val="46BB51AC"/>
    <w:rsid w:val="47CF0F0F"/>
    <w:rsid w:val="483239E1"/>
    <w:rsid w:val="48883FAF"/>
    <w:rsid w:val="48A76385"/>
    <w:rsid w:val="48D23774"/>
    <w:rsid w:val="48DD45D3"/>
    <w:rsid w:val="48E7672C"/>
    <w:rsid w:val="49575660"/>
    <w:rsid w:val="495E2059"/>
    <w:rsid w:val="49711AE2"/>
    <w:rsid w:val="49C23456"/>
    <w:rsid w:val="49CF5B75"/>
    <w:rsid w:val="49DE5B2D"/>
    <w:rsid w:val="4A2E27D8"/>
    <w:rsid w:val="4A4E1C54"/>
    <w:rsid w:val="4ABF3808"/>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267BC"/>
    <w:rsid w:val="4E451EC7"/>
    <w:rsid w:val="4EFC3A63"/>
    <w:rsid w:val="4F0B33B8"/>
    <w:rsid w:val="4F314F90"/>
    <w:rsid w:val="4F7B7196"/>
    <w:rsid w:val="4FEE5FA1"/>
    <w:rsid w:val="50113E8E"/>
    <w:rsid w:val="503B23C2"/>
    <w:rsid w:val="508825A3"/>
    <w:rsid w:val="50901C87"/>
    <w:rsid w:val="5099641F"/>
    <w:rsid w:val="511030CC"/>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C2BFD"/>
    <w:rsid w:val="5522237F"/>
    <w:rsid w:val="55620402"/>
    <w:rsid w:val="55731FB9"/>
    <w:rsid w:val="55D56177"/>
    <w:rsid w:val="55F12662"/>
    <w:rsid w:val="56113965"/>
    <w:rsid w:val="561F02F9"/>
    <w:rsid w:val="562350A9"/>
    <w:rsid w:val="56B440F1"/>
    <w:rsid w:val="5708799A"/>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415C3B"/>
    <w:rsid w:val="5F443AD7"/>
    <w:rsid w:val="5FE6797A"/>
    <w:rsid w:val="60884935"/>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4330B7"/>
    <w:rsid w:val="657D1B52"/>
    <w:rsid w:val="65F07FB2"/>
    <w:rsid w:val="667523D3"/>
    <w:rsid w:val="669A57F2"/>
    <w:rsid w:val="669F3353"/>
    <w:rsid w:val="66B0019C"/>
    <w:rsid w:val="66F31915"/>
    <w:rsid w:val="674A2C89"/>
    <w:rsid w:val="67E16738"/>
    <w:rsid w:val="68304FEE"/>
    <w:rsid w:val="683C7AA3"/>
    <w:rsid w:val="68446558"/>
    <w:rsid w:val="6848469A"/>
    <w:rsid w:val="686A41A8"/>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CE135A"/>
    <w:rsid w:val="6BE16838"/>
    <w:rsid w:val="6C1903D8"/>
    <w:rsid w:val="6CD53279"/>
    <w:rsid w:val="6E2E5D7D"/>
    <w:rsid w:val="6E8B3D8C"/>
    <w:rsid w:val="6F15104E"/>
    <w:rsid w:val="6F8B7571"/>
    <w:rsid w:val="7030084F"/>
    <w:rsid w:val="703B4AE4"/>
    <w:rsid w:val="70422316"/>
    <w:rsid w:val="70FC2C1E"/>
    <w:rsid w:val="71172452"/>
    <w:rsid w:val="71596F70"/>
    <w:rsid w:val="716504AE"/>
    <w:rsid w:val="716A5681"/>
    <w:rsid w:val="718A5132"/>
    <w:rsid w:val="71996D63"/>
    <w:rsid w:val="71A92322"/>
    <w:rsid w:val="71BD7A27"/>
    <w:rsid w:val="71C86016"/>
    <w:rsid w:val="71CD28BF"/>
    <w:rsid w:val="72055F4D"/>
    <w:rsid w:val="72560381"/>
    <w:rsid w:val="726C367A"/>
    <w:rsid w:val="7280413D"/>
    <w:rsid w:val="72AC530E"/>
    <w:rsid w:val="72E8716C"/>
    <w:rsid w:val="732B5B1E"/>
    <w:rsid w:val="733358DA"/>
    <w:rsid w:val="742C1037"/>
    <w:rsid w:val="744D3038"/>
    <w:rsid w:val="745C607B"/>
    <w:rsid w:val="748958E6"/>
    <w:rsid w:val="75A64FAD"/>
    <w:rsid w:val="75CC2D87"/>
    <w:rsid w:val="75ED062E"/>
    <w:rsid w:val="76FD0963"/>
    <w:rsid w:val="771466E3"/>
    <w:rsid w:val="784309DA"/>
    <w:rsid w:val="78713252"/>
    <w:rsid w:val="7876107A"/>
    <w:rsid w:val="78772672"/>
    <w:rsid w:val="7877401B"/>
    <w:rsid w:val="787B5299"/>
    <w:rsid w:val="78BD69DE"/>
    <w:rsid w:val="78C67234"/>
    <w:rsid w:val="78CC1807"/>
    <w:rsid w:val="78CF6711"/>
    <w:rsid w:val="792579EC"/>
    <w:rsid w:val="792C5912"/>
    <w:rsid w:val="7A19098A"/>
    <w:rsid w:val="7A7272A2"/>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A43CC8"/>
    <w:rsid w:val="7DBF4FA6"/>
    <w:rsid w:val="7E05340D"/>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9759</Words>
  <Characters>10342</Characters>
  <Lines>39</Lines>
  <Paragraphs>11</Paragraphs>
  <TotalTime>1</TotalTime>
  <ScaleCrop>false</ScaleCrop>
  <LinksUpToDate>false</LinksUpToDate>
  <CharactersWithSpaces>11727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2025-10-20T06:56:11Z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