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项目名称：南宁中心血站2025年献血者专属米粉兑换卡券采购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南宁中心血站2025年献血者专属米粉兑换卡券采购</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对南宁中心血站2025年献血者专属米粉兑换卡券进行采购，现就该项目邀请具有资质的单位进行响应，采购信息如下：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56</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项目名称：南宁中心血站2025年献血者专属米粉兑换卡券采购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壹万伍仟叁佰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15300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壹万伍仟贰佰玖拾伍元肆角</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15295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en-US" w:eastAsia="zh-CN" w:bidi="ar-SA"/>
        </w:rPr>
        <w:t>（三）包装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1D4A2840">
      <w:pPr>
        <w:pStyle w:val="6"/>
        <w:keepNext w:val="0"/>
        <w:keepLines w:val="0"/>
        <w:pageBreakBefore w:val="0"/>
        <w:widowControl w:val="0"/>
        <w:numPr>
          <w:ilvl w:val="0"/>
          <w:numId w:val="3"/>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w:t>
      </w:r>
    </w:p>
    <w:p w14:paraId="66381C03">
      <w:pPr>
        <w:pStyle w:val="6"/>
        <w:keepNext w:val="0"/>
        <w:keepLines w:val="0"/>
        <w:pageBreakBefore w:val="0"/>
        <w:widowControl w:val="0"/>
        <w:numPr>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4082527D">
      <w:pPr>
        <w:pStyle w:val="6"/>
        <w:keepNext w:val="0"/>
        <w:keepLines w:val="0"/>
        <w:pageBreakBefore w:val="0"/>
        <w:widowControl w:val="0"/>
        <w:numPr>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第一次采购公告已响应的供应商响应文件如无需撤回、变更响应内容的仍继续有效，如需撤回响应文件可自行到文件递交地点取回，撤回后再次响应的</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CN" w:bidi="ar-SA"/>
        </w:rPr>
        <w:t>在本次公告规定的文件递交截止时间前响应，撤回后未在规定时间递交的供应商视为放弃本项目响应。</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21D5385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6E2C3CC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75D183D0">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788A3983">
      <w:pPr>
        <w:jc w:val="left"/>
        <w:rPr>
          <w:rFonts w:hint="eastAsia" w:ascii="宋体" w:hAnsi="宋体" w:eastAsia="宋体" w:cs="宋体"/>
          <w:sz w:val="28"/>
          <w:szCs w:val="28"/>
        </w:rPr>
      </w:pPr>
    </w:p>
    <w:p w14:paraId="55542790">
      <w:pPr>
        <w:jc w:val="left"/>
        <w:rPr>
          <w:rFonts w:hint="eastAsia" w:ascii="宋体" w:hAnsi="宋体" w:eastAsia="宋体" w:cs="宋体"/>
          <w:sz w:val="28"/>
          <w:szCs w:val="28"/>
        </w:rPr>
      </w:pPr>
    </w:p>
    <w:p w14:paraId="40B79C83">
      <w:pPr>
        <w:jc w:val="left"/>
        <w:rPr>
          <w:rFonts w:hint="eastAsia" w:ascii="宋体" w:hAnsi="宋体" w:eastAsia="宋体" w:cs="宋体"/>
          <w:sz w:val="28"/>
          <w:szCs w:val="28"/>
        </w:rPr>
      </w:pPr>
    </w:p>
    <w:p w14:paraId="754CFD90">
      <w:pPr>
        <w:jc w:val="left"/>
        <w:rPr>
          <w:rFonts w:hint="eastAsia" w:ascii="宋体" w:hAnsi="宋体" w:eastAsia="宋体" w:cs="宋体"/>
          <w:sz w:val="28"/>
          <w:szCs w:val="28"/>
        </w:rPr>
      </w:pPr>
      <w:bookmarkStart w:id="19" w:name="_GoBack"/>
      <w:bookmarkEnd w:id="19"/>
    </w:p>
    <w:p w14:paraId="428DBD97">
      <w:pPr>
        <w:jc w:val="left"/>
        <w:rPr>
          <w:rFonts w:hint="eastAsia" w:hAnsi="宋体" w:eastAsia="宋体" w:cs="宋体"/>
          <w:sz w:val="28"/>
          <w:szCs w:val="28"/>
          <w:lang w:val="en-US" w:eastAsia="zh-CN"/>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p>
    <w:p w14:paraId="120B5853">
      <w:pPr>
        <w:jc w:val="center"/>
        <w:rPr>
          <w:rFonts w:hint="eastAsia" w:ascii="宋体" w:hAnsi="宋体" w:eastAsia="宋体"/>
          <w:b/>
          <w:bCs/>
          <w:sz w:val="32"/>
          <w:szCs w:val="32"/>
        </w:rPr>
      </w:pP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52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0"/>
        <w:gridCol w:w="804"/>
        <w:gridCol w:w="883"/>
        <w:gridCol w:w="5834"/>
        <w:gridCol w:w="1475"/>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16"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1" w:type="pct"/>
            <w:tcBorders>
              <w:top w:val="single" w:color="auto" w:sz="4" w:space="0"/>
              <w:left w:val="single" w:color="auto" w:sz="4" w:space="0"/>
              <w:bottom w:val="single" w:color="auto" w:sz="4" w:space="0"/>
              <w:right w:val="single" w:color="auto" w:sz="4" w:space="0"/>
            </w:tcBorders>
            <w:vAlign w:val="center"/>
          </w:tcPr>
          <w:p w14:paraId="38A41F1E">
            <w:pPr>
              <w:jc w:val="center"/>
              <w:rPr>
                <w:rFonts w:hint="eastAsia" w:ascii="宋体" w:hAnsi="宋体"/>
                <w:b/>
                <w:szCs w:val="21"/>
                <w:lang w:val="en-US" w:eastAsia="zh-CN"/>
              </w:rPr>
            </w:pPr>
            <w:r>
              <w:rPr>
                <w:rFonts w:hint="eastAsia" w:ascii="宋体" w:hAnsi="宋体"/>
                <w:b/>
                <w:szCs w:val="21"/>
                <w:lang w:val="en-US" w:eastAsia="zh-CN"/>
              </w:rPr>
              <w:t>数量</w:t>
            </w:r>
          </w:p>
          <w:p w14:paraId="7330A409">
            <w:pPr>
              <w:jc w:val="center"/>
              <w:rPr>
                <w:rFonts w:hint="eastAsia" w:ascii="宋体" w:hAnsi="宋体"/>
                <w:b/>
                <w:szCs w:val="21"/>
                <w:lang w:val="en-US" w:eastAsia="zh-CN"/>
              </w:rPr>
            </w:pPr>
            <w:r>
              <w:rPr>
                <w:rFonts w:hint="eastAsia" w:ascii="宋体" w:hAnsi="宋体"/>
                <w:b/>
                <w:szCs w:val="21"/>
                <w:lang w:val="en-US" w:eastAsia="zh-CN"/>
              </w:rPr>
              <w:t>（张）</w:t>
            </w:r>
          </w:p>
        </w:tc>
        <w:tc>
          <w:tcPr>
            <w:tcW w:w="2982"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90"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lang w:val="en-US" w:eastAsia="zh-CN"/>
              </w:rPr>
              <w:t>项目最高限价</w:t>
            </w:r>
            <w:r>
              <w:rPr>
                <w:rFonts w:hint="eastAsia" w:ascii="宋体" w:hAnsi="宋体"/>
                <w:b/>
                <w:szCs w:val="21"/>
              </w:rPr>
              <w:t>（元）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16"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献血者专属米粉兑换卡券</w:t>
            </w:r>
          </w:p>
        </w:tc>
        <w:tc>
          <w:tcPr>
            <w:tcW w:w="451"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620</w:t>
            </w:r>
          </w:p>
        </w:tc>
        <w:tc>
          <w:tcPr>
            <w:tcW w:w="2982" w:type="pct"/>
            <w:tcBorders>
              <w:top w:val="single" w:color="auto" w:sz="4" w:space="0"/>
              <w:left w:val="single" w:color="auto" w:sz="4" w:space="0"/>
              <w:bottom w:val="single" w:color="auto" w:sz="4" w:space="0"/>
              <w:right w:val="single" w:color="auto" w:sz="4" w:space="0"/>
            </w:tcBorders>
            <w:vAlign w:val="center"/>
          </w:tcPr>
          <w:p w14:paraId="536B303E">
            <w:pPr>
              <w:pStyle w:val="6"/>
              <w:bidi w:val="0"/>
              <w:rPr>
                <w:rFonts w:hint="eastAsia"/>
                <w:lang w:val="en-US" w:eastAsia="zh-CN"/>
              </w:rPr>
            </w:pPr>
            <w:r>
              <w:rPr>
                <w:rFonts w:hint="eastAsia"/>
                <w:lang w:val="en-US" w:eastAsia="zh-CN"/>
              </w:rPr>
              <w:t>1、兑换卡券成交单价24.67元/张，共620张。</w:t>
            </w:r>
          </w:p>
          <w:p w14:paraId="4B860735">
            <w:pPr>
              <w:pStyle w:val="6"/>
              <w:bidi w:val="0"/>
              <w:rPr>
                <w:rFonts w:hint="eastAsia"/>
                <w:lang w:val="en-US" w:eastAsia="zh-CN"/>
              </w:rPr>
            </w:pPr>
            <w:r>
              <w:rPr>
                <w:rFonts w:hint="eastAsia"/>
                <w:lang w:val="en-US" w:eastAsia="zh-CN"/>
              </w:rPr>
              <w:t>2、兑换内容：可供兑换的产品为成交供应商响应品牌门店内所有的等值产品，供兑换的食物必须符合国家相关标准且质检合格。</w:t>
            </w:r>
          </w:p>
          <w:p w14:paraId="67006551">
            <w:pPr>
              <w:pStyle w:val="6"/>
              <w:bidi w:val="0"/>
              <w:rPr>
                <w:rFonts w:hint="eastAsia"/>
                <w:lang w:val="en-US" w:eastAsia="zh-CN"/>
              </w:rPr>
            </w:pPr>
            <w:r>
              <w:rPr>
                <w:rFonts w:hint="eastAsia"/>
                <w:lang w:val="en-US" w:eastAsia="zh-CN"/>
              </w:rPr>
              <w:t>3、兑换门店：可供兑换的实体店分布覆盖范围广，在南宁市各城区均有实体店，在南宁市门店数量不少100家，便于献血者兑换。</w:t>
            </w:r>
          </w:p>
          <w:p w14:paraId="64B8A005">
            <w:pPr>
              <w:pStyle w:val="6"/>
              <w:bidi w:val="0"/>
              <w:rPr>
                <w:rFonts w:hint="eastAsia"/>
                <w:lang w:val="en-US" w:eastAsia="zh-CN"/>
              </w:rPr>
            </w:pPr>
            <w:r>
              <w:rPr>
                <w:rFonts w:hint="eastAsia"/>
                <w:lang w:val="en-US" w:eastAsia="zh-CN"/>
              </w:rPr>
              <w:t>4、兑换要求：兑换卡券可在成交供应商响应品牌全部实体店内兑换使用，可一次或累计多次换取产品。</w:t>
            </w:r>
          </w:p>
          <w:p w14:paraId="5805FB3A">
            <w:pPr>
              <w:pStyle w:val="6"/>
              <w:bidi w:val="0"/>
              <w:rPr>
                <w:rFonts w:hint="eastAsia"/>
                <w:lang w:val="en-US" w:eastAsia="zh-CN"/>
              </w:rPr>
            </w:pPr>
            <w:r>
              <w:rPr>
                <w:rFonts w:hint="eastAsia"/>
                <w:lang w:val="en-US" w:eastAsia="zh-CN"/>
              </w:rPr>
              <w:t>5、兑换期限：兑换卡券生效二维码有效期至少1年，扫码激活后使用效期不少于2年，可提供延期服务（不收取费用）。</w:t>
            </w:r>
          </w:p>
          <w:p w14:paraId="1D3EA17E">
            <w:pPr>
              <w:pStyle w:val="6"/>
              <w:bidi w:val="0"/>
              <w:rPr>
                <w:rFonts w:hint="eastAsia"/>
                <w:lang w:val="en-US" w:eastAsia="zh-CN"/>
              </w:rPr>
            </w:pPr>
            <w:r>
              <w:rPr>
                <w:rFonts w:hint="eastAsia"/>
                <w:lang w:val="en-US" w:eastAsia="zh-CN"/>
              </w:rPr>
              <w:t>6、供货过程中所产生的安全责任均由成交供应商承担。</w:t>
            </w:r>
          </w:p>
          <w:p w14:paraId="21D28553">
            <w:pPr>
              <w:pStyle w:val="6"/>
              <w:bidi w:val="0"/>
              <w:rPr>
                <w:rFonts w:hint="eastAsia"/>
                <w:lang w:val="en-US" w:eastAsia="zh-CN"/>
              </w:rPr>
            </w:pPr>
            <w:r>
              <w:rPr>
                <w:rFonts w:hint="eastAsia"/>
                <w:lang w:val="en-US" w:eastAsia="zh-CN"/>
              </w:rPr>
              <w:t>7、卡券样式：可根据采购人的需求设计具备双方文化元素的卡券样式。</w:t>
            </w:r>
          </w:p>
          <w:p w14:paraId="262003C7">
            <w:pPr>
              <w:pStyle w:val="6"/>
              <w:bidi w:val="0"/>
              <w:rPr>
                <w:rFonts w:hint="eastAsia" w:eastAsiaTheme="majorEastAsia"/>
                <w:color w:val="000000" w:themeColor="text1"/>
                <w:lang w:val="en-US" w:eastAsia="zh-CN"/>
                <w14:textFill>
                  <w14:solidFill>
                    <w14:schemeClr w14:val="tx1"/>
                  </w14:solidFill>
                </w14:textFill>
              </w:rPr>
            </w:pPr>
            <w:r>
              <w:rPr>
                <w:rFonts w:hint="eastAsia"/>
                <w:lang w:val="en-US" w:eastAsia="zh-CN"/>
              </w:rPr>
              <w:t>8、本项目以每张兑换卡券面额人民币25元作为基准报出投标上浮率。投标上浮率不得为负数，且是固定唯一值的；如中标上浮率为X%，即兑换券面值=基准价（25元）X(1+X%)。例如：投标上浮率为20%，实际兑换券面值为：25元（基准价）X(1+20%)=30元，即采购人购得人民币30元面值的兑换券只需支付人民币24.67元。</w:t>
            </w:r>
          </w:p>
        </w:tc>
        <w:tc>
          <w:tcPr>
            <w:tcW w:w="690" w:type="pct"/>
            <w:tcBorders>
              <w:top w:val="single" w:color="auto" w:sz="4" w:space="0"/>
              <w:left w:val="single" w:color="auto" w:sz="4" w:space="0"/>
              <w:bottom w:val="single" w:color="auto" w:sz="4" w:space="0"/>
              <w:right w:val="single" w:color="auto" w:sz="4" w:space="0"/>
            </w:tcBorders>
            <w:vAlign w:val="center"/>
          </w:tcPr>
          <w:p w14:paraId="0CCBE462">
            <w:pPr>
              <w:pStyle w:val="6"/>
              <w:jc w:val="center"/>
              <w:rPr>
                <w:rFonts w:hint="default" w:asciiTheme="minorEastAsia" w:hAnsiTheme="minorEastAsia" w:cstheme="minorEastAsia"/>
                <w:szCs w:val="21"/>
                <w:lang w:val="en-US" w:eastAsia="zh-CN"/>
              </w:rPr>
            </w:pPr>
            <w:r>
              <w:rPr>
                <w:rFonts w:hint="eastAsia" w:ascii="宋体" w:hAnsi="宋体"/>
                <w:szCs w:val="21"/>
                <w:lang w:val="en-US" w:eastAsia="zh-CN"/>
              </w:rPr>
              <w:t>15295.4</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4164D72E">
            <w:pPr>
              <w:pStyle w:val="6"/>
              <w:bidi w:val="0"/>
              <w:rPr>
                <w:rFonts w:hint="eastAsia"/>
                <w:lang w:val="en-US" w:eastAsia="zh-CN"/>
              </w:rPr>
            </w:pPr>
            <w:r>
              <w:rPr>
                <w:rFonts w:hint="eastAsia"/>
                <w:b/>
                <w:bCs/>
                <w:lang w:val="en-US" w:eastAsia="zh-CN"/>
              </w:rPr>
              <w:t>一、合同签订期：</w:t>
            </w:r>
            <w:r>
              <w:rPr>
                <w:rFonts w:hint="eastAsia"/>
                <w:lang w:val="en-US" w:eastAsia="zh-CN"/>
              </w:rPr>
              <w:t>自采购结果公示结束之日起10个工作日内。</w:t>
            </w:r>
          </w:p>
          <w:p w14:paraId="5BFC9141">
            <w:pPr>
              <w:pStyle w:val="6"/>
              <w:bidi w:val="0"/>
              <w:rPr>
                <w:rFonts w:hint="eastAsia"/>
                <w:lang w:val="en-US" w:eastAsia="zh-CN"/>
              </w:rPr>
            </w:pPr>
            <w:r>
              <w:rPr>
                <w:rFonts w:hint="eastAsia"/>
                <w:b/>
                <w:bCs/>
                <w:lang w:val="en-US" w:eastAsia="zh-CN"/>
              </w:rPr>
              <w:t>二、交货期：</w:t>
            </w:r>
            <w:r>
              <w:rPr>
                <w:rFonts w:hint="eastAsia"/>
                <w:lang w:val="en-US" w:eastAsia="zh-CN"/>
              </w:rPr>
              <w:t>按照采购人需求分批次交货。</w:t>
            </w:r>
          </w:p>
          <w:p w14:paraId="502AEB2F">
            <w:pPr>
              <w:pStyle w:val="6"/>
              <w:bidi w:val="0"/>
              <w:rPr>
                <w:rFonts w:hint="eastAsia"/>
                <w:lang w:val="en-US" w:eastAsia="zh-CN"/>
              </w:rPr>
            </w:pPr>
            <w:r>
              <w:rPr>
                <w:rFonts w:hint="eastAsia"/>
                <w:b/>
                <w:bCs/>
                <w:lang w:val="en-US" w:eastAsia="zh-CN"/>
              </w:rPr>
              <w:t>三、交货地点：</w:t>
            </w:r>
            <w:r>
              <w:rPr>
                <w:rFonts w:hint="eastAsia"/>
                <w:lang w:val="en-US" w:eastAsia="zh-CN"/>
              </w:rPr>
              <w:t xml:space="preserve">采购人指定地点。 </w:t>
            </w:r>
          </w:p>
          <w:p w14:paraId="0CB7EBF3">
            <w:pPr>
              <w:pStyle w:val="6"/>
              <w:bidi w:val="0"/>
              <w:rPr>
                <w:rFonts w:hint="eastAsia"/>
                <w:lang w:val="en-US" w:eastAsia="zh-CN"/>
              </w:rPr>
            </w:pPr>
            <w:r>
              <w:rPr>
                <w:rFonts w:hint="eastAsia"/>
                <w:b/>
                <w:bCs/>
                <w:lang w:val="en-US" w:eastAsia="zh-CN"/>
              </w:rPr>
              <w:t>四、交货方式：</w:t>
            </w:r>
            <w:r>
              <w:rPr>
                <w:rFonts w:hint="eastAsia"/>
                <w:lang w:val="en-US" w:eastAsia="zh-CN"/>
              </w:rPr>
              <w:t>现场交货。</w:t>
            </w:r>
          </w:p>
          <w:p w14:paraId="07812555">
            <w:pPr>
              <w:pStyle w:val="6"/>
              <w:bidi w:val="0"/>
              <w:rPr>
                <w:rFonts w:hint="eastAsia"/>
                <w:lang w:val="en-US" w:eastAsia="zh-CN"/>
              </w:rPr>
            </w:pPr>
            <w:r>
              <w:rPr>
                <w:rFonts w:hint="eastAsia"/>
                <w:b/>
                <w:bCs/>
                <w:lang w:val="en-US" w:eastAsia="zh-CN"/>
              </w:rPr>
              <w:t>五、售后服务要求：</w:t>
            </w:r>
            <w:r>
              <w:rPr>
                <w:rFonts w:hint="eastAsia"/>
                <w:lang w:val="en-US" w:eastAsia="zh-CN"/>
              </w:rPr>
              <w:t xml:space="preserve"> </w:t>
            </w:r>
          </w:p>
          <w:p w14:paraId="48621C82">
            <w:pPr>
              <w:pStyle w:val="6"/>
              <w:bidi w:val="0"/>
              <w:rPr>
                <w:rFonts w:hint="eastAsia"/>
                <w:lang w:val="en-US" w:eastAsia="zh-CN"/>
              </w:rPr>
            </w:pPr>
            <w:r>
              <w:rPr>
                <w:rFonts w:hint="eastAsia"/>
                <w:lang w:val="en-US" w:eastAsia="zh-CN"/>
              </w:rPr>
              <w:t>1、成交供应商及时提供售后服务和采购人提出的临时服务。对采购人的服务通知，成交供应商在接到后1小时内响应，4小时内处理完毕。</w:t>
            </w:r>
          </w:p>
          <w:p w14:paraId="5CA4012E">
            <w:pPr>
              <w:pStyle w:val="6"/>
              <w:bidi w:val="0"/>
              <w:rPr>
                <w:rFonts w:hint="eastAsia"/>
                <w:lang w:val="en-US" w:eastAsia="zh-CN"/>
              </w:rPr>
            </w:pPr>
            <w:r>
              <w:rPr>
                <w:rFonts w:hint="eastAsia"/>
                <w:lang w:val="en-US" w:eastAsia="zh-CN"/>
              </w:rPr>
              <w:t>2、因成交供应商提供的食品安全质量问题造成采购人的损失将全部由成交供应商承担。</w:t>
            </w:r>
          </w:p>
          <w:p w14:paraId="02098E48">
            <w:pPr>
              <w:pStyle w:val="6"/>
              <w:bidi w:val="0"/>
              <w:rPr>
                <w:rFonts w:hint="eastAsia"/>
                <w:lang w:val="en-US" w:eastAsia="zh-CN"/>
              </w:rPr>
            </w:pPr>
            <w:r>
              <w:rPr>
                <w:rFonts w:hint="eastAsia"/>
                <w:lang w:val="en-US" w:eastAsia="zh-CN"/>
              </w:rPr>
              <w:t>3、成交供应商</w:t>
            </w:r>
            <w:r>
              <w:rPr>
                <w:rFonts w:hint="default"/>
                <w:lang w:val="en-US" w:eastAsia="zh-CN"/>
              </w:rPr>
              <w:t>确保兑换</w:t>
            </w:r>
            <w:r>
              <w:rPr>
                <w:rFonts w:hint="eastAsia"/>
                <w:lang w:val="en-US" w:eastAsia="zh-CN"/>
              </w:rPr>
              <w:t>卡</w:t>
            </w:r>
            <w:r>
              <w:rPr>
                <w:rFonts w:hint="default"/>
                <w:lang w:val="en-US" w:eastAsia="zh-CN"/>
              </w:rPr>
              <w:t>券完整无损</w:t>
            </w:r>
            <w:r>
              <w:rPr>
                <w:rFonts w:hint="eastAsia"/>
                <w:lang w:val="en-US" w:eastAsia="zh-CN"/>
              </w:rPr>
              <w:t xml:space="preserve">，非采购人的人为原因而出现券无法兑换问题，由成交供应商负责包换、包退，并承担因此而产生的一切费用。           </w:t>
            </w:r>
          </w:p>
          <w:p w14:paraId="2D4D8C6D">
            <w:pPr>
              <w:pStyle w:val="6"/>
              <w:bidi w:val="0"/>
              <w:rPr>
                <w:rFonts w:hint="eastAsia"/>
                <w:b/>
                <w:bCs/>
                <w:lang w:val="en-US" w:eastAsia="zh-CN"/>
              </w:rPr>
            </w:pPr>
            <w:r>
              <w:rPr>
                <w:rFonts w:hint="eastAsia"/>
                <w:b/>
                <w:bCs/>
                <w:lang w:val="en-US" w:eastAsia="zh-CN"/>
              </w:rPr>
              <w:t>六、其他要求：</w:t>
            </w:r>
          </w:p>
          <w:p w14:paraId="70EABB03">
            <w:pPr>
              <w:pStyle w:val="6"/>
              <w:bidi w:val="0"/>
            </w:pPr>
            <w:r>
              <w:rPr>
                <w:rFonts w:hint="eastAsia"/>
                <w:lang w:val="en-US" w:eastAsia="zh-CN"/>
              </w:rPr>
              <w:t>1、</w:t>
            </w:r>
            <w:r>
              <w:rPr>
                <w:rFonts w:hint="eastAsia"/>
              </w:rPr>
              <w:t>报价必须含以下部分，包括：</w:t>
            </w:r>
          </w:p>
          <w:p w14:paraId="09C6ABDA">
            <w:pPr>
              <w:pStyle w:val="6"/>
              <w:bidi w:val="0"/>
            </w:pPr>
            <w:r>
              <w:rPr>
                <w:rFonts w:hint="eastAsia"/>
              </w:rPr>
              <w:t>（</w:t>
            </w:r>
            <w:r>
              <w:t>1</w:t>
            </w:r>
            <w:r>
              <w:rPr>
                <w:rFonts w:hint="eastAsia"/>
              </w:rPr>
              <w:t>）</w:t>
            </w:r>
            <w:r>
              <w:rPr>
                <w:rFonts w:hint="eastAsia"/>
                <w:lang w:val="en-US" w:eastAsia="zh-CN"/>
              </w:rPr>
              <w:t>兑换卡券</w:t>
            </w:r>
            <w:r>
              <w:rPr>
                <w:rFonts w:hint="eastAsia"/>
              </w:rPr>
              <w:t>的</w:t>
            </w:r>
            <w:r>
              <w:rPr>
                <w:rFonts w:hint="eastAsia"/>
                <w:lang w:val="en-US" w:eastAsia="zh-CN"/>
              </w:rPr>
              <w:t>面值</w:t>
            </w:r>
            <w:r>
              <w:rPr>
                <w:rFonts w:hint="eastAsia"/>
              </w:rPr>
              <w:t>；</w:t>
            </w:r>
          </w:p>
          <w:p w14:paraId="486EDF12">
            <w:pPr>
              <w:pStyle w:val="6"/>
              <w:bidi w:val="0"/>
            </w:pPr>
            <w:r>
              <w:rPr>
                <w:rFonts w:hint="eastAsia"/>
              </w:rPr>
              <w:t>（</w:t>
            </w:r>
            <w:r>
              <w:t>2</w:t>
            </w:r>
            <w:r>
              <w:rPr>
                <w:rFonts w:hint="eastAsia"/>
              </w:rPr>
              <w:t>）必要的保险费用和各项税金；</w:t>
            </w:r>
          </w:p>
          <w:p w14:paraId="51BD2110">
            <w:pPr>
              <w:pStyle w:val="6"/>
              <w:bidi w:val="0"/>
              <w:rPr>
                <w:rFonts w:hint="eastAsia"/>
              </w:rPr>
            </w:pPr>
            <w:r>
              <w:rPr>
                <w:rFonts w:hint="eastAsia"/>
              </w:rPr>
              <w:t>（</w:t>
            </w:r>
            <w:r>
              <w:t>3</w:t>
            </w:r>
            <w:r>
              <w:rPr>
                <w:rFonts w:hint="eastAsia"/>
              </w:rPr>
              <w:t>）</w:t>
            </w:r>
            <w:r>
              <w:rPr>
                <w:rFonts w:hint="eastAsia"/>
                <w:lang w:val="en-US" w:eastAsia="zh-CN"/>
              </w:rPr>
              <w:t>项目</w:t>
            </w:r>
            <w:r>
              <w:rPr>
                <w:rFonts w:hint="eastAsia"/>
              </w:rPr>
              <w:t>实施所需物料、设计、制作、配送、材料</w:t>
            </w:r>
            <w:r>
              <w:rPr>
                <w:rFonts w:hint="eastAsia"/>
                <w:lang w:val="en-US" w:eastAsia="zh-CN"/>
              </w:rPr>
              <w:t>等</w:t>
            </w:r>
            <w:r>
              <w:rPr>
                <w:rFonts w:hint="eastAsia"/>
              </w:rPr>
              <w:t>各项所有费用。</w:t>
            </w:r>
          </w:p>
          <w:p w14:paraId="3B887906">
            <w:pPr>
              <w:pStyle w:val="6"/>
              <w:bidi w:val="0"/>
              <w:rPr>
                <w:rFonts w:hint="default"/>
                <w:lang w:val="en-US" w:eastAsia="zh-CN"/>
              </w:rPr>
            </w:pPr>
            <w:r>
              <w:rPr>
                <w:rFonts w:hint="eastAsia"/>
                <w:lang w:val="en-US" w:eastAsia="zh-CN"/>
              </w:rPr>
              <w:t>2、付款方式：合同签订后成交供应商按采购人需求完成第一批兑换卡券交货后采购人一次性支付合同款（付款前成交供应商须提供等额合规的增值税普通发票）。</w:t>
            </w:r>
          </w:p>
          <w:p w14:paraId="3E1F73D3">
            <w:pPr>
              <w:pStyle w:val="6"/>
              <w:bidi w:val="0"/>
              <w:rPr>
                <w:rFonts w:ascii="宋体" w:hAnsi="宋体"/>
                <w:b/>
                <w:szCs w:val="21"/>
              </w:rPr>
            </w:pPr>
            <w:r>
              <w:rPr>
                <w:rFonts w:hint="eastAsia"/>
                <w:lang w:val="en-US" w:eastAsia="zh-CN"/>
              </w:rPr>
              <w:t>3、成交供应商履行合同过程中出现任何遗漏性内容需产生额外费用，均由成交供应商自行承担，采购人不再支付任何其他费用。</w:t>
            </w:r>
          </w:p>
        </w:tc>
      </w:tr>
    </w:tbl>
    <w:p w14:paraId="3D9325E3">
      <w:pPr>
        <w:pStyle w:val="3"/>
        <w:numPr>
          <w:ilvl w:val="3"/>
          <w:numId w:val="0"/>
        </w:numPr>
        <w:rPr>
          <w:rFonts w:hint="eastAsia"/>
        </w:rPr>
      </w:pPr>
    </w:p>
    <w:p w14:paraId="46569E58">
      <w:pPr>
        <w:rPr>
          <w:rFonts w:hint="eastAsia"/>
        </w:rPr>
      </w:pPr>
    </w:p>
    <w:p w14:paraId="5DD02014">
      <w:pPr>
        <w:rPr>
          <w:rFonts w:hint="eastAsia"/>
        </w:rPr>
      </w:pPr>
    </w:p>
    <w:p w14:paraId="227FC90C">
      <w:pPr>
        <w:pStyle w:val="8"/>
        <w:ind w:firstLine="560" w:firstLineChars="200"/>
        <w:jc w:val="left"/>
        <w:rPr>
          <w:rFonts w:hint="eastAsia"/>
          <w:sz w:val="28"/>
          <w:szCs w:val="28"/>
        </w:rPr>
      </w:pPr>
    </w:p>
    <w:p w14:paraId="59B471AA">
      <w:pPr>
        <w:pStyle w:val="8"/>
        <w:ind w:firstLine="560" w:firstLineChars="200"/>
        <w:jc w:val="left"/>
        <w:rPr>
          <w:rFonts w:hint="eastAsia"/>
          <w:sz w:val="28"/>
          <w:szCs w:val="28"/>
        </w:rPr>
      </w:pPr>
    </w:p>
    <w:p w14:paraId="653D7CB8">
      <w:pPr>
        <w:pStyle w:val="8"/>
        <w:ind w:firstLine="560" w:firstLineChars="200"/>
        <w:jc w:val="left"/>
        <w:rPr>
          <w:rFonts w:hint="eastAsia"/>
          <w:sz w:val="28"/>
          <w:szCs w:val="28"/>
        </w:rPr>
      </w:pPr>
    </w:p>
    <w:p w14:paraId="783F6BB3">
      <w:pPr>
        <w:pStyle w:val="8"/>
        <w:ind w:firstLine="560" w:firstLineChars="200"/>
        <w:jc w:val="left"/>
        <w:rPr>
          <w:rFonts w:hint="eastAsia"/>
          <w:sz w:val="28"/>
          <w:szCs w:val="28"/>
        </w:rPr>
      </w:pPr>
    </w:p>
    <w:p w14:paraId="7D36CDD4">
      <w:pPr>
        <w:pStyle w:val="8"/>
        <w:ind w:firstLine="560" w:firstLineChars="200"/>
        <w:jc w:val="left"/>
        <w:rPr>
          <w:rFonts w:hint="eastAsia"/>
          <w:sz w:val="28"/>
          <w:szCs w:val="28"/>
        </w:rPr>
      </w:pPr>
    </w:p>
    <w:p w14:paraId="27ECA1C0">
      <w:pPr>
        <w:pStyle w:val="8"/>
        <w:ind w:firstLine="560" w:firstLineChars="200"/>
        <w:jc w:val="left"/>
        <w:rPr>
          <w:rFonts w:hint="eastAsia"/>
          <w:sz w:val="28"/>
          <w:szCs w:val="28"/>
        </w:rPr>
      </w:pPr>
    </w:p>
    <w:p w14:paraId="31138F57">
      <w:pPr>
        <w:pStyle w:val="8"/>
        <w:ind w:firstLine="560" w:firstLineChars="200"/>
        <w:jc w:val="left"/>
        <w:rPr>
          <w:rFonts w:hint="eastAsia"/>
          <w:sz w:val="28"/>
          <w:szCs w:val="28"/>
        </w:rPr>
      </w:pPr>
    </w:p>
    <w:p w14:paraId="63A19E32">
      <w:pPr>
        <w:pStyle w:val="8"/>
        <w:ind w:firstLine="560" w:firstLineChars="200"/>
        <w:jc w:val="left"/>
        <w:rPr>
          <w:rFonts w:hint="eastAsia"/>
          <w:sz w:val="28"/>
          <w:szCs w:val="28"/>
        </w:rPr>
      </w:pPr>
    </w:p>
    <w:p w14:paraId="75B4D8C6">
      <w:pPr>
        <w:pStyle w:val="8"/>
        <w:ind w:firstLine="560" w:firstLineChars="200"/>
        <w:jc w:val="left"/>
        <w:rPr>
          <w:rFonts w:hint="eastAsia"/>
          <w:sz w:val="28"/>
          <w:szCs w:val="28"/>
        </w:rPr>
      </w:pPr>
    </w:p>
    <w:p w14:paraId="44742FC3">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南宁中心血站2025年献血者专属米粉兑换卡券采购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3F153B85">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南宁中心血站2025年献血者专属米粉兑换卡券采购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7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426"/>
        <w:gridCol w:w="900"/>
        <w:gridCol w:w="1050"/>
        <w:gridCol w:w="1222"/>
        <w:gridCol w:w="1311"/>
        <w:gridCol w:w="1113"/>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7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39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19"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5"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05" w:type="pct"/>
            <w:vAlign w:val="center"/>
          </w:tcPr>
          <w:p w14:paraId="277BDE61">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上浮率</w:t>
            </w:r>
          </w:p>
        </w:tc>
        <w:tc>
          <w:tcPr>
            <w:tcW w:w="756" w:type="pct"/>
            <w:vAlign w:val="center"/>
          </w:tcPr>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兑换券面值（元）</w:t>
            </w:r>
          </w:p>
        </w:tc>
        <w:tc>
          <w:tcPr>
            <w:tcW w:w="642"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1399" w:type="pct"/>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献血者专属米粉兑换卡券</w:t>
            </w:r>
          </w:p>
        </w:tc>
        <w:tc>
          <w:tcPr>
            <w:tcW w:w="519" w:type="pct"/>
            <w:vAlign w:val="center"/>
          </w:tcPr>
          <w:p w14:paraId="58A56D19">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张</w:t>
            </w:r>
          </w:p>
        </w:tc>
        <w:tc>
          <w:tcPr>
            <w:tcW w:w="605" w:type="pct"/>
            <w:vAlign w:val="center"/>
          </w:tcPr>
          <w:p w14:paraId="27A42B44">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620</w:t>
            </w:r>
          </w:p>
        </w:tc>
        <w:tc>
          <w:tcPr>
            <w:tcW w:w="705" w:type="pct"/>
            <w:vAlign w:val="center"/>
          </w:tcPr>
          <w:p w14:paraId="5C26E29B">
            <w:pPr>
              <w:pStyle w:val="8"/>
              <w:rPr>
                <w:rFonts w:hint="eastAsia" w:ascii="宋体" w:hAnsi="宋体" w:eastAsia="宋体" w:cs="宋体"/>
                <w:sz w:val="21"/>
                <w:szCs w:val="21"/>
              </w:rPr>
            </w:pPr>
          </w:p>
        </w:tc>
        <w:tc>
          <w:tcPr>
            <w:tcW w:w="756" w:type="pct"/>
            <w:vAlign w:val="center"/>
          </w:tcPr>
          <w:p w14:paraId="507BE8BA">
            <w:pPr>
              <w:pStyle w:val="8"/>
              <w:rPr>
                <w:rFonts w:hint="eastAsia" w:ascii="宋体" w:hAnsi="宋体" w:eastAsia="宋体" w:cs="宋体"/>
                <w:sz w:val="21"/>
                <w:szCs w:val="21"/>
              </w:rPr>
            </w:pPr>
          </w:p>
        </w:tc>
        <w:tc>
          <w:tcPr>
            <w:tcW w:w="642" w:type="pct"/>
            <w:vAlign w:val="center"/>
          </w:tcPr>
          <w:p w14:paraId="61E3D01C">
            <w:pPr>
              <w:pStyle w:val="8"/>
              <w:rPr>
                <w:rFonts w:hint="default" w:ascii="宋体" w:hAnsi="宋体" w:eastAsia="宋体" w:cs="宋体"/>
                <w:sz w:val="21"/>
                <w:szCs w:val="21"/>
                <w:lang w:val="en-US" w:eastAsia="zh-CN"/>
              </w:rPr>
            </w:pP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exact"/>
          <w:jc w:val="center"/>
        </w:trPr>
        <w:tc>
          <w:tcPr>
            <w:tcW w:w="5000" w:type="pct"/>
            <w:gridSpan w:val="7"/>
            <w:vAlign w:val="center"/>
          </w:tcPr>
          <w:p w14:paraId="44182042">
            <w:pPr>
              <w:bidi w:val="0"/>
              <w:rPr>
                <w:rFonts w:hint="eastAsia" w:eastAsiaTheme="minorEastAsia"/>
                <w:lang w:val="en-US" w:eastAsia="zh-CN"/>
              </w:rPr>
            </w:pPr>
            <w:r>
              <w:rPr>
                <w:rFonts w:hint="eastAsia" w:asciiTheme="minorEastAsia" w:hAnsiTheme="minorEastAsia" w:eastAsiaTheme="minorEastAsia"/>
                <w:b/>
                <w:color w:val="FF0000"/>
                <w:sz w:val="21"/>
                <w:szCs w:val="21"/>
              </w:rPr>
              <w:t>说明：本项目根据每张兑换券面额人民币25元作为基准报出投标上浮率。投标上浮率不得为负数，且是固定唯一值的；如中标上浮率为X%，即兑换券面值=基准价（25元）X(1+X%)。例如：投标上浮率为</w:t>
            </w:r>
            <w:r>
              <w:rPr>
                <w:rFonts w:hint="eastAsia" w:asciiTheme="minorEastAsia" w:hAnsiTheme="minorEastAsia"/>
                <w:b/>
                <w:color w:val="FF0000"/>
                <w:sz w:val="21"/>
                <w:szCs w:val="21"/>
                <w:lang w:val="en-US" w:eastAsia="zh-CN"/>
              </w:rPr>
              <w:t>2</w:t>
            </w:r>
            <w:r>
              <w:rPr>
                <w:rFonts w:hint="eastAsia" w:asciiTheme="minorEastAsia" w:hAnsiTheme="minorEastAsia" w:eastAsiaTheme="minorEastAsia"/>
                <w:b/>
                <w:color w:val="FF0000"/>
                <w:sz w:val="21"/>
                <w:szCs w:val="21"/>
              </w:rPr>
              <w:t>0%，实际兑换券面值为：25元（基准价）X(1+</w:t>
            </w:r>
            <w:r>
              <w:rPr>
                <w:rFonts w:hint="eastAsia" w:asciiTheme="minorEastAsia" w:hAnsiTheme="minorEastAsia"/>
                <w:b/>
                <w:color w:val="FF0000"/>
                <w:sz w:val="21"/>
                <w:szCs w:val="21"/>
                <w:lang w:val="en-US" w:eastAsia="zh-CN"/>
              </w:rPr>
              <w:t>2</w:t>
            </w:r>
            <w:r>
              <w:rPr>
                <w:rFonts w:hint="eastAsia" w:asciiTheme="minorEastAsia" w:hAnsiTheme="minorEastAsia" w:eastAsiaTheme="minorEastAsia"/>
                <w:b/>
                <w:color w:val="FF0000"/>
                <w:sz w:val="21"/>
                <w:szCs w:val="21"/>
              </w:rPr>
              <w:t>0%)=</w:t>
            </w:r>
            <w:r>
              <w:rPr>
                <w:rFonts w:hint="eastAsia" w:asciiTheme="minorEastAsia" w:hAnsiTheme="minorEastAsia"/>
                <w:b/>
                <w:color w:val="FF0000"/>
                <w:sz w:val="21"/>
                <w:szCs w:val="21"/>
                <w:lang w:val="en-US" w:eastAsia="zh-CN"/>
              </w:rPr>
              <w:t>30</w:t>
            </w:r>
            <w:r>
              <w:rPr>
                <w:rFonts w:hint="eastAsia" w:asciiTheme="minorEastAsia" w:hAnsiTheme="minorEastAsia" w:eastAsiaTheme="minorEastAsia"/>
                <w:b/>
                <w:color w:val="FF0000"/>
                <w:sz w:val="21"/>
                <w:szCs w:val="21"/>
              </w:rPr>
              <w:t>元，即采购人购得人民币</w:t>
            </w:r>
            <w:r>
              <w:rPr>
                <w:rFonts w:hint="eastAsia" w:asciiTheme="minorEastAsia" w:hAnsiTheme="minorEastAsia"/>
                <w:b/>
                <w:color w:val="FF0000"/>
                <w:sz w:val="21"/>
                <w:szCs w:val="21"/>
                <w:lang w:val="en-US" w:eastAsia="zh-CN"/>
              </w:rPr>
              <w:t>30</w:t>
            </w:r>
            <w:r>
              <w:rPr>
                <w:rFonts w:hint="eastAsia" w:asciiTheme="minorEastAsia" w:hAnsiTheme="minorEastAsia" w:eastAsiaTheme="minorEastAsia"/>
                <w:b/>
                <w:color w:val="FF0000"/>
                <w:sz w:val="21"/>
                <w:szCs w:val="21"/>
              </w:rPr>
              <w:t>元面值的兑换券只需支付人民币</w:t>
            </w:r>
            <w:r>
              <w:rPr>
                <w:rFonts w:hint="eastAsia" w:asciiTheme="minorEastAsia" w:hAnsiTheme="minorEastAsia"/>
                <w:b/>
                <w:color w:val="FF0000"/>
                <w:sz w:val="21"/>
                <w:szCs w:val="21"/>
                <w:lang w:val="en-US" w:eastAsia="zh-CN"/>
              </w:rPr>
              <w:t>24.67</w:t>
            </w:r>
            <w:r>
              <w:rPr>
                <w:rFonts w:hint="eastAsia" w:asciiTheme="minorEastAsia" w:hAnsiTheme="minorEastAsia" w:eastAsiaTheme="minorEastAsia"/>
                <w:b/>
                <w:color w:val="FF0000"/>
                <w:sz w:val="21"/>
                <w:szCs w:val="21"/>
              </w:rPr>
              <w:t>元。</w:t>
            </w: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45291B22">
      <w:pPr>
        <w:pStyle w:val="8"/>
        <w:spacing w:line="500" w:lineRule="exact"/>
        <w:ind w:firstLine="560" w:firstLineChars="200"/>
        <w:jc w:val="left"/>
        <w:rPr>
          <w:rFonts w:hint="eastAsia" w:asciiTheme="minorEastAsia" w:hAnsiTheme="minorEastAsia" w:cstheme="majorEastAsia"/>
          <w:bCs/>
          <w:color w:val="000000"/>
          <w:sz w:val="28"/>
          <w:szCs w:val="28"/>
        </w:rPr>
      </w:pPr>
    </w:p>
    <w:p w14:paraId="6EC244E3">
      <w:pPr>
        <w:pStyle w:val="8"/>
        <w:spacing w:line="500" w:lineRule="exact"/>
        <w:ind w:firstLine="560" w:firstLineChars="200"/>
        <w:jc w:val="left"/>
        <w:rPr>
          <w:rFonts w:hint="eastAsia" w:asciiTheme="minorEastAsia" w:hAnsiTheme="minorEastAsia" w:cstheme="majorEastAsia"/>
          <w:bCs/>
          <w:color w:val="000000"/>
          <w:sz w:val="28"/>
          <w:szCs w:val="28"/>
        </w:rPr>
      </w:pPr>
    </w:p>
    <w:p w14:paraId="14F07266">
      <w:pPr>
        <w:pStyle w:val="8"/>
        <w:spacing w:line="500" w:lineRule="exact"/>
        <w:ind w:firstLine="560" w:firstLineChars="200"/>
        <w:jc w:val="left"/>
        <w:rPr>
          <w:rFonts w:hint="eastAsia" w:asciiTheme="minorEastAsia" w:hAnsiTheme="minorEastAsia" w:cstheme="majorEastAsia"/>
          <w:bCs/>
          <w:color w:val="000000"/>
          <w:sz w:val="28"/>
          <w:szCs w:val="28"/>
        </w:rPr>
      </w:pPr>
    </w:p>
    <w:p w14:paraId="646E0767">
      <w:pPr>
        <w:pStyle w:val="8"/>
        <w:spacing w:line="500" w:lineRule="exact"/>
        <w:ind w:firstLine="560" w:firstLineChars="200"/>
        <w:jc w:val="left"/>
        <w:rPr>
          <w:rFonts w:hint="eastAsia" w:asciiTheme="minorEastAsia" w:hAnsiTheme="minorEastAsia" w:cstheme="majorEastAsia"/>
          <w:bCs/>
          <w:color w:val="000000"/>
          <w:sz w:val="28"/>
          <w:szCs w:val="28"/>
        </w:rPr>
      </w:pPr>
    </w:p>
    <w:p w14:paraId="54CB35E9">
      <w:pPr>
        <w:pStyle w:val="8"/>
        <w:spacing w:line="500" w:lineRule="exact"/>
        <w:ind w:firstLine="560" w:firstLineChars="200"/>
        <w:jc w:val="left"/>
        <w:rPr>
          <w:rFonts w:hint="eastAsia" w:asciiTheme="minorEastAsia" w:hAnsiTheme="minorEastAsia" w:cstheme="majorEastAsia"/>
          <w:bCs/>
          <w:color w:val="000000"/>
          <w:sz w:val="28"/>
          <w:szCs w:val="28"/>
        </w:rPr>
      </w:pPr>
    </w:p>
    <w:p w14:paraId="6640F5D6">
      <w:pPr>
        <w:pStyle w:val="8"/>
        <w:spacing w:line="500" w:lineRule="exact"/>
        <w:ind w:firstLine="560" w:firstLineChars="200"/>
        <w:jc w:val="left"/>
        <w:rPr>
          <w:rFonts w:hint="eastAsia" w:asciiTheme="minorEastAsia" w:hAnsiTheme="minorEastAsia" w:cstheme="majorEastAsia"/>
          <w:bCs/>
          <w:color w:val="000000"/>
          <w:sz w:val="28"/>
          <w:szCs w:val="28"/>
        </w:rPr>
      </w:pPr>
    </w:p>
    <w:p w14:paraId="342F2134">
      <w:pPr>
        <w:pStyle w:val="8"/>
        <w:spacing w:line="500" w:lineRule="exact"/>
        <w:ind w:firstLine="560" w:firstLineChars="200"/>
        <w:jc w:val="left"/>
        <w:rPr>
          <w:rFonts w:hint="eastAsia" w:asciiTheme="minorEastAsia" w:hAnsiTheme="minorEastAsia" w:cstheme="majorEastAsia"/>
          <w:bCs/>
          <w:color w:val="000000"/>
          <w:sz w:val="28"/>
          <w:szCs w:val="28"/>
        </w:rPr>
      </w:pPr>
    </w:p>
    <w:p w14:paraId="3F6D9D30">
      <w:pPr>
        <w:pStyle w:val="8"/>
        <w:spacing w:line="500" w:lineRule="exact"/>
        <w:ind w:firstLine="560" w:firstLineChars="200"/>
        <w:jc w:val="left"/>
        <w:rPr>
          <w:rFonts w:hint="eastAsia" w:asciiTheme="minorEastAsia" w:hAnsiTheme="minorEastAsia" w:cstheme="majorEastAsia"/>
          <w:bCs/>
          <w:color w:val="000000"/>
          <w:sz w:val="28"/>
          <w:szCs w:val="28"/>
        </w:rPr>
      </w:pPr>
    </w:p>
    <w:p w14:paraId="10F56A39">
      <w:pPr>
        <w:pStyle w:val="8"/>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8"/>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8"/>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
        <w:gridCol w:w="642"/>
        <w:gridCol w:w="3193"/>
        <w:gridCol w:w="751"/>
        <w:gridCol w:w="3524"/>
        <w:gridCol w:w="636"/>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11"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100" w:type="pct"/>
            <w:gridSpan w:val="2"/>
            <w:vAlign w:val="center"/>
          </w:tcPr>
          <w:p w14:paraId="6400F0E2">
            <w:pPr>
              <w:jc w:val="center"/>
              <w:rPr>
                <w:rFonts w:ascii="宋体"/>
                <w:szCs w:val="21"/>
              </w:rPr>
            </w:pPr>
            <w:r>
              <w:rPr>
                <w:rFonts w:hint="eastAsia" w:ascii="宋体" w:hAnsi="宋体"/>
                <w:szCs w:val="21"/>
              </w:rPr>
              <w:t>采购文件需求</w:t>
            </w:r>
          </w:p>
        </w:tc>
        <w:tc>
          <w:tcPr>
            <w:tcW w:w="2340" w:type="pct"/>
            <w:gridSpan w:val="2"/>
            <w:vAlign w:val="center"/>
          </w:tcPr>
          <w:p w14:paraId="366EEBF5">
            <w:pPr>
              <w:jc w:val="center"/>
              <w:rPr>
                <w:rFonts w:ascii="宋体"/>
                <w:szCs w:val="21"/>
              </w:rPr>
            </w:pPr>
            <w:r>
              <w:rPr>
                <w:rFonts w:hint="eastAsia" w:ascii="宋体" w:hAnsi="宋体"/>
                <w:szCs w:val="21"/>
              </w:rPr>
              <w:t>响应文件承诺</w:t>
            </w:r>
          </w:p>
        </w:tc>
        <w:tc>
          <w:tcPr>
            <w:tcW w:w="34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11" w:type="pct"/>
            <w:vMerge w:val="continue"/>
            <w:vAlign w:val="center"/>
          </w:tcPr>
          <w:p w14:paraId="49B33CFA">
            <w:pPr>
              <w:pStyle w:val="8"/>
              <w:jc w:val="center"/>
              <w:rPr>
                <w:rFonts w:hAnsi="宋体"/>
                <w:spacing w:val="-20"/>
                <w:szCs w:val="21"/>
              </w:rPr>
            </w:pPr>
          </w:p>
        </w:tc>
        <w:tc>
          <w:tcPr>
            <w:tcW w:w="352" w:type="pct"/>
            <w:vAlign w:val="center"/>
          </w:tcPr>
          <w:p w14:paraId="375F1A88">
            <w:pPr>
              <w:jc w:val="center"/>
              <w:rPr>
                <w:rFonts w:ascii="宋体"/>
                <w:szCs w:val="21"/>
              </w:rPr>
            </w:pPr>
            <w:r>
              <w:rPr>
                <w:rFonts w:hint="eastAsia" w:ascii="宋体" w:hAnsi="宋体"/>
                <w:szCs w:val="21"/>
              </w:rPr>
              <w:t>货物名称</w:t>
            </w:r>
          </w:p>
        </w:tc>
        <w:tc>
          <w:tcPr>
            <w:tcW w:w="1747" w:type="pct"/>
            <w:vAlign w:val="center"/>
          </w:tcPr>
          <w:p w14:paraId="090188AF">
            <w:pPr>
              <w:jc w:val="center"/>
              <w:rPr>
                <w:rFonts w:ascii="宋体"/>
                <w:szCs w:val="21"/>
              </w:rPr>
            </w:pPr>
            <w:r>
              <w:rPr>
                <w:rFonts w:hint="eastAsia" w:ascii="宋体" w:hAnsi="宋体"/>
                <w:szCs w:val="21"/>
              </w:rPr>
              <w:t>采购内容及要求</w:t>
            </w:r>
          </w:p>
        </w:tc>
        <w:tc>
          <w:tcPr>
            <w:tcW w:w="411" w:type="pct"/>
            <w:vAlign w:val="center"/>
          </w:tcPr>
          <w:p w14:paraId="7D0F43AF">
            <w:pPr>
              <w:jc w:val="center"/>
              <w:rPr>
                <w:rFonts w:ascii="宋体"/>
                <w:szCs w:val="21"/>
              </w:rPr>
            </w:pPr>
            <w:r>
              <w:rPr>
                <w:rFonts w:hint="eastAsia" w:ascii="宋体" w:hAnsi="宋体"/>
                <w:szCs w:val="21"/>
              </w:rPr>
              <w:t>货物名称</w:t>
            </w:r>
          </w:p>
        </w:tc>
        <w:tc>
          <w:tcPr>
            <w:tcW w:w="1928" w:type="pct"/>
            <w:vAlign w:val="center"/>
          </w:tcPr>
          <w:p w14:paraId="137E8F36">
            <w:pPr>
              <w:jc w:val="center"/>
              <w:rPr>
                <w:rFonts w:ascii="宋体"/>
                <w:szCs w:val="21"/>
              </w:rPr>
            </w:pPr>
            <w:r>
              <w:rPr>
                <w:rFonts w:hint="eastAsia" w:ascii="宋体" w:hAnsi="宋体"/>
                <w:szCs w:val="21"/>
              </w:rPr>
              <w:t>响应的内容及要求</w:t>
            </w:r>
          </w:p>
        </w:tc>
        <w:tc>
          <w:tcPr>
            <w:tcW w:w="34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413F821A">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52"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献血者专属米粉兑换卡券</w:t>
            </w:r>
            <w:r>
              <w:rPr>
                <w:rFonts w:hint="eastAsia" w:ascii="宋体" w:hAnsi="宋体" w:cs="宋体"/>
                <w:szCs w:val="21"/>
                <w:lang w:val="en-US" w:eastAsia="zh-CN"/>
              </w:rPr>
              <w:br w:type="textWrapping"/>
            </w:r>
          </w:p>
        </w:tc>
        <w:tc>
          <w:tcPr>
            <w:tcW w:w="1747" w:type="pct"/>
            <w:shd w:val="clear" w:color="auto" w:fill="auto"/>
            <w:vAlign w:val="center"/>
          </w:tcPr>
          <w:p w14:paraId="629BAB35">
            <w:pPr>
              <w:pStyle w:val="8"/>
              <w:numPr>
                <w:ilvl w:val="0"/>
                <w:numId w:val="0"/>
              </w:numPr>
              <w:spacing w:line="400" w:lineRule="exact"/>
              <w:rPr>
                <w:rFonts w:hint="eastAsia"/>
                <w:lang w:val="en-US" w:eastAsia="zh-CN"/>
              </w:rPr>
            </w:pPr>
            <w:r>
              <w:rPr>
                <w:rFonts w:hint="eastAsia"/>
                <w:lang w:val="en-US" w:eastAsia="zh-CN"/>
              </w:rPr>
              <w:t>1、兑换卡券成交单价24.67元/张，共620张。</w:t>
            </w:r>
          </w:p>
          <w:p w14:paraId="6E5783C7">
            <w:pPr>
              <w:pStyle w:val="8"/>
              <w:numPr>
                <w:ilvl w:val="0"/>
                <w:numId w:val="0"/>
              </w:numPr>
              <w:spacing w:line="400" w:lineRule="exact"/>
              <w:rPr>
                <w:rFonts w:hint="eastAsia"/>
                <w:lang w:val="en-US" w:eastAsia="zh-CN"/>
              </w:rPr>
            </w:pPr>
            <w:r>
              <w:rPr>
                <w:rFonts w:hint="eastAsia"/>
                <w:lang w:val="en-US" w:eastAsia="zh-CN"/>
              </w:rPr>
              <w:t>2、兑换内容：可供兑换的产品为成交供应商响应品牌门店内所有的等值产品，供兑换的食物必须符合国家相关标准且质检合格。</w:t>
            </w:r>
          </w:p>
          <w:p w14:paraId="21504939">
            <w:pPr>
              <w:pStyle w:val="8"/>
              <w:numPr>
                <w:ilvl w:val="0"/>
                <w:numId w:val="0"/>
              </w:numPr>
              <w:spacing w:line="400" w:lineRule="exact"/>
              <w:rPr>
                <w:rFonts w:hint="eastAsia"/>
                <w:lang w:val="en-US" w:eastAsia="zh-CN"/>
              </w:rPr>
            </w:pPr>
            <w:r>
              <w:rPr>
                <w:rFonts w:hint="eastAsia"/>
                <w:lang w:val="en-US" w:eastAsia="zh-CN"/>
              </w:rPr>
              <w:t>3、兑换门店：可供兑换的实体店分布覆盖范围广，在南宁市各城区均有实体店，在南宁市门店数量不少100家，便于献血者兑换。</w:t>
            </w:r>
          </w:p>
          <w:p w14:paraId="52EA31AB">
            <w:pPr>
              <w:pStyle w:val="8"/>
              <w:numPr>
                <w:ilvl w:val="0"/>
                <w:numId w:val="0"/>
              </w:numPr>
              <w:spacing w:line="400" w:lineRule="exact"/>
              <w:rPr>
                <w:rFonts w:hint="eastAsia"/>
                <w:lang w:val="en-US" w:eastAsia="zh-CN"/>
              </w:rPr>
            </w:pPr>
            <w:r>
              <w:rPr>
                <w:rFonts w:hint="eastAsia"/>
                <w:lang w:val="en-US" w:eastAsia="zh-CN"/>
              </w:rPr>
              <w:t>4、兑换要求：兑换卡券可在成交供应商响应品牌全部实体店内兑换使用，可一次或累计多次换取产品。</w:t>
            </w:r>
          </w:p>
          <w:p w14:paraId="66C02773">
            <w:pPr>
              <w:pStyle w:val="8"/>
              <w:numPr>
                <w:ilvl w:val="0"/>
                <w:numId w:val="0"/>
              </w:numPr>
              <w:spacing w:line="400" w:lineRule="exact"/>
              <w:rPr>
                <w:rFonts w:hint="eastAsia"/>
                <w:lang w:val="en-US" w:eastAsia="zh-CN"/>
              </w:rPr>
            </w:pPr>
            <w:r>
              <w:rPr>
                <w:rFonts w:hint="eastAsia"/>
                <w:lang w:val="en-US" w:eastAsia="zh-CN"/>
              </w:rPr>
              <w:t>5、兑换期限：兑换卡券生效二维码有效期至少1年，扫码激活后使用效期不少于2年，可提供延期服务（不收取费用）。</w:t>
            </w:r>
          </w:p>
          <w:p w14:paraId="19E05670">
            <w:pPr>
              <w:pStyle w:val="8"/>
              <w:numPr>
                <w:ilvl w:val="0"/>
                <w:numId w:val="0"/>
              </w:numPr>
              <w:spacing w:line="400" w:lineRule="exact"/>
              <w:rPr>
                <w:rFonts w:hint="eastAsia"/>
                <w:lang w:val="en-US" w:eastAsia="zh-CN"/>
              </w:rPr>
            </w:pPr>
            <w:r>
              <w:rPr>
                <w:rFonts w:hint="eastAsia"/>
                <w:lang w:val="en-US" w:eastAsia="zh-CN"/>
              </w:rPr>
              <w:t>6、供货过程中所产生的安全责任均由成交供应商承担。</w:t>
            </w:r>
          </w:p>
          <w:p w14:paraId="3B9D4F9C">
            <w:pPr>
              <w:pStyle w:val="8"/>
              <w:numPr>
                <w:ilvl w:val="0"/>
                <w:numId w:val="0"/>
              </w:numPr>
              <w:spacing w:line="400" w:lineRule="exact"/>
              <w:rPr>
                <w:rFonts w:hint="eastAsia"/>
                <w:lang w:val="en-US" w:eastAsia="zh-CN"/>
              </w:rPr>
            </w:pPr>
            <w:r>
              <w:rPr>
                <w:rFonts w:hint="eastAsia"/>
                <w:lang w:val="en-US" w:eastAsia="zh-CN"/>
              </w:rPr>
              <w:t>7、卡券样式：可根据采购人的需求设计具备双方文化元素的卡券样式。</w:t>
            </w:r>
          </w:p>
          <w:p w14:paraId="2153A660">
            <w:pPr>
              <w:pStyle w:val="8"/>
              <w:numPr>
                <w:ilvl w:val="0"/>
                <w:numId w:val="0"/>
              </w:numPr>
              <w:spacing w:line="400" w:lineRule="exact"/>
              <w:rPr>
                <w:rFonts w:hint="eastAsia"/>
                <w:lang w:val="en-US" w:eastAsia="zh-CN"/>
              </w:rPr>
            </w:pPr>
            <w:r>
              <w:rPr>
                <w:rFonts w:hint="eastAsia"/>
                <w:lang w:val="en-US" w:eastAsia="zh-CN"/>
              </w:rPr>
              <w:t>8、本项目以每张兑换卡券面额人民币25元作为基准报出投标上浮率。投标上浮率不得为负数，且是固定唯一值的；如中标上浮率为X%，即兑换券面值=基准价（25元）X(1+X%)。例如：投标上浮率为20%，实际兑换券面值为：25元（基准价）X(1+20%)=30元，即采购人购得人民币30元面值的兑换券只需支付人民币24.67元。</w:t>
            </w:r>
          </w:p>
        </w:tc>
        <w:tc>
          <w:tcPr>
            <w:tcW w:w="411" w:type="pct"/>
            <w:vAlign w:val="center"/>
          </w:tcPr>
          <w:p w14:paraId="0EFBC44B">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献血者专属米粉兑换卡券</w:t>
            </w:r>
            <w:r>
              <w:rPr>
                <w:rFonts w:hint="eastAsia" w:ascii="宋体" w:hAnsi="宋体" w:cs="宋体"/>
                <w:szCs w:val="21"/>
                <w:lang w:val="en-US" w:eastAsia="zh-CN"/>
              </w:rPr>
              <w:br w:type="textWrapping"/>
            </w:r>
          </w:p>
        </w:tc>
        <w:tc>
          <w:tcPr>
            <w:tcW w:w="1928" w:type="pct"/>
            <w:vAlign w:val="center"/>
          </w:tcPr>
          <w:p w14:paraId="6FC44CCD">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vAlign w:val="center"/>
          </w:tcPr>
          <w:p w14:paraId="341F38EB">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31D0CAB">
      <w:pPr>
        <w:spacing w:line="400" w:lineRule="exact"/>
        <w:ind w:firstLine="560" w:firstLineChars="200"/>
        <w:jc w:val="left"/>
        <w:rPr>
          <w:rFonts w:hint="eastAsia" w:asciiTheme="minorEastAsia" w:hAnsiTheme="minorEastAsia" w:cstheme="majorEastAsia"/>
          <w:bCs/>
          <w:color w:val="000000"/>
          <w:sz w:val="28"/>
          <w:szCs w:val="28"/>
        </w:rPr>
      </w:pPr>
    </w:p>
    <w:p w14:paraId="0F241196">
      <w:pPr>
        <w:spacing w:line="400" w:lineRule="exact"/>
        <w:ind w:firstLine="560" w:firstLineChars="200"/>
        <w:jc w:val="left"/>
        <w:rPr>
          <w:rFonts w:hint="eastAsia" w:asciiTheme="minorEastAsia" w:hAnsiTheme="minorEastAsia" w:cstheme="majorEastAsia"/>
          <w:bCs/>
          <w:color w:val="000000"/>
          <w:sz w:val="28"/>
          <w:szCs w:val="28"/>
        </w:rPr>
      </w:pPr>
    </w:p>
    <w:p w14:paraId="02F71E1C">
      <w:pPr>
        <w:spacing w:line="400" w:lineRule="exact"/>
        <w:ind w:firstLine="560" w:firstLineChars="200"/>
        <w:jc w:val="left"/>
        <w:rPr>
          <w:rFonts w:hint="eastAsia" w:asciiTheme="minorEastAsia" w:hAnsiTheme="minorEastAsia" w:cstheme="majorEastAsia"/>
          <w:bCs/>
          <w:color w:val="000000"/>
          <w:sz w:val="28"/>
          <w:szCs w:val="28"/>
        </w:rPr>
      </w:pPr>
    </w:p>
    <w:p w14:paraId="55B9432B">
      <w:pPr>
        <w:spacing w:line="400" w:lineRule="exact"/>
        <w:ind w:firstLine="560" w:firstLineChars="200"/>
        <w:jc w:val="left"/>
        <w:rPr>
          <w:rFonts w:hint="eastAsia" w:asciiTheme="minorEastAsia" w:hAnsiTheme="minorEastAsia" w:cstheme="majorEastAsia"/>
          <w:bCs/>
          <w:color w:val="000000"/>
          <w:sz w:val="28"/>
          <w:szCs w:val="28"/>
        </w:rPr>
      </w:pPr>
    </w:p>
    <w:p w14:paraId="1F2FCC3A">
      <w:pPr>
        <w:spacing w:line="400" w:lineRule="exact"/>
        <w:ind w:firstLine="560" w:firstLineChars="200"/>
        <w:jc w:val="left"/>
        <w:rPr>
          <w:rFonts w:hint="eastAsia" w:asciiTheme="minorEastAsia" w:hAnsiTheme="minorEastAsia" w:cstheme="majorEastAsia"/>
          <w:bCs/>
          <w:color w:val="000000"/>
          <w:sz w:val="28"/>
          <w:szCs w:val="28"/>
        </w:rPr>
      </w:pPr>
    </w:p>
    <w:p w14:paraId="3FF7F1B9">
      <w:pPr>
        <w:spacing w:line="400" w:lineRule="exact"/>
        <w:ind w:firstLine="560" w:firstLineChars="200"/>
        <w:jc w:val="left"/>
        <w:rPr>
          <w:rFonts w:hint="eastAsia" w:asciiTheme="minorEastAsia" w:hAnsiTheme="minorEastAsia" w:cstheme="majorEastAsia"/>
          <w:bCs/>
          <w:color w:val="000000"/>
          <w:sz w:val="28"/>
          <w:szCs w:val="28"/>
        </w:rPr>
      </w:pPr>
    </w:p>
    <w:p w14:paraId="424C1D88">
      <w:pPr>
        <w:spacing w:line="400" w:lineRule="exact"/>
        <w:ind w:firstLine="560" w:firstLineChars="200"/>
        <w:jc w:val="left"/>
        <w:rPr>
          <w:rFonts w:hint="eastAsia" w:asciiTheme="minorEastAsia" w:hAnsiTheme="minorEastAsia" w:cstheme="majorEastAsia"/>
          <w:bCs/>
          <w:color w:val="000000"/>
          <w:sz w:val="28"/>
          <w:szCs w:val="28"/>
        </w:rPr>
      </w:pPr>
    </w:p>
    <w:p w14:paraId="6B24D20D">
      <w:pPr>
        <w:spacing w:line="400" w:lineRule="exact"/>
        <w:ind w:firstLine="560" w:firstLineChars="200"/>
        <w:jc w:val="left"/>
        <w:rPr>
          <w:rFonts w:hint="eastAsia" w:asciiTheme="minorEastAsia" w:hAnsiTheme="minorEastAsia" w:cstheme="majorEastAsia"/>
          <w:bCs/>
          <w:color w:val="000000"/>
          <w:sz w:val="28"/>
          <w:szCs w:val="28"/>
        </w:rPr>
      </w:pPr>
    </w:p>
    <w:p w14:paraId="0F090585">
      <w:pPr>
        <w:spacing w:line="400" w:lineRule="exact"/>
        <w:ind w:firstLine="560" w:firstLineChars="200"/>
        <w:jc w:val="left"/>
        <w:rPr>
          <w:rFonts w:hint="eastAsia" w:asciiTheme="minorEastAsia" w:hAnsiTheme="minorEastAsia" w:cstheme="majorEastAsia"/>
          <w:bCs/>
          <w:color w:val="000000"/>
          <w:sz w:val="28"/>
          <w:szCs w:val="28"/>
        </w:rPr>
      </w:pPr>
    </w:p>
    <w:p w14:paraId="178A3BDE">
      <w:pPr>
        <w:spacing w:line="400" w:lineRule="exact"/>
        <w:ind w:firstLine="560" w:firstLineChars="200"/>
        <w:jc w:val="left"/>
        <w:rPr>
          <w:rFonts w:hint="eastAsia" w:asciiTheme="minorEastAsia" w:hAnsiTheme="minorEastAsia" w:cstheme="majorEastAsia"/>
          <w:bCs/>
          <w:color w:val="000000"/>
          <w:sz w:val="28"/>
          <w:szCs w:val="28"/>
        </w:rPr>
      </w:pPr>
    </w:p>
    <w:p w14:paraId="282D8844">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rPr>
              <w:t>合同签订期：</w:t>
            </w:r>
            <w:r>
              <w:rPr>
                <w:rFonts w:hint="eastAsia" w:ascii="宋体" w:hAnsi="宋体"/>
                <w:b w:val="0"/>
                <w:bCs w:val="0"/>
                <w:szCs w:val="21"/>
              </w:rPr>
              <w:t>自采购结果公示结束之日起10个工作日内。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交货期：</w:t>
            </w:r>
            <w:r>
              <w:rPr>
                <w:rFonts w:hint="eastAsia" w:ascii="宋体" w:hAnsi="宋体"/>
                <w:b w:val="0"/>
                <w:bCs w:val="0"/>
                <w:szCs w:val="21"/>
              </w:rPr>
              <w:t>按照采购人需求分批次交货。</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交货地点：</w:t>
            </w:r>
            <w:r>
              <w:rPr>
                <w:rFonts w:hint="eastAsia" w:ascii="宋体" w:hAnsi="宋体"/>
                <w:b w:val="0"/>
                <w:bCs w:val="0"/>
                <w:szCs w:val="21"/>
              </w:rPr>
              <w:t>采购人指定地点。</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4AE70971">
            <w:pPr>
              <w:widowControl/>
              <w:shd w:val="clear" w:color="auto" w:fill="FFFFFF"/>
              <w:spacing w:line="360" w:lineRule="auto"/>
              <w:rPr>
                <w:rFonts w:ascii="仿宋" w:hAnsi="仿宋" w:eastAsia="仿宋"/>
                <w:bCs/>
                <w:color w:val="auto"/>
                <w:sz w:val="20"/>
                <w:szCs w:val="20"/>
              </w:rPr>
            </w:pPr>
            <w:r>
              <w:rPr>
                <w:rFonts w:hint="eastAsia" w:ascii="宋体" w:hAnsi="宋体"/>
                <w:b/>
                <w:bCs w:val="0"/>
                <w:szCs w:val="21"/>
              </w:rPr>
              <w:t>交货方式：</w:t>
            </w:r>
            <w:r>
              <w:rPr>
                <w:rFonts w:hint="eastAsia" w:ascii="宋体" w:hAnsi="宋体"/>
                <w:b w:val="0"/>
                <w:bCs/>
                <w:szCs w:val="21"/>
              </w:rPr>
              <w:t>现场交货。</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488B6E09">
            <w:pPr>
              <w:widowControl/>
              <w:shd w:val="clear" w:color="auto" w:fill="FFFFFF"/>
              <w:spacing w:line="360" w:lineRule="auto"/>
              <w:rPr>
                <w:rFonts w:hint="eastAsia" w:ascii="宋体" w:hAnsi="宋体"/>
                <w:b/>
                <w:bCs/>
                <w:szCs w:val="21"/>
              </w:rPr>
            </w:pPr>
            <w:r>
              <w:rPr>
                <w:rFonts w:hint="eastAsia" w:ascii="宋体" w:hAnsi="宋体"/>
                <w:b/>
                <w:bCs/>
                <w:szCs w:val="21"/>
              </w:rPr>
              <w:t xml:space="preserve">售后服务要求： </w:t>
            </w:r>
          </w:p>
          <w:p w14:paraId="14A3E9B1">
            <w:pPr>
              <w:widowControl/>
              <w:shd w:val="clear" w:color="auto" w:fill="FFFFFF"/>
              <w:spacing w:line="360" w:lineRule="auto"/>
              <w:rPr>
                <w:rFonts w:hint="eastAsia" w:ascii="宋体" w:hAnsi="宋体"/>
                <w:b w:val="0"/>
                <w:bCs w:val="0"/>
                <w:szCs w:val="21"/>
              </w:rPr>
            </w:pPr>
            <w:r>
              <w:rPr>
                <w:rFonts w:hint="eastAsia" w:ascii="宋体" w:hAnsi="宋体"/>
                <w:b w:val="0"/>
                <w:bCs w:val="0"/>
                <w:szCs w:val="21"/>
              </w:rPr>
              <w:t>1、成交供应商及时提供售后服务和采购人提出的临时服务。对采购人的服务通知，成交供应商在接到后1小时内响应，4小时内处理完毕。</w:t>
            </w:r>
          </w:p>
          <w:p w14:paraId="4B814EAE">
            <w:pPr>
              <w:widowControl/>
              <w:shd w:val="clear" w:color="auto" w:fill="FFFFFF"/>
              <w:spacing w:line="360" w:lineRule="auto"/>
              <w:rPr>
                <w:rFonts w:hint="eastAsia" w:ascii="宋体" w:hAnsi="宋体"/>
                <w:b w:val="0"/>
                <w:bCs w:val="0"/>
                <w:szCs w:val="21"/>
              </w:rPr>
            </w:pPr>
            <w:r>
              <w:rPr>
                <w:rFonts w:hint="eastAsia" w:ascii="宋体" w:hAnsi="宋体"/>
                <w:b w:val="0"/>
                <w:bCs w:val="0"/>
                <w:szCs w:val="21"/>
              </w:rPr>
              <w:t>2、因成交供应商提供的食品安全质量问题造成采购人的损失将全部由成交供应商承担。</w:t>
            </w:r>
          </w:p>
          <w:p w14:paraId="6DD2FA8F">
            <w:pPr>
              <w:widowControl/>
              <w:shd w:val="clear" w:color="auto" w:fill="FFFFFF"/>
              <w:spacing w:line="360" w:lineRule="auto"/>
              <w:rPr>
                <w:rFonts w:ascii="仿宋" w:hAnsi="仿宋" w:eastAsia="仿宋"/>
                <w:bCs/>
                <w:color w:val="auto"/>
                <w:sz w:val="20"/>
                <w:szCs w:val="20"/>
              </w:rPr>
            </w:pPr>
            <w:r>
              <w:rPr>
                <w:rFonts w:hint="eastAsia" w:ascii="宋体" w:hAnsi="宋体"/>
                <w:b w:val="0"/>
                <w:bCs w:val="0"/>
                <w:szCs w:val="21"/>
              </w:rPr>
              <w:t>3、成交供应商确保兑换卡券完整无损，非采购人的人为原因而出现券无法兑换问题，由成交供应商负责包换、包退，并承担因此而产生的一切费用。</w:t>
            </w:r>
            <w:r>
              <w:rPr>
                <w:rFonts w:hint="eastAsia" w:ascii="宋体" w:hAnsi="宋体"/>
                <w:b/>
                <w:bCs/>
                <w:szCs w:val="21"/>
              </w:rPr>
              <w:t xml:space="preserve"> </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23D6962F">
            <w:pPr>
              <w:pStyle w:val="39"/>
              <w:kinsoku w:val="0"/>
              <w:overflowPunct w:val="0"/>
              <w:spacing w:before="29"/>
              <w:rPr>
                <w:rFonts w:hint="eastAsia" w:ascii="宋体" w:hAnsi="宋体"/>
                <w:b/>
                <w:bCs/>
                <w:szCs w:val="21"/>
              </w:rPr>
            </w:pPr>
            <w:r>
              <w:rPr>
                <w:rFonts w:hint="eastAsia" w:ascii="宋体" w:hAnsi="宋体"/>
                <w:b/>
                <w:bCs/>
                <w:szCs w:val="21"/>
              </w:rPr>
              <w:t>其他要求：</w:t>
            </w:r>
          </w:p>
          <w:p w14:paraId="1927CBF1">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1、报价必须含以下部分，包括：</w:t>
            </w:r>
          </w:p>
          <w:p w14:paraId="6B1D898D">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（1）兑换卡券的面值；</w:t>
            </w:r>
          </w:p>
          <w:p w14:paraId="5DCE2338">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（2）必要的保险费用和各项税金；</w:t>
            </w:r>
          </w:p>
          <w:p w14:paraId="67EBEE9E">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（3）项目实施所需物料、设计、制作、配送、材料等各项所有费用。</w:t>
            </w:r>
          </w:p>
          <w:p w14:paraId="785F0838">
            <w:pPr>
              <w:pStyle w:val="39"/>
              <w:kinsoku w:val="0"/>
              <w:overflowPunct w:val="0"/>
              <w:spacing w:before="2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2、付款方式：合同签订后成交供应商按采购人需求完成第一批兑换卡券交货后采购人一次性支付合同款（付款前成交供应商须提供等额合规的增值税普通发票）。</w:t>
            </w:r>
          </w:p>
          <w:p w14:paraId="7EF9AF86">
            <w:pPr>
              <w:pStyle w:val="39"/>
              <w:kinsoku w:val="0"/>
              <w:overflowPunct w:val="0"/>
              <w:spacing w:before="29"/>
              <w:rPr>
                <w:rFonts w:ascii="仿宋" w:hAnsi="仿宋" w:eastAsia="仿宋"/>
                <w:color w:val="auto"/>
                <w:szCs w:val="20"/>
              </w:rPr>
            </w:pPr>
            <w:r>
              <w:rPr>
                <w:rFonts w:hint="eastAsia" w:asciiTheme="minorEastAsia" w:hAnsiTheme="minorEastAsia" w:eastAsiaTheme="minorEastAsia" w:cstheme="minorEastAsia"/>
                <w:b w:val="0"/>
                <w:bCs w:val="0"/>
                <w:sz w:val="21"/>
                <w:szCs w:val="21"/>
              </w:rPr>
              <w:t>3、成交供应商履行合同过程中出现任何遗漏性内容需产生额外费用，均由成交供应商自行承担，采购人不再支付任何其他费用。</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1"/>
        <w:rPr>
          <w:rFonts w:hint="eastAsia" w:asciiTheme="minorEastAsia" w:hAnsiTheme="minorEastAsia" w:cstheme="majorEastAsia"/>
          <w:bCs/>
          <w:color w:val="000000"/>
          <w:sz w:val="28"/>
          <w:szCs w:val="28"/>
        </w:rPr>
      </w:pPr>
    </w:p>
    <w:p w14:paraId="103F6F37">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2C592AD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A41EB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3DDEAB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6A93C5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739D0FA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B7D0D1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南宁中心血站2025年献血者专属米粉兑换卡券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w:t>
      </w:r>
      <w:r>
        <w:rPr>
          <w:rFonts w:hint="eastAsia" w:hAnsi="宋体"/>
          <w:b/>
          <w:bCs/>
          <w:color w:val="auto"/>
          <w:sz w:val="24"/>
          <w:szCs w:val="24"/>
          <w:lang w:val="en-US" w:eastAsia="zh-CN"/>
        </w:rPr>
        <w:t>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1984"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27BEB0-29D2-4E0D-B294-42C1462EB88D}"/>
  </w:font>
  <w:font w:name="Courier New">
    <w:panose1 w:val="02070309020205020404"/>
    <w:charset w:val="01"/>
    <w:family w:val="modern"/>
    <w:pitch w:val="default"/>
    <w:sig w:usb0="E0002EFF" w:usb1="C0007843" w:usb2="00000009" w:usb3="00000000" w:csb0="400001FF" w:csb1="FFFF0000"/>
    <w:embedRegular r:id="rId2" w:fontKey="{525559EB-1274-41C3-A6F3-0DFEB344DD4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716524A-3C6E-49AA-983B-ECA0F7080762}"/>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29EDB100-A534-43AF-9009-CC49A2A698D4}"/>
  </w:font>
  <w:font w:name="仿宋_GB2312">
    <w:panose1 w:val="02010609030101010101"/>
    <w:charset w:val="86"/>
    <w:family w:val="modern"/>
    <w:pitch w:val="default"/>
    <w:sig w:usb0="00000001" w:usb1="080E0000" w:usb2="00000000" w:usb3="00000000" w:csb0="00040000" w:csb1="00000000"/>
    <w:embedRegular r:id="rId5" w:fontKey="{0EA0657E-1C8A-4B71-BDA8-2341E6825259}"/>
  </w:font>
  <w:font w:name="方正楷体_GB2312">
    <w:panose1 w:val="02000000000000000000"/>
    <w:charset w:val="86"/>
    <w:family w:val="auto"/>
    <w:pitch w:val="default"/>
    <w:sig w:usb0="A00002BF" w:usb1="184F6CFA" w:usb2="00000012" w:usb3="00000000" w:csb0="00040001" w:csb1="00000000"/>
    <w:embedRegular r:id="rId6" w:fontKey="{005AAFBE-1004-42D4-BD12-5F9FF559AD71}"/>
  </w:font>
  <w:font w:name="Wingdings 2">
    <w:panose1 w:val="05020102010507070707"/>
    <w:charset w:val="02"/>
    <w:family w:val="roman"/>
    <w:pitch w:val="default"/>
    <w:sig w:usb0="00000000" w:usb1="00000000" w:usb2="00000000" w:usb3="00000000" w:csb0="80000000" w:csb1="00000000"/>
    <w:embedRegular r:id="rId7" w:fontKey="{610DD9B0-9F34-4166-8E55-C93BC3D77922}"/>
  </w:font>
  <w:font w:name="仿宋">
    <w:panose1 w:val="02010609060101010101"/>
    <w:charset w:val="86"/>
    <w:family w:val="modern"/>
    <w:pitch w:val="default"/>
    <w:sig w:usb0="800002BF" w:usb1="38CF7CFA" w:usb2="00000016" w:usb3="00000000" w:csb0="00040001" w:csb1="00000000"/>
    <w:embedRegular r:id="rId8" w:fontKey="{FF354F0F-B7FD-4910-83E5-16CE616D5437}"/>
  </w:font>
  <w:font w:name="方正公文小标宋">
    <w:panose1 w:val="02000500000000000000"/>
    <w:charset w:val="86"/>
    <w:family w:val="auto"/>
    <w:pitch w:val="default"/>
    <w:sig w:usb0="A00002BF" w:usb1="38CF7CFA" w:usb2="00000016" w:usb3="00000000" w:csb0="00040001" w:csb1="00000000"/>
    <w:embedRegular r:id="rId9" w:fontKey="{87FDE676-2569-4F71-9A60-2B48E76378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29CDF3"/>
    <w:multiLevelType w:val="singleLevel"/>
    <w:tmpl w:val="8629CDF3"/>
    <w:lvl w:ilvl="0" w:tentative="0">
      <w:start w:val="4"/>
      <w:numFmt w:val="chineseCounting"/>
      <w:suff w:val="nothing"/>
      <w:lvlText w:val="（%1）"/>
      <w:lvlJc w:val="left"/>
      <w:rPr>
        <w:rFonts w:hint="eastAsia"/>
      </w:r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403A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91633"/>
    <w:rsid w:val="02616DA5"/>
    <w:rsid w:val="02626BB5"/>
    <w:rsid w:val="02656C3C"/>
    <w:rsid w:val="02775E4F"/>
    <w:rsid w:val="0281282A"/>
    <w:rsid w:val="02873BB9"/>
    <w:rsid w:val="02982881"/>
    <w:rsid w:val="02A93C57"/>
    <w:rsid w:val="02B92BC7"/>
    <w:rsid w:val="02BA3F8E"/>
    <w:rsid w:val="02C77B6E"/>
    <w:rsid w:val="02C92E4A"/>
    <w:rsid w:val="02CF2588"/>
    <w:rsid w:val="02D23086"/>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3C3704"/>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224AA"/>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E4FCF"/>
    <w:rsid w:val="07B41888"/>
    <w:rsid w:val="07BB0366"/>
    <w:rsid w:val="07BB64B4"/>
    <w:rsid w:val="07BF737D"/>
    <w:rsid w:val="07C44037"/>
    <w:rsid w:val="07C60589"/>
    <w:rsid w:val="07CB1392"/>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A90D2D"/>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560C7"/>
    <w:rsid w:val="094C58F8"/>
    <w:rsid w:val="09615C7A"/>
    <w:rsid w:val="09732DA3"/>
    <w:rsid w:val="097529BD"/>
    <w:rsid w:val="098868A0"/>
    <w:rsid w:val="09897569"/>
    <w:rsid w:val="0990328A"/>
    <w:rsid w:val="09943DCE"/>
    <w:rsid w:val="099E7A14"/>
    <w:rsid w:val="099F66F3"/>
    <w:rsid w:val="09A63865"/>
    <w:rsid w:val="09A66839"/>
    <w:rsid w:val="09A67019"/>
    <w:rsid w:val="09B60DA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6E7453"/>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5C2637"/>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4566D"/>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366BF4"/>
    <w:rsid w:val="0F407486"/>
    <w:rsid w:val="0F4577BE"/>
    <w:rsid w:val="0F4B602A"/>
    <w:rsid w:val="0F4B669A"/>
    <w:rsid w:val="0F625791"/>
    <w:rsid w:val="0F830284"/>
    <w:rsid w:val="0F8752BC"/>
    <w:rsid w:val="0F955B67"/>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82A5C"/>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272F1E"/>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85B4F"/>
    <w:rsid w:val="11FD3712"/>
    <w:rsid w:val="11FD3BF1"/>
    <w:rsid w:val="12047E58"/>
    <w:rsid w:val="1206047A"/>
    <w:rsid w:val="120E63DC"/>
    <w:rsid w:val="12233D31"/>
    <w:rsid w:val="122B3F0E"/>
    <w:rsid w:val="122C034F"/>
    <w:rsid w:val="123477B2"/>
    <w:rsid w:val="12442667"/>
    <w:rsid w:val="1252597B"/>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77145"/>
    <w:rsid w:val="12BF3117"/>
    <w:rsid w:val="12C25FB3"/>
    <w:rsid w:val="12CE5E3D"/>
    <w:rsid w:val="12D270AB"/>
    <w:rsid w:val="12E2233F"/>
    <w:rsid w:val="12E24D72"/>
    <w:rsid w:val="12EF37E0"/>
    <w:rsid w:val="12F27822"/>
    <w:rsid w:val="131B5197"/>
    <w:rsid w:val="132C0B0E"/>
    <w:rsid w:val="133143D3"/>
    <w:rsid w:val="133424E4"/>
    <w:rsid w:val="13441F06"/>
    <w:rsid w:val="134B4B63"/>
    <w:rsid w:val="1356229B"/>
    <w:rsid w:val="1374444E"/>
    <w:rsid w:val="138A315B"/>
    <w:rsid w:val="139469DE"/>
    <w:rsid w:val="139F0B29"/>
    <w:rsid w:val="13A15663"/>
    <w:rsid w:val="13A740BB"/>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367C4C"/>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6FE39CC"/>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DF34B7"/>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52EBF"/>
    <w:rsid w:val="1A987C7C"/>
    <w:rsid w:val="1A994808"/>
    <w:rsid w:val="1A9B2F67"/>
    <w:rsid w:val="1A9B5CB9"/>
    <w:rsid w:val="1AA3216C"/>
    <w:rsid w:val="1AA63C2E"/>
    <w:rsid w:val="1AB035C1"/>
    <w:rsid w:val="1AB1514F"/>
    <w:rsid w:val="1AB76CED"/>
    <w:rsid w:val="1AC01765"/>
    <w:rsid w:val="1AC07E65"/>
    <w:rsid w:val="1AC17BF6"/>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BC5A4A"/>
    <w:rsid w:val="1BD525AB"/>
    <w:rsid w:val="1BD71CB8"/>
    <w:rsid w:val="1BE76855"/>
    <w:rsid w:val="1BEA07FA"/>
    <w:rsid w:val="1BF43C15"/>
    <w:rsid w:val="1BF76067"/>
    <w:rsid w:val="1BF855EB"/>
    <w:rsid w:val="1BF86355"/>
    <w:rsid w:val="1BFC1676"/>
    <w:rsid w:val="1C0F0A4F"/>
    <w:rsid w:val="1C1A3BB0"/>
    <w:rsid w:val="1C1D5151"/>
    <w:rsid w:val="1C2013EF"/>
    <w:rsid w:val="1C214452"/>
    <w:rsid w:val="1C2465A3"/>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B82E95"/>
    <w:rsid w:val="1CC81239"/>
    <w:rsid w:val="1CC92889"/>
    <w:rsid w:val="1CCB2BC8"/>
    <w:rsid w:val="1CD20B0C"/>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B7292E"/>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A3BDA"/>
    <w:rsid w:val="1E6D6A4D"/>
    <w:rsid w:val="1E707ECB"/>
    <w:rsid w:val="1E77314C"/>
    <w:rsid w:val="1E852579"/>
    <w:rsid w:val="1E883FE4"/>
    <w:rsid w:val="1E8B277B"/>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BE07C2"/>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0E68EC"/>
    <w:rsid w:val="21135751"/>
    <w:rsid w:val="211A7356"/>
    <w:rsid w:val="21260BAF"/>
    <w:rsid w:val="21273E26"/>
    <w:rsid w:val="21291140"/>
    <w:rsid w:val="21295E53"/>
    <w:rsid w:val="2136634F"/>
    <w:rsid w:val="21366A7E"/>
    <w:rsid w:val="213C19BC"/>
    <w:rsid w:val="214969A0"/>
    <w:rsid w:val="214A2820"/>
    <w:rsid w:val="21613AFB"/>
    <w:rsid w:val="21654AF1"/>
    <w:rsid w:val="216703B6"/>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EF3188"/>
    <w:rsid w:val="22F6604F"/>
    <w:rsid w:val="22F77AA0"/>
    <w:rsid w:val="22F8237B"/>
    <w:rsid w:val="22F8597C"/>
    <w:rsid w:val="23046E34"/>
    <w:rsid w:val="230D3E98"/>
    <w:rsid w:val="23170A0E"/>
    <w:rsid w:val="23192918"/>
    <w:rsid w:val="23326EEF"/>
    <w:rsid w:val="2336639B"/>
    <w:rsid w:val="233E3F55"/>
    <w:rsid w:val="23417A62"/>
    <w:rsid w:val="234644E0"/>
    <w:rsid w:val="234A2D6A"/>
    <w:rsid w:val="23683AF9"/>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31325"/>
    <w:rsid w:val="2426102C"/>
    <w:rsid w:val="242F3648"/>
    <w:rsid w:val="243F5C4A"/>
    <w:rsid w:val="244537A0"/>
    <w:rsid w:val="24503CA4"/>
    <w:rsid w:val="245666A2"/>
    <w:rsid w:val="245D6DBA"/>
    <w:rsid w:val="2460284B"/>
    <w:rsid w:val="24607F41"/>
    <w:rsid w:val="246E0C01"/>
    <w:rsid w:val="24703E58"/>
    <w:rsid w:val="2476025D"/>
    <w:rsid w:val="24852B55"/>
    <w:rsid w:val="248A15BB"/>
    <w:rsid w:val="24904F1B"/>
    <w:rsid w:val="24973D0A"/>
    <w:rsid w:val="249A7154"/>
    <w:rsid w:val="24A0493A"/>
    <w:rsid w:val="24AF1021"/>
    <w:rsid w:val="24B14D99"/>
    <w:rsid w:val="24D60477"/>
    <w:rsid w:val="24DE69B8"/>
    <w:rsid w:val="24DF6EA4"/>
    <w:rsid w:val="24E108A6"/>
    <w:rsid w:val="24E567F1"/>
    <w:rsid w:val="24E964E8"/>
    <w:rsid w:val="24EB69BB"/>
    <w:rsid w:val="24FA696E"/>
    <w:rsid w:val="24FB3714"/>
    <w:rsid w:val="250B2646"/>
    <w:rsid w:val="250E600A"/>
    <w:rsid w:val="251E68D2"/>
    <w:rsid w:val="25200C2B"/>
    <w:rsid w:val="252C178B"/>
    <w:rsid w:val="252D4DA1"/>
    <w:rsid w:val="252F32BF"/>
    <w:rsid w:val="253563E1"/>
    <w:rsid w:val="253C04AE"/>
    <w:rsid w:val="25403C5A"/>
    <w:rsid w:val="25405AFA"/>
    <w:rsid w:val="25481AF8"/>
    <w:rsid w:val="25611556"/>
    <w:rsid w:val="256231E9"/>
    <w:rsid w:val="256655D6"/>
    <w:rsid w:val="256A4F48"/>
    <w:rsid w:val="256C40AE"/>
    <w:rsid w:val="256D6525"/>
    <w:rsid w:val="256F434C"/>
    <w:rsid w:val="25712B55"/>
    <w:rsid w:val="2576546E"/>
    <w:rsid w:val="25811D5E"/>
    <w:rsid w:val="25914766"/>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1E5FF2"/>
    <w:rsid w:val="272A5DD3"/>
    <w:rsid w:val="2731534F"/>
    <w:rsid w:val="27420853"/>
    <w:rsid w:val="2742746B"/>
    <w:rsid w:val="274A2932"/>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EA51A6"/>
    <w:rsid w:val="27F96370"/>
    <w:rsid w:val="28036D25"/>
    <w:rsid w:val="280F512D"/>
    <w:rsid w:val="28137003"/>
    <w:rsid w:val="28215D92"/>
    <w:rsid w:val="28220B11"/>
    <w:rsid w:val="28353194"/>
    <w:rsid w:val="283677DD"/>
    <w:rsid w:val="283D42FF"/>
    <w:rsid w:val="283E0982"/>
    <w:rsid w:val="283F31CF"/>
    <w:rsid w:val="28487FF1"/>
    <w:rsid w:val="285964B4"/>
    <w:rsid w:val="285F6F50"/>
    <w:rsid w:val="28650F90"/>
    <w:rsid w:val="28673EB0"/>
    <w:rsid w:val="287C5E6E"/>
    <w:rsid w:val="287D1A92"/>
    <w:rsid w:val="28812B87"/>
    <w:rsid w:val="288602EB"/>
    <w:rsid w:val="28887BBF"/>
    <w:rsid w:val="288D37FB"/>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22626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DD7858"/>
    <w:rsid w:val="29E36BC9"/>
    <w:rsid w:val="29E96536"/>
    <w:rsid w:val="29EC597A"/>
    <w:rsid w:val="29EE2523"/>
    <w:rsid w:val="2A037531"/>
    <w:rsid w:val="2A0A7C24"/>
    <w:rsid w:val="2A253278"/>
    <w:rsid w:val="2A2878AC"/>
    <w:rsid w:val="2A491FDC"/>
    <w:rsid w:val="2A496A8D"/>
    <w:rsid w:val="2A4E7C7A"/>
    <w:rsid w:val="2A574690"/>
    <w:rsid w:val="2A5840FF"/>
    <w:rsid w:val="2A5870B9"/>
    <w:rsid w:val="2A5B12EF"/>
    <w:rsid w:val="2A61691A"/>
    <w:rsid w:val="2A782AC0"/>
    <w:rsid w:val="2A872A2E"/>
    <w:rsid w:val="2A9036A3"/>
    <w:rsid w:val="2A910387"/>
    <w:rsid w:val="2A914AAB"/>
    <w:rsid w:val="2AA94B03"/>
    <w:rsid w:val="2AAA73F2"/>
    <w:rsid w:val="2AB33520"/>
    <w:rsid w:val="2AB423A1"/>
    <w:rsid w:val="2AB949A8"/>
    <w:rsid w:val="2ABA748D"/>
    <w:rsid w:val="2ABF3AB5"/>
    <w:rsid w:val="2ABF7AE4"/>
    <w:rsid w:val="2ACE32B1"/>
    <w:rsid w:val="2ACE459C"/>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BD452C"/>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96141C"/>
    <w:rsid w:val="31A25149"/>
    <w:rsid w:val="31AF2660"/>
    <w:rsid w:val="31AF3BC6"/>
    <w:rsid w:val="31B209D4"/>
    <w:rsid w:val="31B639EF"/>
    <w:rsid w:val="31B96A95"/>
    <w:rsid w:val="31CC7F43"/>
    <w:rsid w:val="31D15E9B"/>
    <w:rsid w:val="31D65E3F"/>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6C6C36"/>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22A86"/>
    <w:rsid w:val="32D47229"/>
    <w:rsid w:val="32D87995"/>
    <w:rsid w:val="32F01183"/>
    <w:rsid w:val="32FC70BF"/>
    <w:rsid w:val="32FE5C55"/>
    <w:rsid w:val="32FF04A8"/>
    <w:rsid w:val="330A391A"/>
    <w:rsid w:val="3325700A"/>
    <w:rsid w:val="33267D62"/>
    <w:rsid w:val="332D663B"/>
    <w:rsid w:val="33346C42"/>
    <w:rsid w:val="333D6B66"/>
    <w:rsid w:val="333D71B2"/>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1AE6"/>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C64FAC"/>
    <w:rsid w:val="37E1109A"/>
    <w:rsid w:val="37E76935"/>
    <w:rsid w:val="37F63E14"/>
    <w:rsid w:val="37FC61D6"/>
    <w:rsid w:val="38074AF9"/>
    <w:rsid w:val="380F3A29"/>
    <w:rsid w:val="381B5216"/>
    <w:rsid w:val="383078CE"/>
    <w:rsid w:val="383B5256"/>
    <w:rsid w:val="3842422E"/>
    <w:rsid w:val="385F7ACA"/>
    <w:rsid w:val="38711EC0"/>
    <w:rsid w:val="38762086"/>
    <w:rsid w:val="387737AC"/>
    <w:rsid w:val="387B6676"/>
    <w:rsid w:val="388E61CF"/>
    <w:rsid w:val="38A17B54"/>
    <w:rsid w:val="38B4205B"/>
    <w:rsid w:val="38C42031"/>
    <w:rsid w:val="38C95E0C"/>
    <w:rsid w:val="38CE358D"/>
    <w:rsid w:val="38CF183A"/>
    <w:rsid w:val="38D26C34"/>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268AC"/>
    <w:rsid w:val="39844B9F"/>
    <w:rsid w:val="398C3158"/>
    <w:rsid w:val="398C3287"/>
    <w:rsid w:val="398D5F0D"/>
    <w:rsid w:val="39AC106B"/>
    <w:rsid w:val="39B11459"/>
    <w:rsid w:val="39C66F3F"/>
    <w:rsid w:val="39C85C9A"/>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622B7"/>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711112"/>
    <w:rsid w:val="3D73347A"/>
    <w:rsid w:val="3D836DBF"/>
    <w:rsid w:val="3D852DCD"/>
    <w:rsid w:val="3D8B46A9"/>
    <w:rsid w:val="3D8D4043"/>
    <w:rsid w:val="3DA07968"/>
    <w:rsid w:val="3DA62541"/>
    <w:rsid w:val="3DB97072"/>
    <w:rsid w:val="3DD07A95"/>
    <w:rsid w:val="3DD55751"/>
    <w:rsid w:val="3DE17730"/>
    <w:rsid w:val="3DE46F51"/>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6482F"/>
    <w:rsid w:val="3E7A3404"/>
    <w:rsid w:val="3E845034"/>
    <w:rsid w:val="3E88501E"/>
    <w:rsid w:val="3E8B7FB1"/>
    <w:rsid w:val="3E9A5298"/>
    <w:rsid w:val="3E9E25C2"/>
    <w:rsid w:val="3EB015C9"/>
    <w:rsid w:val="3EB177DA"/>
    <w:rsid w:val="3EB5188C"/>
    <w:rsid w:val="3EBE64F1"/>
    <w:rsid w:val="3EC65347"/>
    <w:rsid w:val="3EC7316B"/>
    <w:rsid w:val="3EE302EC"/>
    <w:rsid w:val="3EFB4A21"/>
    <w:rsid w:val="3F0D4805"/>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057500"/>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4166"/>
    <w:rsid w:val="42114C71"/>
    <w:rsid w:val="421D0552"/>
    <w:rsid w:val="423055E2"/>
    <w:rsid w:val="42311689"/>
    <w:rsid w:val="42483274"/>
    <w:rsid w:val="42495617"/>
    <w:rsid w:val="424B3CDF"/>
    <w:rsid w:val="426166B5"/>
    <w:rsid w:val="426946F6"/>
    <w:rsid w:val="427E21E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8340D"/>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17A7B"/>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B5BC2"/>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606A0"/>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50B99"/>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446A44"/>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DF3B5F"/>
    <w:rsid w:val="4AEB5F99"/>
    <w:rsid w:val="4AF037DD"/>
    <w:rsid w:val="4AFE1530"/>
    <w:rsid w:val="4B0370EF"/>
    <w:rsid w:val="4B124899"/>
    <w:rsid w:val="4B236C35"/>
    <w:rsid w:val="4B3334FB"/>
    <w:rsid w:val="4B447E66"/>
    <w:rsid w:val="4B460B4B"/>
    <w:rsid w:val="4B474C3C"/>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CC1F22"/>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3D38"/>
    <w:rsid w:val="4D6F5E6E"/>
    <w:rsid w:val="4D7803D6"/>
    <w:rsid w:val="4D7A4668"/>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059E7"/>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661CD0"/>
    <w:rsid w:val="4F782915"/>
    <w:rsid w:val="4F8220D8"/>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B17DEA"/>
    <w:rsid w:val="50C3182D"/>
    <w:rsid w:val="50C440F3"/>
    <w:rsid w:val="50D3535B"/>
    <w:rsid w:val="50D56527"/>
    <w:rsid w:val="50D651A0"/>
    <w:rsid w:val="50E64AE4"/>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AE345D"/>
    <w:rsid w:val="51B42BB4"/>
    <w:rsid w:val="51B751A7"/>
    <w:rsid w:val="51C9605C"/>
    <w:rsid w:val="51D200E5"/>
    <w:rsid w:val="51D44B2A"/>
    <w:rsid w:val="51D60801"/>
    <w:rsid w:val="51F12014"/>
    <w:rsid w:val="51FC7D50"/>
    <w:rsid w:val="51FD72E8"/>
    <w:rsid w:val="51FD7660"/>
    <w:rsid w:val="52001772"/>
    <w:rsid w:val="52102850"/>
    <w:rsid w:val="521A01FF"/>
    <w:rsid w:val="521D530A"/>
    <w:rsid w:val="52203D87"/>
    <w:rsid w:val="52260585"/>
    <w:rsid w:val="52277156"/>
    <w:rsid w:val="522D51B0"/>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D7BDA"/>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06161"/>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35CE6"/>
    <w:rsid w:val="568A284C"/>
    <w:rsid w:val="569922B7"/>
    <w:rsid w:val="56AF17C0"/>
    <w:rsid w:val="56BF53F1"/>
    <w:rsid w:val="56C02D18"/>
    <w:rsid w:val="56D402F0"/>
    <w:rsid w:val="56D86FE7"/>
    <w:rsid w:val="56E223B6"/>
    <w:rsid w:val="56EF487A"/>
    <w:rsid w:val="56F03A2E"/>
    <w:rsid w:val="56FE632D"/>
    <w:rsid w:val="57087F99"/>
    <w:rsid w:val="570F1FDC"/>
    <w:rsid w:val="571810BD"/>
    <w:rsid w:val="571A76AB"/>
    <w:rsid w:val="57236B81"/>
    <w:rsid w:val="572405A2"/>
    <w:rsid w:val="574249AC"/>
    <w:rsid w:val="574C494B"/>
    <w:rsid w:val="57633422"/>
    <w:rsid w:val="57690A75"/>
    <w:rsid w:val="576D73FE"/>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9013ED"/>
    <w:rsid w:val="58964BEC"/>
    <w:rsid w:val="589B7538"/>
    <w:rsid w:val="58A63D63"/>
    <w:rsid w:val="58A80819"/>
    <w:rsid w:val="58AF10EC"/>
    <w:rsid w:val="58B065DD"/>
    <w:rsid w:val="58B24A28"/>
    <w:rsid w:val="58CC57D8"/>
    <w:rsid w:val="58D664DB"/>
    <w:rsid w:val="58E53300"/>
    <w:rsid w:val="58EE5979"/>
    <w:rsid w:val="59035618"/>
    <w:rsid w:val="590B141E"/>
    <w:rsid w:val="591C7677"/>
    <w:rsid w:val="591E5852"/>
    <w:rsid w:val="592A2410"/>
    <w:rsid w:val="59332852"/>
    <w:rsid w:val="593E7462"/>
    <w:rsid w:val="5950182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45548A"/>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9F6CAA"/>
    <w:rsid w:val="5CA16EC6"/>
    <w:rsid w:val="5CA22893"/>
    <w:rsid w:val="5CAD29EB"/>
    <w:rsid w:val="5CBD3A51"/>
    <w:rsid w:val="5CBF63A3"/>
    <w:rsid w:val="5CD54DC2"/>
    <w:rsid w:val="5CE45005"/>
    <w:rsid w:val="5CE611A6"/>
    <w:rsid w:val="5CEA2A06"/>
    <w:rsid w:val="5CED02A0"/>
    <w:rsid w:val="5CF10E3E"/>
    <w:rsid w:val="5D01108F"/>
    <w:rsid w:val="5D10241C"/>
    <w:rsid w:val="5D141502"/>
    <w:rsid w:val="5D1429EB"/>
    <w:rsid w:val="5D1A6F72"/>
    <w:rsid w:val="5D1F6510"/>
    <w:rsid w:val="5D231C7E"/>
    <w:rsid w:val="5D243653"/>
    <w:rsid w:val="5D256235"/>
    <w:rsid w:val="5D2605B8"/>
    <w:rsid w:val="5D326C82"/>
    <w:rsid w:val="5D3B7615"/>
    <w:rsid w:val="5D521F6E"/>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C3370"/>
    <w:rsid w:val="5F4C4D8C"/>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2240B"/>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7D7D64"/>
    <w:rsid w:val="6486605B"/>
    <w:rsid w:val="649A2A6D"/>
    <w:rsid w:val="649B4A42"/>
    <w:rsid w:val="649F08AC"/>
    <w:rsid w:val="64A20054"/>
    <w:rsid w:val="64A96E67"/>
    <w:rsid w:val="64AF2A42"/>
    <w:rsid w:val="64C972F9"/>
    <w:rsid w:val="64D04BC0"/>
    <w:rsid w:val="64D67929"/>
    <w:rsid w:val="64DB2C1D"/>
    <w:rsid w:val="64DF7FC5"/>
    <w:rsid w:val="64FE7CAA"/>
    <w:rsid w:val="6504410B"/>
    <w:rsid w:val="65180FCE"/>
    <w:rsid w:val="651A7ED7"/>
    <w:rsid w:val="653103BC"/>
    <w:rsid w:val="6533403C"/>
    <w:rsid w:val="65343F18"/>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3094C"/>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058B5"/>
    <w:rsid w:val="66942BBE"/>
    <w:rsid w:val="66974E96"/>
    <w:rsid w:val="66A60EA3"/>
    <w:rsid w:val="66AA3D25"/>
    <w:rsid w:val="66C028E0"/>
    <w:rsid w:val="66C34BF0"/>
    <w:rsid w:val="66CB4665"/>
    <w:rsid w:val="66CF4630"/>
    <w:rsid w:val="66D34DA2"/>
    <w:rsid w:val="66DE4873"/>
    <w:rsid w:val="66F95D74"/>
    <w:rsid w:val="66FB3677"/>
    <w:rsid w:val="67014231"/>
    <w:rsid w:val="670313DE"/>
    <w:rsid w:val="670537C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CC67ED"/>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21767"/>
    <w:rsid w:val="68E4139B"/>
    <w:rsid w:val="68EA574A"/>
    <w:rsid w:val="69016D77"/>
    <w:rsid w:val="690610F0"/>
    <w:rsid w:val="69100C7C"/>
    <w:rsid w:val="692844CB"/>
    <w:rsid w:val="692A2401"/>
    <w:rsid w:val="692D1AE1"/>
    <w:rsid w:val="69394ABB"/>
    <w:rsid w:val="693B5712"/>
    <w:rsid w:val="694463D2"/>
    <w:rsid w:val="694F0BCA"/>
    <w:rsid w:val="69543FB8"/>
    <w:rsid w:val="695D372E"/>
    <w:rsid w:val="69754B58"/>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4B7BFC"/>
    <w:rsid w:val="6B6B4434"/>
    <w:rsid w:val="6B8C71E8"/>
    <w:rsid w:val="6B910106"/>
    <w:rsid w:val="6B985938"/>
    <w:rsid w:val="6B985E56"/>
    <w:rsid w:val="6BAE1644"/>
    <w:rsid w:val="6BC13FB3"/>
    <w:rsid w:val="6BC24763"/>
    <w:rsid w:val="6BC26511"/>
    <w:rsid w:val="6BCC3EEB"/>
    <w:rsid w:val="6BCD0478"/>
    <w:rsid w:val="6BCF68DC"/>
    <w:rsid w:val="6BCF766D"/>
    <w:rsid w:val="6BE558C2"/>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91257"/>
    <w:rsid w:val="6C5A3462"/>
    <w:rsid w:val="6C5B074C"/>
    <w:rsid w:val="6C6C540D"/>
    <w:rsid w:val="6C79103A"/>
    <w:rsid w:val="6C7F5126"/>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9B526C"/>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2F4646"/>
    <w:rsid w:val="6F306C5E"/>
    <w:rsid w:val="6F3239AE"/>
    <w:rsid w:val="6F34719A"/>
    <w:rsid w:val="6F3C65DA"/>
    <w:rsid w:val="6F446832"/>
    <w:rsid w:val="6F465E7B"/>
    <w:rsid w:val="6F4C2B68"/>
    <w:rsid w:val="6F5B27FF"/>
    <w:rsid w:val="6F637FD7"/>
    <w:rsid w:val="6FA816CB"/>
    <w:rsid w:val="6FA84010"/>
    <w:rsid w:val="6FAA5C3A"/>
    <w:rsid w:val="6FBA6D27"/>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AE3508"/>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55761"/>
    <w:rsid w:val="741D011D"/>
    <w:rsid w:val="741F42CA"/>
    <w:rsid w:val="742261C6"/>
    <w:rsid w:val="74276925"/>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157C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3C186D"/>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0290"/>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51A06"/>
    <w:rsid w:val="787B4FFC"/>
    <w:rsid w:val="78817610"/>
    <w:rsid w:val="78852E36"/>
    <w:rsid w:val="78863D61"/>
    <w:rsid w:val="78925FFE"/>
    <w:rsid w:val="789D1B38"/>
    <w:rsid w:val="78A1562B"/>
    <w:rsid w:val="78A42A36"/>
    <w:rsid w:val="78A43B6E"/>
    <w:rsid w:val="78A55F58"/>
    <w:rsid w:val="78B47B29"/>
    <w:rsid w:val="78B71476"/>
    <w:rsid w:val="78C82B24"/>
    <w:rsid w:val="78CA21F2"/>
    <w:rsid w:val="78CB0018"/>
    <w:rsid w:val="78CB4A5B"/>
    <w:rsid w:val="78D738B0"/>
    <w:rsid w:val="78ED2E09"/>
    <w:rsid w:val="78EE362D"/>
    <w:rsid w:val="78F148D9"/>
    <w:rsid w:val="79024467"/>
    <w:rsid w:val="79086F47"/>
    <w:rsid w:val="790C3CA7"/>
    <w:rsid w:val="791C267C"/>
    <w:rsid w:val="792C6E7D"/>
    <w:rsid w:val="792D6825"/>
    <w:rsid w:val="792F1B57"/>
    <w:rsid w:val="793A1DDD"/>
    <w:rsid w:val="79415480"/>
    <w:rsid w:val="79437DD7"/>
    <w:rsid w:val="7946206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B196E"/>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B2553"/>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4E157B"/>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34CE0"/>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3E6F34"/>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610F5"/>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25</Pages>
  <Words>2747</Words>
  <Characters>2908</Characters>
  <Lines>71</Lines>
  <Paragraphs>20</Paragraphs>
  <TotalTime>1</TotalTime>
  <ScaleCrop>false</ScaleCrop>
  <LinksUpToDate>false</LinksUpToDate>
  <CharactersWithSpaces>3052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2025-10-30T01:17:54Z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