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30464D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项目名称：南宁中心血站2025年Hemotype全自动血型分析仪维保服务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w:t>
      </w:r>
      <w:r>
        <w:rPr>
          <w:rFonts w:hint="eastAsia" w:ascii="仿宋_GB2312" w:hAnsi="Courier New" w:eastAsia="仿宋_GB2312" w:cs="Courier New"/>
          <w:b/>
          <w:bCs/>
          <w:color w:val="000000"/>
          <w:kern w:val="0"/>
          <w:sz w:val="32"/>
          <w:szCs w:val="32"/>
          <w:lang w:val="en-US" w:eastAsia="zh-CN"/>
        </w:rPr>
        <w:t>067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南宁中心血站2025年Hemotype全自动血型分析仪维保服务采购公告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南宁中心血站按照采购计划，对南宁中心血站2025年Hemotype全自动血型分析仪维保服务进行采购，现就该项目邀请具有资质的单位进行响应，采购信息如下：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w:t>
      </w:r>
      <w:r>
        <w:rPr>
          <w:rFonts w:hint="eastAsia" w:ascii="仿宋_GB2312" w:hAnsi="Courier New" w:eastAsia="仿宋_GB2312" w:cs="Courier New"/>
          <w:color w:val="000000"/>
          <w:kern w:val="0"/>
          <w:sz w:val="32"/>
          <w:szCs w:val="32"/>
          <w:lang w:val="en-US" w:eastAsia="zh-CN"/>
        </w:rPr>
        <w:t>067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项目名称：南宁中心血站2025年Hemotype全自动血型分析仪维保服务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捌万元整（￥80000.00）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捌万元整（￥80000.00）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b w:val="0"/>
          <w:bCs w:val="0"/>
          <w:sz w:val="32"/>
          <w:szCs w:val="32"/>
          <w:highlight w:val="none"/>
          <w:lang w:val="en-US" w:eastAsia="zh-CN"/>
        </w:rPr>
        <w:t>提供采购需求一览表中要求提供的材料；</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提供相应的服务方案、类似业绩及服务能力水平等有关证明材料（格式自拟，如有请提供）。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07A7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F7C52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21E5D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268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FDA7F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9D500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南宁中心血站2025年Hemotype全自动血型分析仪维保服务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41276815">
            <w:pPr>
              <w:bidi w:val="0"/>
              <w:spacing w:line="240" w:lineRule="auto"/>
              <w:jc w:val="both"/>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一、</w:t>
            </w:r>
            <w:r>
              <w:rPr>
                <w:rFonts w:hint="eastAsia" w:asciiTheme="minorEastAsia" w:hAnsiTheme="minorEastAsia" w:eastAsiaTheme="minorEastAsia" w:cstheme="minorEastAsia"/>
                <w:b/>
                <w:bCs/>
              </w:rPr>
              <w:t>仪器保养</w:t>
            </w:r>
            <w:r>
              <w:rPr>
                <w:rFonts w:hint="eastAsia" w:asciiTheme="minorEastAsia" w:hAnsiTheme="minorEastAsia" w:eastAsiaTheme="minorEastAsia" w:cstheme="minorEastAsia"/>
                <w:b/>
                <w:bCs/>
                <w:lang w:val="en-US" w:eastAsia="zh-CN"/>
              </w:rPr>
              <w:t>服务</w:t>
            </w:r>
            <w:r>
              <w:rPr>
                <w:rFonts w:hint="eastAsia" w:asciiTheme="minorEastAsia" w:hAnsiTheme="minorEastAsia" w:eastAsiaTheme="minorEastAsia" w:cstheme="minorEastAsia"/>
                <w:b/>
                <w:bCs/>
              </w:rPr>
              <w:t>：</w:t>
            </w:r>
          </w:p>
          <w:p w14:paraId="6E117887">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Hemotype全自动血型分析仪数量</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1台，</w:t>
            </w:r>
            <w:r>
              <w:rPr>
                <w:rFonts w:hint="eastAsia" w:asciiTheme="minorEastAsia" w:hAnsiTheme="minorEastAsia" w:eastAsiaTheme="minorEastAsia" w:cstheme="minorEastAsia"/>
                <w:lang w:val="en-US" w:eastAsia="zh-CN"/>
              </w:rPr>
              <w:t>要求</w:t>
            </w:r>
            <w:r>
              <w:rPr>
                <w:rFonts w:hint="eastAsia" w:asciiTheme="minorEastAsia" w:hAnsiTheme="minorEastAsia" w:eastAsiaTheme="minorEastAsia" w:cstheme="minorEastAsia"/>
              </w:rPr>
              <w:t>整机维保，设备软件免费升级和定期维护</w:t>
            </w:r>
            <w:r>
              <w:rPr>
                <w:rFonts w:hint="eastAsia" w:asciiTheme="minorEastAsia" w:hAnsiTheme="minorEastAsia" w:eastAsiaTheme="minorEastAsia" w:cstheme="minorEastAsia"/>
                <w:lang w:eastAsia="zh-CN"/>
              </w:rPr>
              <w:t>。</w:t>
            </w:r>
          </w:p>
          <w:p w14:paraId="2CAF08BF">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（二）</w:t>
            </w:r>
            <w:r>
              <w:rPr>
                <w:rFonts w:hint="eastAsia" w:asciiTheme="minorEastAsia" w:hAnsiTheme="minorEastAsia" w:eastAsiaTheme="minorEastAsia" w:cstheme="minorEastAsia"/>
              </w:rPr>
              <w:t>维修保养方式：预防性维保与应急维修相结合。</w:t>
            </w:r>
          </w:p>
          <w:p w14:paraId="00F2E042">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（三）</w:t>
            </w:r>
            <w:r>
              <w:rPr>
                <w:rFonts w:hint="eastAsia" w:asciiTheme="minorEastAsia" w:hAnsiTheme="minorEastAsia" w:eastAsiaTheme="minorEastAsia" w:cstheme="minorEastAsia"/>
              </w:rPr>
              <w:t>维保周期：每季度一次</w:t>
            </w:r>
          </w:p>
          <w:p w14:paraId="1EC27D3A">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（四）</w:t>
            </w:r>
            <w:r>
              <w:rPr>
                <w:rFonts w:hint="eastAsia" w:asciiTheme="minorEastAsia" w:hAnsiTheme="minorEastAsia" w:eastAsiaTheme="minorEastAsia" w:cstheme="minorEastAsia"/>
              </w:rPr>
              <w:t>维保内容</w:t>
            </w:r>
            <w:r>
              <w:rPr>
                <w:rFonts w:hint="eastAsia" w:asciiTheme="minorEastAsia" w:hAnsiTheme="minorEastAsia" w:eastAsiaTheme="minorEastAsia" w:cstheme="minorEastAsia"/>
                <w:lang w:eastAsia="zh-CN"/>
              </w:rPr>
              <w:t>：</w:t>
            </w:r>
          </w:p>
          <w:p w14:paraId="0930819F">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仪器清洁和润滑：包括加样臂和抓臂X/Y/Z轴轨道除尘，加样针外表面清洁、离心机内部清洁、读数仪判读位和反光镜清洁，加样针清洗池清洁、系统液过滤网清洁、液面感应电缆线清洁，系统液压力感应装置润滑</w:t>
            </w:r>
            <w:r>
              <w:rPr>
                <w:rFonts w:hint="eastAsia" w:asciiTheme="minorEastAsia" w:hAnsiTheme="minorEastAsia" w:eastAsiaTheme="minorEastAsia" w:cstheme="minorEastAsia"/>
                <w:lang w:eastAsia="zh-CN"/>
              </w:rPr>
              <w:t>。</w:t>
            </w:r>
          </w:p>
          <w:p w14:paraId="15DB222B">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仪器易损件更换：根据仪器使用情况更换已经出现松动的泵阀连接管等易损件</w:t>
            </w:r>
            <w:r>
              <w:rPr>
                <w:rFonts w:hint="eastAsia" w:asciiTheme="minorEastAsia" w:hAnsiTheme="minorEastAsia" w:eastAsiaTheme="minorEastAsia" w:cstheme="minorEastAsia"/>
                <w:lang w:eastAsia="zh-CN"/>
              </w:rPr>
              <w:t>。</w:t>
            </w:r>
          </w:p>
          <w:p w14:paraId="070D7F61">
            <w:pPr>
              <w:bidi w:val="0"/>
              <w:spacing w:line="240" w:lineRule="auto"/>
              <w:jc w:val="both"/>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仪器参数调整和备份：检查加样针运行到各个模块的位置参数是否合适；抓臂在运行过程中是否出现异常情况；如果在检查过程中发现问题会及时调整和修改，做到及时发现、及时解决；最后对运行参数进行备份并做好备份记</w:t>
            </w:r>
            <w:r>
              <w:rPr>
                <w:rFonts w:hint="eastAsia" w:asciiTheme="minorEastAsia" w:hAnsiTheme="minorEastAsia" w:cstheme="minorEastAsia"/>
                <w:lang w:val="en-US" w:eastAsia="zh-CN"/>
              </w:rPr>
              <w:t>录</w:t>
            </w:r>
            <w:r>
              <w:rPr>
                <w:rFonts w:hint="eastAsia" w:asciiTheme="minorEastAsia" w:hAnsiTheme="minorEastAsia" w:eastAsiaTheme="minorEastAsia" w:cstheme="minorEastAsia"/>
                <w:lang w:eastAsia="zh-CN"/>
              </w:rPr>
              <w:t>。</w:t>
            </w:r>
          </w:p>
          <w:p w14:paraId="2D47F7C9">
            <w:pPr>
              <w:spacing w:line="240" w:lineRule="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二、</w:t>
            </w:r>
            <w:r>
              <w:rPr>
                <w:rFonts w:hint="eastAsia" w:asciiTheme="minorEastAsia" w:hAnsiTheme="minorEastAsia" w:eastAsiaTheme="minorEastAsia" w:cstheme="minorEastAsia"/>
                <w:b/>
                <w:bCs/>
              </w:rPr>
              <w:t>仪器校准</w:t>
            </w:r>
            <w:r>
              <w:rPr>
                <w:rFonts w:hint="eastAsia" w:asciiTheme="minorEastAsia" w:hAnsiTheme="minorEastAsia" w:eastAsiaTheme="minorEastAsia" w:cstheme="minorEastAsia"/>
                <w:b/>
                <w:bCs/>
                <w:lang w:val="en-US" w:eastAsia="zh-CN"/>
              </w:rPr>
              <w:t>服务</w:t>
            </w:r>
            <w:r>
              <w:rPr>
                <w:rFonts w:hint="eastAsia" w:asciiTheme="minorEastAsia" w:hAnsiTheme="minorEastAsia" w:eastAsiaTheme="minorEastAsia" w:cstheme="minorEastAsia"/>
                <w:b/>
                <w:bCs/>
              </w:rPr>
              <w:t>：</w:t>
            </w:r>
          </w:p>
          <w:p w14:paraId="18D5A64F">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校准周期：每年一次</w:t>
            </w:r>
          </w:p>
          <w:p w14:paraId="5759D121">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（二）</w:t>
            </w:r>
            <w:r>
              <w:rPr>
                <w:rFonts w:hint="eastAsia" w:asciiTheme="minorEastAsia" w:hAnsiTheme="minorEastAsia" w:eastAsiaTheme="minorEastAsia" w:cstheme="minorEastAsia"/>
              </w:rPr>
              <w:t>校准内容</w:t>
            </w:r>
            <w:r>
              <w:rPr>
                <w:rFonts w:hint="eastAsia" w:asciiTheme="minorEastAsia" w:hAnsiTheme="minorEastAsia" w:eastAsiaTheme="minorEastAsia" w:cstheme="minorEastAsia"/>
                <w:lang w:eastAsia="zh-CN"/>
              </w:rPr>
              <w:t>：</w:t>
            </w:r>
          </w:p>
          <w:p w14:paraId="10C78125">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硬件检测</w:t>
            </w:r>
            <w:r>
              <w:rPr>
                <w:rFonts w:hint="eastAsia" w:asciiTheme="minorEastAsia" w:hAnsiTheme="minorEastAsia" w:eastAsiaTheme="minorEastAsia" w:cstheme="minorEastAsia"/>
                <w:lang w:eastAsia="zh-CN"/>
              </w:rPr>
              <w:t>：</w:t>
            </w:r>
          </w:p>
          <w:p w14:paraId="72F13B72">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仪器电源：检测仪器电源、电压和仪器电路连接。</w:t>
            </w:r>
          </w:p>
          <w:p w14:paraId="7BB8D1E6">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机械、光学校准与确认：确认抓手机械臂和加样机械臂的位置，检查仪器LED背景光的位置与亮度。单孔位置校准：在板托位置、其他位置及所有部件正确的情况下，单个检测圈的位置。</w:t>
            </w:r>
          </w:p>
          <w:p w14:paraId="7C595133">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判读结果校准：使用正常的空板进行校准，每孔的透光度阈值符合要求，进行血型试验微板的判读，血型结果正确。</w:t>
            </w:r>
          </w:p>
          <w:p w14:paraId="098CFA0E">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加样精度校准：校准1-8号加样针的加样精度，各加样针精度标准为：10 ul时CV值小于2%，50ul时CV值小于1%，200ul时CV值小于1% ；使用计量部门校准合格的分析天平校准加样针精度。1-8号加样针的液体分配速度均为400ul/s，根据上述标准的加样量各进行10次的液体分配计算。</w:t>
            </w:r>
          </w:p>
          <w:p w14:paraId="0061AD8D">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离心机转速校准：根据</w:t>
            </w:r>
            <w:r>
              <w:rPr>
                <w:rFonts w:hint="eastAsia" w:asciiTheme="minorEastAsia" w:hAnsiTheme="minorEastAsia" w:eastAsiaTheme="minorEastAsia" w:cstheme="minorEastAsia"/>
                <w:lang w:val="en-US" w:eastAsia="zh-CN"/>
              </w:rPr>
              <w:t>采购人要求的</w:t>
            </w:r>
            <w:r>
              <w:rPr>
                <w:rFonts w:hint="eastAsia" w:asciiTheme="minorEastAsia" w:hAnsiTheme="minorEastAsia" w:eastAsiaTheme="minorEastAsia" w:cstheme="minorEastAsia"/>
              </w:rPr>
              <w:t>试验方法所设定的离心机转速进行校准。</w:t>
            </w:r>
          </w:p>
          <w:p w14:paraId="3E4BB21F">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系统检定</w:t>
            </w:r>
            <w:r>
              <w:rPr>
                <w:rFonts w:hint="eastAsia" w:asciiTheme="minorEastAsia" w:hAnsiTheme="minorEastAsia" w:eastAsiaTheme="minorEastAsia" w:cstheme="minorEastAsia"/>
                <w:lang w:eastAsia="zh-CN"/>
              </w:rPr>
              <w:t>：</w:t>
            </w:r>
          </w:p>
          <w:p w14:paraId="78FD1611">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软件系统：仪器eRobot 软件系统各软件功能在日常实验中正常工作。</w:t>
            </w:r>
          </w:p>
          <w:p w14:paraId="685A9BBA">
            <w:pPr>
              <w:spacing w:line="240" w:lineRule="auto"/>
              <w:ind w:left="0" w:firstLine="0" w:firstLineChars="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数据连接：仪器软件系统能够识别加样器加样文件系统，仪器血型结果文件和实验室管理软件数据连接正常，能够在日常实验中正常工作。</w:t>
            </w:r>
            <w:r>
              <w:rPr>
                <w:rFonts w:hint="eastAsia" w:asciiTheme="minorEastAsia" w:hAnsiTheme="minorEastAsia" w:eastAsiaTheme="minorEastAsia" w:cstheme="minorEastAsia"/>
                <w:szCs w:val="21"/>
              </w:rPr>
              <w:drawing>
                <wp:anchor distT="0" distB="0" distL="114300" distR="114300" simplePos="0" relativeHeight="251660288" behindDoc="0" locked="0" layoutInCell="1" allowOverlap="1">
                  <wp:simplePos x="0" y="0"/>
                  <wp:positionH relativeFrom="column">
                    <wp:posOffset>7532370</wp:posOffset>
                  </wp:positionH>
                  <wp:positionV relativeFrom="paragraph">
                    <wp:posOffset>-4781550</wp:posOffset>
                  </wp:positionV>
                  <wp:extent cx="1628775" cy="1619250"/>
                  <wp:effectExtent l="0" t="0" r="0" b="0"/>
                  <wp:wrapNone/>
                  <wp:docPr id="7" name="图片 5" descr="C:\Users\Administrator\Documents\Tencent Files\993762690\Image\IEU~017(P_4N8${{9FXRQ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C:\Users\Administrator\Documents\Tencent Files\993762690\Image\IEU~017(P_4N8${{9FXRQF2.jpg"/>
                          <pic:cNvPicPr>
                            <a:picLocks noChangeAspect="1" noChangeArrowheads="1"/>
                          </pic:cNvPicPr>
                        </pic:nvPicPr>
                        <pic:blipFill>
                          <a:blip r:embed="rId5">
                            <a:clrChange>
                              <a:clrFrom>
                                <a:srgbClr val="FEFFFB"/>
                              </a:clrFrom>
                              <a:clrTo>
                                <a:srgbClr val="FEFFFB">
                                  <a:alpha val="0"/>
                                </a:srgbClr>
                              </a:clrTo>
                            </a:clrChange>
                            <a:extLst>
                              <a:ext uri="{28A0092B-C50C-407E-A947-70E740481C1C}">
                                <a14:useLocalDpi xmlns:a14="http://schemas.microsoft.com/office/drawing/2010/main" val="0"/>
                              </a:ext>
                            </a:extLst>
                          </a:blip>
                          <a:srcRect/>
                          <a:stretch>
                            <a:fillRect/>
                          </a:stretch>
                        </pic:blipFill>
                        <pic:spPr>
                          <a:xfrm>
                            <a:off x="0" y="0"/>
                            <a:ext cx="1628775" cy="1619250"/>
                          </a:xfrm>
                          <a:prstGeom prst="rect">
                            <a:avLst/>
                          </a:prstGeom>
                          <a:noFill/>
                          <a:ln>
                            <a:noFill/>
                          </a:ln>
                        </pic:spPr>
                      </pic:pic>
                    </a:graphicData>
                  </a:graphic>
                </wp:anchor>
              </w:drawing>
            </w:r>
          </w:p>
          <w:p w14:paraId="29A9D4D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auto"/>
                <w:szCs w:val="21"/>
                <w:lang w:val="en-US" w:eastAsia="zh-CN"/>
              </w:rPr>
              <w:t>三、其他要求：</w:t>
            </w:r>
          </w:p>
          <w:p w14:paraId="2281018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宋体" w:hAnsi="宋体" w:eastAsia="宋体" w:cs="宋体"/>
                <w:szCs w:val="21"/>
                <w:lang w:val="en-US" w:eastAsia="zh-CN"/>
              </w:rPr>
            </w:pPr>
            <w:r>
              <w:rPr>
                <w:rFonts w:hint="eastAsia" w:asciiTheme="minorEastAsia" w:hAnsiTheme="minorEastAsia" w:eastAsiaTheme="minorEastAsia" w:cstheme="minorEastAsia"/>
                <w:b w:val="0"/>
                <w:bCs w:val="0"/>
                <w:color w:val="auto"/>
                <w:szCs w:val="21"/>
                <w:lang w:val="en-US" w:eastAsia="zh-CN"/>
              </w:rPr>
              <w:t>1.响应供应商委派的</w:t>
            </w:r>
            <w:r>
              <w:rPr>
                <w:rFonts w:hint="eastAsia" w:asciiTheme="minorEastAsia" w:hAnsiTheme="minorEastAsia" w:eastAsiaTheme="minorEastAsia" w:cstheme="minorEastAsia"/>
                <w:color w:val="auto"/>
                <w:sz w:val="21"/>
                <w:szCs w:val="21"/>
                <w:highlight w:val="none"/>
                <w:lang w:val="en-US" w:eastAsia="zh-CN"/>
              </w:rPr>
              <w:t>维保工程师须提供参加该设备厂家的培训证明材料（设备生产厂家：北京汉泰旭和生物科技有限公司），响应文件中须提供相关证明材料。</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80000.00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796757F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一、合同签订期：</w:t>
            </w:r>
            <w:r>
              <w:rPr>
                <w:rFonts w:hint="eastAsia"/>
                <w:color w:val="auto"/>
                <w:sz w:val="21"/>
                <w:szCs w:val="21"/>
                <w:highlight w:val="none"/>
                <w:lang w:val="en-US" w:eastAsia="zh-CN"/>
              </w:rPr>
              <w:t>自采购结果公告结束之日起25日内。</w:t>
            </w:r>
          </w:p>
          <w:p w14:paraId="37C522B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二、服务期限：</w:t>
            </w:r>
            <w:r>
              <w:rPr>
                <w:rFonts w:hint="eastAsia" w:eastAsia="宋体"/>
                <w:color w:val="auto"/>
                <w:sz w:val="21"/>
                <w:szCs w:val="21"/>
                <w:highlight w:val="none"/>
                <w:lang w:val="en-US" w:eastAsia="zh-CN"/>
              </w:rPr>
              <w:t>自合同签订之日起一年。</w:t>
            </w:r>
          </w:p>
          <w:p w14:paraId="27250C8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6FE78FB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四、服务地点：</w:t>
            </w:r>
            <w:r>
              <w:rPr>
                <w:rFonts w:hint="eastAsia"/>
                <w:color w:val="auto"/>
                <w:sz w:val="21"/>
                <w:szCs w:val="21"/>
                <w:highlight w:val="none"/>
                <w:lang w:val="en-US" w:eastAsia="zh-CN"/>
              </w:rPr>
              <w:t>南宁中心血站指定地点。</w:t>
            </w:r>
          </w:p>
          <w:p w14:paraId="23FD543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五、售后服务要求：</w:t>
            </w:r>
          </w:p>
          <w:p w14:paraId="6B10DF4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val="0"/>
                <w:bCs w:val="0"/>
                <w:color w:val="auto"/>
                <w:sz w:val="21"/>
                <w:szCs w:val="21"/>
                <w:highlight w:val="none"/>
                <w:lang w:val="en-US" w:eastAsia="zh-CN"/>
              </w:rPr>
              <w:t>1.</w:t>
            </w:r>
            <w:r>
              <w:rPr>
                <w:rFonts w:hint="eastAsia"/>
                <w:color w:val="auto"/>
                <w:sz w:val="21"/>
                <w:szCs w:val="21"/>
                <w:highlight w:val="none"/>
                <w:lang w:val="en-US" w:eastAsia="zh-CN"/>
              </w:rPr>
              <w:t>质量保证期1年。</w:t>
            </w:r>
          </w:p>
          <w:p w14:paraId="7BE2B8A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w:t>
            </w:r>
            <w:r>
              <w:rPr>
                <w:rFonts w:hint="eastAsia" w:ascii="宋体" w:hAnsi="宋体" w:eastAsia="宋体"/>
                <w:color w:val="auto"/>
                <w:szCs w:val="21"/>
                <w:highlight w:val="none"/>
              </w:rPr>
              <w:t>故障响应时间：设备在使用过程中发生问题，</w:t>
            </w:r>
            <w:r>
              <w:rPr>
                <w:rFonts w:hint="eastAsia" w:ascii="宋体" w:hAnsi="宋体"/>
                <w:color w:val="auto"/>
                <w:szCs w:val="21"/>
                <w:highlight w:val="none"/>
                <w:lang w:val="en-US" w:eastAsia="zh-CN"/>
              </w:rPr>
              <w:t>成交</w:t>
            </w:r>
            <w:r>
              <w:rPr>
                <w:rFonts w:hint="eastAsia" w:ascii="宋体" w:hAnsi="宋体" w:eastAsia="宋体"/>
                <w:color w:val="auto"/>
                <w:szCs w:val="21"/>
                <w:highlight w:val="none"/>
              </w:rPr>
              <w:t>供应商</w:t>
            </w:r>
            <w:r>
              <w:rPr>
                <w:rFonts w:hint="eastAsia" w:ascii="宋体" w:hAnsi="宋体" w:eastAsia="宋体"/>
                <w:color w:val="auto"/>
                <w:szCs w:val="21"/>
                <w:highlight w:val="none"/>
                <w:lang w:val="en-US" w:eastAsia="zh-CN"/>
              </w:rPr>
              <w:t>维保工程师</w:t>
            </w:r>
            <w:r>
              <w:rPr>
                <w:rFonts w:hint="eastAsia" w:ascii="宋体" w:hAnsi="宋体" w:eastAsia="宋体"/>
                <w:color w:val="auto"/>
                <w:szCs w:val="21"/>
                <w:highlight w:val="none"/>
              </w:rPr>
              <w:t>在接到</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通知后2小时响应，24小时内到达</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现场解决处理。</w:t>
            </w:r>
            <w:r>
              <w:rPr>
                <w:rFonts w:hint="eastAsia"/>
                <w:color w:val="auto"/>
                <w:sz w:val="21"/>
                <w:szCs w:val="21"/>
                <w:highlight w:val="none"/>
                <w:lang w:val="en-US" w:eastAsia="zh-CN"/>
              </w:rPr>
              <w:t xml:space="preserve">                                                                                                                                                                                                                            </w:t>
            </w:r>
            <w:r>
              <w:rPr>
                <w:rFonts w:hint="eastAsia"/>
                <w:b/>
                <w:bCs/>
                <w:color w:val="auto"/>
                <w:sz w:val="21"/>
                <w:szCs w:val="21"/>
                <w:highlight w:val="none"/>
                <w:lang w:val="en-US" w:eastAsia="zh-CN"/>
              </w:rPr>
              <w:t>六、其他要求：</w:t>
            </w:r>
            <w:r>
              <w:rPr>
                <w:rFonts w:hint="eastAsia"/>
                <w:color w:val="auto"/>
                <w:sz w:val="21"/>
                <w:szCs w:val="21"/>
                <w:highlight w:val="none"/>
                <w:lang w:val="en-US" w:eastAsia="zh-CN"/>
              </w:rPr>
              <w:t xml:space="preserve">                                                                                                                                                            </w:t>
            </w:r>
          </w:p>
          <w:p w14:paraId="60B4A015">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1.报价必须含以下部分，包括：</w:t>
            </w:r>
          </w:p>
          <w:p w14:paraId="26819E50">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（1）服务的价格；</w:t>
            </w:r>
          </w:p>
          <w:p w14:paraId="0C94E16E">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（2）必要的保险费用和各项税金；</w:t>
            </w:r>
          </w:p>
          <w:p w14:paraId="1C2AEF18">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Cs w:val="21"/>
                <w:highlight w:val="none"/>
                <w:lang w:eastAsia="zh-CN"/>
              </w:rPr>
            </w:pPr>
            <w:r>
              <w:rPr>
                <w:rFonts w:hint="eastAsia"/>
                <w:color w:val="auto"/>
                <w:sz w:val="21"/>
                <w:szCs w:val="21"/>
                <w:highlight w:val="none"/>
                <w:lang w:val="en-US" w:eastAsia="zh-CN"/>
              </w:rPr>
              <w:t>（3）</w:t>
            </w:r>
            <w:r>
              <w:rPr>
                <w:rFonts w:hint="eastAsia"/>
                <w:color w:val="auto"/>
                <w:szCs w:val="21"/>
                <w:highlight w:val="none"/>
              </w:rPr>
              <w:t>服务期内所需的标准附件、备品备件、专用工具、数据接口等费用</w:t>
            </w:r>
            <w:r>
              <w:rPr>
                <w:rFonts w:hint="eastAsia"/>
                <w:color w:val="auto"/>
                <w:szCs w:val="21"/>
                <w:highlight w:val="none"/>
                <w:lang w:eastAsia="zh-CN"/>
              </w:rPr>
              <w:t>；</w:t>
            </w:r>
          </w:p>
          <w:p w14:paraId="7771BCD9">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Cs w:val="21"/>
                <w:highlight w:val="none"/>
                <w:lang w:eastAsia="zh-CN"/>
              </w:rPr>
              <w:t>（</w:t>
            </w:r>
            <w:r>
              <w:rPr>
                <w:rFonts w:hint="eastAsia"/>
                <w:color w:val="auto"/>
                <w:szCs w:val="21"/>
                <w:highlight w:val="none"/>
                <w:lang w:val="en-US" w:eastAsia="zh-CN"/>
              </w:rPr>
              <w:t>4</w:t>
            </w:r>
            <w:r>
              <w:rPr>
                <w:rFonts w:hint="eastAsia"/>
                <w:color w:val="auto"/>
                <w:szCs w:val="21"/>
                <w:highlight w:val="none"/>
                <w:lang w:eastAsia="zh-CN"/>
              </w:rPr>
              <w:t>）</w:t>
            </w:r>
            <w:r>
              <w:rPr>
                <w:rFonts w:hint="eastAsia"/>
                <w:color w:val="auto"/>
                <w:sz w:val="21"/>
                <w:szCs w:val="21"/>
                <w:highlight w:val="none"/>
                <w:lang w:val="en-US" w:eastAsia="zh-CN"/>
              </w:rPr>
              <w:t>人工、交通、运输、装卸、安装、调试、培训、技术支持、售后服务、软件更新升级等费用。</w:t>
            </w:r>
          </w:p>
          <w:p w14:paraId="7DCFDC7F">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2.付款方式：</w:t>
            </w:r>
            <w:r>
              <w:rPr>
                <w:rFonts w:hint="eastAsia"/>
                <w:color w:val="auto"/>
                <w:szCs w:val="21"/>
                <w:highlight w:val="none"/>
              </w:rPr>
              <w:t>本项目合同签订后</w:t>
            </w:r>
            <w:r>
              <w:rPr>
                <w:rFonts w:hint="eastAsia"/>
                <w:color w:val="auto"/>
                <w:szCs w:val="21"/>
                <w:highlight w:val="none"/>
                <w:lang w:val="en-US" w:eastAsia="zh-CN"/>
              </w:rPr>
              <w:t>20</w:t>
            </w:r>
            <w:r>
              <w:rPr>
                <w:rFonts w:hint="eastAsia"/>
                <w:color w:val="auto"/>
                <w:szCs w:val="21"/>
                <w:highlight w:val="none"/>
              </w:rPr>
              <w:t>个工作日内采购人向成交供应商支付合同总额的50%，</w:t>
            </w:r>
            <w:r>
              <w:rPr>
                <w:rFonts w:hint="eastAsia"/>
                <w:color w:val="auto"/>
                <w:szCs w:val="21"/>
                <w:highlight w:val="none"/>
                <w:lang w:val="en-US" w:eastAsia="zh-CN"/>
              </w:rPr>
              <w:t>服务完成并</w:t>
            </w:r>
            <w:r>
              <w:rPr>
                <w:rFonts w:hint="eastAsia"/>
                <w:color w:val="auto"/>
                <w:szCs w:val="21"/>
                <w:highlight w:val="none"/>
              </w:rPr>
              <w:t>经采购人验收合格后</w:t>
            </w:r>
            <w:r>
              <w:rPr>
                <w:rFonts w:hint="eastAsia"/>
                <w:color w:val="auto"/>
                <w:szCs w:val="21"/>
                <w:highlight w:val="none"/>
                <w:lang w:val="en-US" w:eastAsia="zh-CN"/>
              </w:rPr>
              <w:t>20</w:t>
            </w:r>
            <w:r>
              <w:rPr>
                <w:rFonts w:hint="eastAsia"/>
                <w:color w:val="auto"/>
                <w:szCs w:val="21"/>
                <w:highlight w:val="none"/>
              </w:rPr>
              <w:t>个工作日内支付</w:t>
            </w:r>
            <w:r>
              <w:rPr>
                <w:rFonts w:hint="eastAsia"/>
                <w:color w:val="auto"/>
                <w:szCs w:val="21"/>
                <w:highlight w:val="none"/>
                <w:lang w:val="en-US" w:eastAsia="zh-CN"/>
              </w:rPr>
              <w:t>50</w:t>
            </w:r>
            <w:r>
              <w:rPr>
                <w:rFonts w:hint="eastAsia"/>
                <w:color w:val="auto"/>
                <w:szCs w:val="21"/>
                <w:highlight w:val="none"/>
              </w:rPr>
              <w:t>%合同款</w:t>
            </w:r>
            <w:r>
              <w:rPr>
                <w:rFonts w:hint="eastAsia" w:cs="Times New Roman"/>
                <w:color w:val="auto"/>
                <w:sz w:val="21"/>
                <w:szCs w:val="21"/>
                <w:highlight w:val="none"/>
                <w:lang w:val="en-US" w:eastAsia="zh-CN"/>
              </w:rPr>
              <w:t>（</w:t>
            </w:r>
            <w:r>
              <w:rPr>
                <w:rFonts w:hint="eastAsia"/>
                <w:color w:val="auto"/>
                <w:sz w:val="21"/>
                <w:szCs w:val="21"/>
                <w:highlight w:val="none"/>
                <w:lang w:val="en-US" w:eastAsia="zh-CN"/>
              </w:rPr>
              <w:t>付款前成交供应商须开具等额合规的增值税发票给到采购人）。</w:t>
            </w:r>
          </w:p>
          <w:p w14:paraId="4BB2E25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olor w:val="auto"/>
                <w:highlight w:val="none"/>
              </w:rPr>
            </w:pPr>
            <w:r>
              <w:rPr>
                <w:rFonts w:hint="eastAsia" w:ascii="宋体" w:hAnsi="宋体"/>
                <w:color w:val="auto"/>
                <w:highlight w:val="none"/>
                <w:lang w:val="en-US" w:eastAsia="zh-CN"/>
              </w:rPr>
              <w:t>3.</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4FEA61EC">
            <w:pPr>
              <w:rPr>
                <w:rFonts w:ascii="宋体" w:hAnsi="宋体"/>
              </w:rPr>
            </w:pPr>
            <w:r>
              <w:rPr>
                <w:rFonts w:hint="eastAsia" w:ascii="宋体" w:hAnsi="宋体"/>
                <w:color w:val="auto"/>
                <w:highlight w:val="none"/>
                <w:lang w:val="en-US" w:eastAsia="zh-CN"/>
              </w:rPr>
              <w:t>4.</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r>
    </w:tbl>
    <w:p w14:paraId="1A20A89B">
      <w:pPr>
        <w:pStyle w:val="6"/>
        <w:spacing w:line="500" w:lineRule="exact"/>
        <w:jc w:val="left"/>
        <w:rPr>
          <w:rFonts w:hint="eastAsia" w:ascii="仿宋" w:hAnsi="仿宋" w:eastAsia="仿宋"/>
          <w:color w:val="auto"/>
          <w:sz w:val="30"/>
          <w:szCs w:val="30"/>
        </w:rPr>
      </w:pPr>
    </w:p>
    <w:p w14:paraId="084DEEBB">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南宁中心血站2025年Hemotype全自动血型分析仪维保服务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南宁中心血站2025年Hemotype全自动血型分析仪维保服务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金额不能超过项目最高限价（￥80000.00元）。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662012F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4036"/>
        <w:gridCol w:w="705"/>
        <w:gridCol w:w="22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718"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2976"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4036" w:type="dxa"/>
            <w:vAlign w:val="center"/>
          </w:tcPr>
          <w:p w14:paraId="34BC4A96">
            <w:pPr>
              <w:jc w:val="center"/>
              <w:rPr>
                <w:rFonts w:ascii="宋体"/>
                <w:b/>
                <w:bCs/>
                <w:color w:val="auto"/>
                <w:szCs w:val="21"/>
              </w:rPr>
            </w:pPr>
            <w:r>
              <w:rPr>
                <w:rFonts w:hint="eastAsia" w:ascii="宋体"/>
                <w:b/>
                <w:bCs/>
                <w:color w:val="auto"/>
                <w:szCs w:val="21"/>
              </w:rPr>
              <w:t>技术参数</w:t>
            </w:r>
          </w:p>
        </w:tc>
        <w:tc>
          <w:tcPr>
            <w:tcW w:w="70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2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南宁中心血站2025年Hemotype全自动血型分析仪维保服务</w:t>
            </w:r>
          </w:p>
        </w:tc>
        <w:tc>
          <w:tcPr>
            <w:tcW w:w="4036" w:type="dxa"/>
            <w:vAlign w:val="center"/>
          </w:tcPr>
          <w:p w14:paraId="074E823F">
            <w:pPr>
              <w:bidi w:val="0"/>
              <w:spacing w:line="240" w:lineRule="auto"/>
              <w:jc w:val="both"/>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一、</w:t>
            </w:r>
            <w:r>
              <w:rPr>
                <w:rFonts w:hint="eastAsia" w:asciiTheme="minorEastAsia" w:hAnsiTheme="minorEastAsia" w:eastAsiaTheme="minorEastAsia" w:cstheme="minorEastAsia"/>
                <w:b/>
                <w:bCs/>
              </w:rPr>
              <w:t>仪器保养</w:t>
            </w:r>
            <w:r>
              <w:rPr>
                <w:rFonts w:hint="eastAsia" w:asciiTheme="minorEastAsia" w:hAnsiTheme="minorEastAsia" w:eastAsiaTheme="minorEastAsia" w:cstheme="minorEastAsia"/>
                <w:b/>
                <w:bCs/>
                <w:lang w:val="en-US" w:eastAsia="zh-CN"/>
              </w:rPr>
              <w:t>服务</w:t>
            </w:r>
            <w:r>
              <w:rPr>
                <w:rFonts w:hint="eastAsia" w:asciiTheme="minorEastAsia" w:hAnsiTheme="minorEastAsia" w:eastAsiaTheme="minorEastAsia" w:cstheme="minorEastAsia"/>
                <w:b/>
                <w:bCs/>
              </w:rPr>
              <w:t>：</w:t>
            </w:r>
          </w:p>
          <w:p w14:paraId="20815D79">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Hemotype全自动血型分析仪数量</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1台，</w:t>
            </w:r>
            <w:r>
              <w:rPr>
                <w:rFonts w:hint="eastAsia" w:asciiTheme="minorEastAsia" w:hAnsiTheme="minorEastAsia" w:eastAsiaTheme="minorEastAsia" w:cstheme="minorEastAsia"/>
                <w:lang w:val="en-US" w:eastAsia="zh-CN"/>
              </w:rPr>
              <w:t>要求</w:t>
            </w:r>
            <w:r>
              <w:rPr>
                <w:rFonts w:hint="eastAsia" w:asciiTheme="minorEastAsia" w:hAnsiTheme="minorEastAsia" w:eastAsiaTheme="minorEastAsia" w:cstheme="minorEastAsia"/>
              </w:rPr>
              <w:t>整机维保，设备软件免费升级和定期维护</w:t>
            </w:r>
            <w:r>
              <w:rPr>
                <w:rFonts w:hint="eastAsia" w:asciiTheme="minorEastAsia" w:hAnsiTheme="minorEastAsia" w:eastAsiaTheme="minorEastAsia" w:cstheme="minorEastAsia"/>
                <w:lang w:eastAsia="zh-CN"/>
              </w:rPr>
              <w:t>。</w:t>
            </w:r>
          </w:p>
          <w:p w14:paraId="6B99B9BD">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（二）</w:t>
            </w:r>
            <w:r>
              <w:rPr>
                <w:rFonts w:hint="eastAsia" w:asciiTheme="minorEastAsia" w:hAnsiTheme="minorEastAsia" w:eastAsiaTheme="minorEastAsia" w:cstheme="minorEastAsia"/>
              </w:rPr>
              <w:t>维修保养方式：预防性维保与应急维修相结合。</w:t>
            </w:r>
          </w:p>
          <w:p w14:paraId="44341868">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（三）</w:t>
            </w:r>
            <w:r>
              <w:rPr>
                <w:rFonts w:hint="eastAsia" w:asciiTheme="minorEastAsia" w:hAnsiTheme="minorEastAsia" w:eastAsiaTheme="minorEastAsia" w:cstheme="minorEastAsia"/>
              </w:rPr>
              <w:t>维保周期：每季度一次</w:t>
            </w:r>
          </w:p>
          <w:p w14:paraId="7DC956BD">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（四）</w:t>
            </w:r>
            <w:r>
              <w:rPr>
                <w:rFonts w:hint="eastAsia" w:asciiTheme="minorEastAsia" w:hAnsiTheme="minorEastAsia" w:eastAsiaTheme="minorEastAsia" w:cstheme="minorEastAsia"/>
              </w:rPr>
              <w:t>维保内容</w:t>
            </w:r>
            <w:r>
              <w:rPr>
                <w:rFonts w:hint="eastAsia" w:asciiTheme="minorEastAsia" w:hAnsiTheme="minorEastAsia" w:eastAsiaTheme="minorEastAsia" w:cstheme="minorEastAsia"/>
                <w:lang w:eastAsia="zh-CN"/>
              </w:rPr>
              <w:t>：</w:t>
            </w:r>
          </w:p>
          <w:p w14:paraId="111DEB09">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仪器清洁和润滑：包括加样臂和抓臂X/Y/Z轴轨道除尘，加样针外表面清洁、离心机内部清洁、读数仪判读位和反光镜清洁，加样针清洗池清洁、系统液过滤网清洁、液面感应电缆线清洁，系统液压力感应装置润滑</w:t>
            </w:r>
            <w:r>
              <w:rPr>
                <w:rFonts w:hint="eastAsia" w:asciiTheme="minorEastAsia" w:hAnsiTheme="minorEastAsia" w:eastAsiaTheme="minorEastAsia" w:cstheme="minorEastAsia"/>
                <w:lang w:eastAsia="zh-CN"/>
              </w:rPr>
              <w:t>。</w:t>
            </w:r>
          </w:p>
          <w:p w14:paraId="4D5BC27E">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仪器易损件更换：根据仪器使用情况更换已经出现松动的泵阀连接管等易损件</w:t>
            </w:r>
            <w:r>
              <w:rPr>
                <w:rFonts w:hint="eastAsia" w:asciiTheme="minorEastAsia" w:hAnsiTheme="minorEastAsia" w:eastAsiaTheme="minorEastAsia" w:cstheme="minorEastAsia"/>
                <w:lang w:eastAsia="zh-CN"/>
              </w:rPr>
              <w:t>。</w:t>
            </w:r>
          </w:p>
          <w:p w14:paraId="71652DD4">
            <w:pPr>
              <w:bidi w:val="0"/>
              <w:spacing w:line="240" w:lineRule="auto"/>
              <w:jc w:val="both"/>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仪器参数调整和备份：检查加样针运行到各个模块的位置参数是否合适；抓臂在运行过程中是否出现异常情况；如果在检查过程中发现问题会及时调整和修改，做到及时发现、及时解决；最后对运行参数进行备份并做好备份记</w:t>
            </w:r>
            <w:r>
              <w:rPr>
                <w:rFonts w:hint="eastAsia" w:asciiTheme="minorEastAsia" w:hAnsiTheme="minorEastAsia" w:cstheme="minorEastAsia"/>
                <w:lang w:val="en-US" w:eastAsia="zh-CN"/>
              </w:rPr>
              <w:t>录</w:t>
            </w:r>
            <w:bookmarkStart w:id="16" w:name="_GoBack"/>
            <w:bookmarkEnd w:id="16"/>
            <w:r>
              <w:rPr>
                <w:rFonts w:hint="eastAsia" w:asciiTheme="minorEastAsia" w:hAnsiTheme="minorEastAsia" w:eastAsiaTheme="minorEastAsia" w:cstheme="minorEastAsia"/>
                <w:lang w:eastAsia="zh-CN"/>
              </w:rPr>
              <w:t>。</w:t>
            </w:r>
          </w:p>
          <w:p w14:paraId="0F450018">
            <w:pPr>
              <w:spacing w:line="240" w:lineRule="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二、</w:t>
            </w:r>
            <w:r>
              <w:rPr>
                <w:rFonts w:hint="eastAsia" w:asciiTheme="minorEastAsia" w:hAnsiTheme="minorEastAsia" w:eastAsiaTheme="minorEastAsia" w:cstheme="minorEastAsia"/>
                <w:b/>
                <w:bCs/>
              </w:rPr>
              <w:t>仪器校准</w:t>
            </w:r>
            <w:r>
              <w:rPr>
                <w:rFonts w:hint="eastAsia" w:asciiTheme="minorEastAsia" w:hAnsiTheme="minorEastAsia" w:eastAsiaTheme="minorEastAsia" w:cstheme="minorEastAsia"/>
                <w:b/>
                <w:bCs/>
                <w:lang w:val="en-US" w:eastAsia="zh-CN"/>
              </w:rPr>
              <w:t>服务</w:t>
            </w:r>
            <w:r>
              <w:rPr>
                <w:rFonts w:hint="eastAsia" w:asciiTheme="minorEastAsia" w:hAnsiTheme="minorEastAsia" w:eastAsiaTheme="minorEastAsia" w:cstheme="minorEastAsia"/>
                <w:b/>
                <w:bCs/>
              </w:rPr>
              <w:t>：</w:t>
            </w:r>
          </w:p>
          <w:p w14:paraId="5CA75FDC">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校准周期：每年一次</w:t>
            </w:r>
          </w:p>
          <w:p w14:paraId="3674B6FA">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（二）</w:t>
            </w:r>
            <w:r>
              <w:rPr>
                <w:rFonts w:hint="eastAsia" w:asciiTheme="minorEastAsia" w:hAnsiTheme="minorEastAsia" w:eastAsiaTheme="minorEastAsia" w:cstheme="minorEastAsia"/>
              </w:rPr>
              <w:t>校准内容</w:t>
            </w:r>
            <w:r>
              <w:rPr>
                <w:rFonts w:hint="eastAsia" w:asciiTheme="minorEastAsia" w:hAnsiTheme="minorEastAsia" w:eastAsiaTheme="minorEastAsia" w:cstheme="minorEastAsia"/>
                <w:lang w:eastAsia="zh-CN"/>
              </w:rPr>
              <w:t>：</w:t>
            </w:r>
          </w:p>
          <w:p w14:paraId="05248265">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硬件检测</w:t>
            </w:r>
            <w:r>
              <w:rPr>
                <w:rFonts w:hint="eastAsia" w:asciiTheme="minorEastAsia" w:hAnsiTheme="minorEastAsia" w:eastAsiaTheme="minorEastAsia" w:cstheme="minorEastAsia"/>
                <w:lang w:eastAsia="zh-CN"/>
              </w:rPr>
              <w:t>：</w:t>
            </w:r>
          </w:p>
          <w:p w14:paraId="01110072">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仪器电源：检测仪器电源、电压和仪器电路连接。</w:t>
            </w:r>
          </w:p>
          <w:p w14:paraId="39A4B2FD">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机械、光学校准与确认：确认抓手机械臂和加样机械臂的位置，检查仪器LED背景光的位置与亮度。单孔位置校准：在板托位置、其他位置及所有部件正确的情况下，单个检测圈的位置。</w:t>
            </w:r>
          </w:p>
          <w:p w14:paraId="7AA78C22">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判读结果校准：使用正常的空板进行校准，每孔的透光度阈值符合要求，进行血型试验微板的判读，血型结果正确。</w:t>
            </w:r>
          </w:p>
          <w:p w14:paraId="326F5336">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加样精度校准：校准1-8号加样针的加样精度，各加样针精度标准为：10 ul时CV值小于2%，50ul时CV值小于1%，200ul时CV值小于1% ；使用计量部门校准合格的分析天平校准加样针精度。1-8号加样针的液体分配速度均为400ul/s，根据上述标准的加样量各进行10次的液体分配计算。</w:t>
            </w:r>
          </w:p>
          <w:p w14:paraId="65F3A6CD">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离心机转速校准：根据</w:t>
            </w:r>
            <w:r>
              <w:rPr>
                <w:rFonts w:hint="eastAsia" w:asciiTheme="minorEastAsia" w:hAnsiTheme="minorEastAsia" w:eastAsiaTheme="minorEastAsia" w:cstheme="minorEastAsia"/>
                <w:lang w:val="en-US" w:eastAsia="zh-CN"/>
              </w:rPr>
              <w:t>采购人要求的</w:t>
            </w:r>
            <w:r>
              <w:rPr>
                <w:rFonts w:hint="eastAsia" w:asciiTheme="minorEastAsia" w:hAnsiTheme="minorEastAsia" w:eastAsiaTheme="minorEastAsia" w:cstheme="minorEastAsia"/>
              </w:rPr>
              <w:t>试验方法所设定的离心机转速进行校准。</w:t>
            </w:r>
          </w:p>
          <w:p w14:paraId="5D13F0FF">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系统检定</w:t>
            </w:r>
            <w:r>
              <w:rPr>
                <w:rFonts w:hint="eastAsia" w:asciiTheme="minorEastAsia" w:hAnsiTheme="minorEastAsia" w:eastAsiaTheme="minorEastAsia" w:cstheme="minorEastAsia"/>
                <w:lang w:eastAsia="zh-CN"/>
              </w:rPr>
              <w:t>：</w:t>
            </w:r>
          </w:p>
          <w:p w14:paraId="058D3F87">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软件系统：仪器eRobot 软件系统各软件功能在日常实验中正常工作。</w:t>
            </w:r>
          </w:p>
          <w:p w14:paraId="47F6511E">
            <w:pPr>
              <w:spacing w:line="240" w:lineRule="auto"/>
              <w:ind w:left="0" w:firstLine="0" w:firstLineChars="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数据连接：仪器软件系统能够识别加样器加样文件系统，仪器血型结果文件和实验室管理软件数据连接正常，能够在日常实验中正常工作。</w:t>
            </w:r>
            <w:r>
              <w:rPr>
                <w:rFonts w:hint="eastAsia" w:asciiTheme="minorEastAsia" w:hAnsiTheme="minorEastAsia" w:eastAsiaTheme="minorEastAsia" w:cstheme="minorEastAsia"/>
                <w:szCs w:val="21"/>
              </w:rPr>
              <w:drawing>
                <wp:anchor distT="0" distB="0" distL="114300" distR="114300" simplePos="0" relativeHeight="251661312" behindDoc="0" locked="0" layoutInCell="1" allowOverlap="1">
                  <wp:simplePos x="0" y="0"/>
                  <wp:positionH relativeFrom="column">
                    <wp:posOffset>7532370</wp:posOffset>
                  </wp:positionH>
                  <wp:positionV relativeFrom="paragraph">
                    <wp:posOffset>-4781550</wp:posOffset>
                  </wp:positionV>
                  <wp:extent cx="1628775" cy="1619250"/>
                  <wp:effectExtent l="0" t="0" r="0" b="0"/>
                  <wp:wrapNone/>
                  <wp:docPr id="1" name="图片 5" descr="C:\Users\Administrator\Documents\Tencent Files\993762690\Image\IEU~017(P_4N8${{9FXRQ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C:\Users\Administrator\Documents\Tencent Files\993762690\Image\IEU~017(P_4N8${{9FXRQF2.jpg"/>
                          <pic:cNvPicPr>
                            <a:picLocks noChangeAspect="1" noChangeArrowheads="1"/>
                          </pic:cNvPicPr>
                        </pic:nvPicPr>
                        <pic:blipFill>
                          <a:blip r:embed="rId5">
                            <a:clrChange>
                              <a:clrFrom>
                                <a:srgbClr val="FEFFFB"/>
                              </a:clrFrom>
                              <a:clrTo>
                                <a:srgbClr val="FEFFFB">
                                  <a:alpha val="0"/>
                                </a:srgbClr>
                              </a:clrTo>
                            </a:clrChange>
                            <a:extLst>
                              <a:ext uri="{28A0092B-C50C-407E-A947-70E740481C1C}">
                                <a14:useLocalDpi xmlns:a14="http://schemas.microsoft.com/office/drawing/2010/main" val="0"/>
                              </a:ext>
                            </a:extLst>
                          </a:blip>
                          <a:srcRect/>
                          <a:stretch>
                            <a:fillRect/>
                          </a:stretch>
                        </pic:blipFill>
                        <pic:spPr>
                          <a:xfrm>
                            <a:off x="0" y="0"/>
                            <a:ext cx="1628775" cy="1619250"/>
                          </a:xfrm>
                          <a:prstGeom prst="rect">
                            <a:avLst/>
                          </a:prstGeom>
                          <a:noFill/>
                          <a:ln>
                            <a:noFill/>
                          </a:ln>
                        </pic:spPr>
                      </pic:pic>
                    </a:graphicData>
                  </a:graphic>
                </wp:anchor>
              </w:drawing>
            </w:r>
          </w:p>
          <w:p w14:paraId="78BE2D7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auto"/>
                <w:szCs w:val="21"/>
                <w:lang w:val="en-US" w:eastAsia="zh-CN"/>
              </w:rPr>
              <w:t>三、其他要求：</w:t>
            </w:r>
          </w:p>
          <w:p w14:paraId="1F026D5A">
            <w:pPr>
              <w:numPr>
                <w:ilvl w:val="0"/>
                <w:numId w:val="0"/>
              </w:numPr>
              <w:ind w:leftChars="0"/>
              <w:rPr>
                <w:rFonts w:hint="eastAsia" w:ascii="宋体" w:hAnsi="宋体" w:eastAsia="宋体" w:cs="宋体"/>
                <w:szCs w:val="21"/>
                <w:lang w:val="en-US" w:eastAsia="zh-CN"/>
              </w:rPr>
            </w:pPr>
            <w:r>
              <w:rPr>
                <w:rFonts w:hint="eastAsia" w:asciiTheme="minorEastAsia" w:hAnsiTheme="minorEastAsia" w:eastAsiaTheme="minorEastAsia" w:cstheme="minorEastAsia"/>
                <w:b w:val="0"/>
                <w:bCs w:val="0"/>
                <w:color w:val="auto"/>
                <w:szCs w:val="21"/>
                <w:lang w:val="en-US" w:eastAsia="zh-CN"/>
              </w:rPr>
              <w:t>1.响应供应商委派的</w:t>
            </w:r>
            <w:r>
              <w:rPr>
                <w:rFonts w:hint="eastAsia" w:asciiTheme="minorEastAsia" w:hAnsiTheme="minorEastAsia" w:eastAsiaTheme="minorEastAsia" w:cstheme="minorEastAsia"/>
                <w:color w:val="auto"/>
                <w:sz w:val="21"/>
                <w:szCs w:val="21"/>
                <w:highlight w:val="none"/>
                <w:lang w:val="en-US" w:eastAsia="zh-CN"/>
              </w:rPr>
              <w:t>维保工程师须提供参加该设备厂家的培训证明材料（设备生产厂家：北京汉泰旭和生物科技有限公司），响应文件中须提供相关证明材料。</w:t>
            </w:r>
          </w:p>
        </w:tc>
        <w:tc>
          <w:tcPr>
            <w:tcW w:w="70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南宁中心血站2025年Hemotype全自动血型分析仪维保服务</w:t>
            </w:r>
          </w:p>
        </w:tc>
        <w:tc>
          <w:tcPr>
            <w:tcW w:w="22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4B945C79">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合同签订期：</w:t>
            </w:r>
            <w:r>
              <w:rPr>
                <w:rFonts w:hint="eastAsia"/>
                <w:color w:val="auto"/>
                <w:sz w:val="21"/>
                <w:szCs w:val="21"/>
                <w:highlight w:val="none"/>
                <w:lang w:val="en-US" w:eastAsia="zh-CN"/>
              </w:rPr>
              <w:t>自采购结果公告结束之日起25日内。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服务期限：</w:t>
            </w:r>
            <w:r>
              <w:rPr>
                <w:rFonts w:hint="eastAsia" w:eastAsia="宋体"/>
                <w:color w:val="auto"/>
                <w:sz w:val="21"/>
                <w:szCs w:val="21"/>
                <w:highlight w:val="none"/>
                <w:lang w:val="en-US" w:eastAsia="zh-CN"/>
              </w:rPr>
              <w:t>自合同签订之日起一年。</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b/>
                <w:bCs/>
                <w:color w:val="auto"/>
                <w:sz w:val="21"/>
                <w:szCs w:val="21"/>
                <w:highlight w:val="none"/>
                <w:lang w:val="en-US" w:eastAsia="zh-CN"/>
              </w:rPr>
              <w:t>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31EADA4A">
            <w:pPr>
              <w:pStyle w:val="40"/>
              <w:rPr>
                <w:rFonts w:hint="eastAsia" w:hAnsi="宋体" w:cs="宋体"/>
                <w:szCs w:val="21"/>
                <w:lang w:val="en-US" w:eastAsia="zh-CN"/>
              </w:rPr>
            </w:pPr>
            <w:r>
              <w:rPr>
                <w:rFonts w:hint="eastAsia"/>
                <w:b/>
                <w:bCs/>
                <w:color w:val="auto"/>
                <w:sz w:val="21"/>
                <w:szCs w:val="21"/>
                <w:highlight w:val="none"/>
                <w:lang w:val="en-US" w:eastAsia="zh-CN"/>
              </w:rPr>
              <w:t>服务地点：</w:t>
            </w:r>
            <w:r>
              <w:rPr>
                <w:rFonts w:hint="eastAsia"/>
                <w:color w:val="auto"/>
                <w:sz w:val="21"/>
                <w:szCs w:val="21"/>
                <w:highlight w:val="none"/>
                <w:lang w:val="en-US" w:eastAsia="zh-CN"/>
              </w:rPr>
              <w:t>南宁中心血站指定地点。</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6FD7ADA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售后服务要求：</w:t>
            </w:r>
          </w:p>
          <w:p w14:paraId="6F5B697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val="0"/>
                <w:bCs w:val="0"/>
                <w:color w:val="auto"/>
                <w:sz w:val="21"/>
                <w:szCs w:val="21"/>
                <w:highlight w:val="none"/>
                <w:lang w:val="en-US" w:eastAsia="zh-CN"/>
              </w:rPr>
              <w:t>1.</w:t>
            </w:r>
            <w:r>
              <w:rPr>
                <w:rFonts w:hint="eastAsia"/>
                <w:color w:val="auto"/>
                <w:sz w:val="21"/>
                <w:szCs w:val="21"/>
                <w:highlight w:val="none"/>
                <w:lang w:val="en-US" w:eastAsia="zh-CN"/>
              </w:rPr>
              <w:t>质量保证期1年。</w:t>
            </w:r>
          </w:p>
          <w:p w14:paraId="3C0A6F90">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eastAsia="宋体" w:cs="Times New Roman"/>
                <w:b/>
                <w:bCs/>
                <w:kern w:val="2"/>
                <w:szCs w:val="21"/>
                <w:lang w:val="en-US" w:eastAsia="zh-CN" w:bidi="ar-SA"/>
              </w:rPr>
            </w:pPr>
            <w:r>
              <w:rPr>
                <w:rFonts w:hint="eastAsia"/>
                <w:color w:val="auto"/>
                <w:sz w:val="21"/>
                <w:szCs w:val="21"/>
                <w:highlight w:val="none"/>
                <w:lang w:val="en-US" w:eastAsia="zh-CN"/>
              </w:rPr>
              <w:t>2.</w:t>
            </w:r>
            <w:r>
              <w:rPr>
                <w:rFonts w:hint="eastAsia" w:ascii="宋体" w:hAnsi="宋体" w:eastAsia="宋体"/>
                <w:color w:val="auto"/>
                <w:szCs w:val="21"/>
                <w:highlight w:val="none"/>
              </w:rPr>
              <w:t>故障响应时间：设备在使用过程中发生问题，</w:t>
            </w:r>
            <w:r>
              <w:rPr>
                <w:rFonts w:hint="eastAsia" w:ascii="宋体" w:hAnsi="宋体"/>
                <w:color w:val="auto"/>
                <w:szCs w:val="21"/>
                <w:highlight w:val="none"/>
                <w:lang w:val="en-US" w:eastAsia="zh-CN"/>
              </w:rPr>
              <w:t>成交</w:t>
            </w:r>
            <w:r>
              <w:rPr>
                <w:rFonts w:hint="eastAsia" w:ascii="宋体" w:hAnsi="宋体" w:eastAsia="宋体"/>
                <w:color w:val="auto"/>
                <w:szCs w:val="21"/>
                <w:highlight w:val="none"/>
              </w:rPr>
              <w:t>供应商</w:t>
            </w:r>
            <w:r>
              <w:rPr>
                <w:rFonts w:hint="eastAsia" w:ascii="宋体" w:hAnsi="宋体" w:eastAsia="宋体"/>
                <w:color w:val="auto"/>
                <w:szCs w:val="21"/>
                <w:highlight w:val="none"/>
                <w:lang w:val="en-US" w:eastAsia="zh-CN"/>
              </w:rPr>
              <w:t>维保工程师</w:t>
            </w:r>
            <w:r>
              <w:rPr>
                <w:rFonts w:hint="eastAsia" w:ascii="宋体" w:hAnsi="宋体" w:eastAsia="宋体"/>
                <w:color w:val="auto"/>
                <w:szCs w:val="21"/>
                <w:highlight w:val="none"/>
              </w:rPr>
              <w:t>在接到</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通知后2小时响应，24小时内到达</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现场解决处理。</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8FD7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1BB1B84">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6836762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其他要求：</w:t>
            </w:r>
            <w:r>
              <w:rPr>
                <w:rFonts w:hint="eastAsia"/>
                <w:color w:val="auto"/>
                <w:sz w:val="21"/>
                <w:szCs w:val="21"/>
                <w:highlight w:val="none"/>
                <w:lang w:val="en-US" w:eastAsia="zh-CN"/>
              </w:rPr>
              <w:t xml:space="preserve">                                                                                                                                                            </w:t>
            </w:r>
          </w:p>
          <w:p w14:paraId="4B41BCD0">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1.报价必须含以下部分，包括：</w:t>
            </w:r>
          </w:p>
          <w:p w14:paraId="5DC013D5">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（1）服务的价格；</w:t>
            </w:r>
          </w:p>
          <w:p w14:paraId="3BBAD84E">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（2）必要的保险费用和各项税金；</w:t>
            </w:r>
          </w:p>
          <w:p w14:paraId="693359B6">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Cs w:val="21"/>
                <w:highlight w:val="none"/>
                <w:lang w:eastAsia="zh-CN"/>
              </w:rPr>
            </w:pPr>
            <w:r>
              <w:rPr>
                <w:rFonts w:hint="eastAsia"/>
                <w:color w:val="auto"/>
                <w:sz w:val="21"/>
                <w:szCs w:val="21"/>
                <w:highlight w:val="none"/>
                <w:lang w:val="en-US" w:eastAsia="zh-CN"/>
              </w:rPr>
              <w:t>（3）</w:t>
            </w:r>
            <w:r>
              <w:rPr>
                <w:rFonts w:hint="eastAsia"/>
                <w:color w:val="auto"/>
                <w:szCs w:val="21"/>
                <w:highlight w:val="none"/>
              </w:rPr>
              <w:t>服务期内所需的标准附件、备品备件、专用工具、数据接口等费用</w:t>
            </w:r>
            <w:r>
              <w:rPr>
                <w:rFonts w:hint="eastAsia"/>
                <w:color w:val="auto"/>
                <w:szCs w:val="21"/>
                <w:highlight w:val="none"/>
                <w:lang w:eastAsia="zh-CN"/>
              </w:rPr>
              <w:t>；</w:t>
            </w:r>
          </w:p>
          <w:p w14:paraId="39AA7238">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Cs w:val="21"/>
                <w:highlight w:val="none"/>
                <w:lang w:eastAsia="zh-CN"/>
              </w:rPr>
              <w:t>（</w:t>
            </w:r>
            <w:r>
              <w:rPr>
                <w:rFonts w:hint="eastAsia"/>
                <w:color w:val="auto"/>
                <w:szCs w:val="21"/>
                <w:highlight w:val="none"/>
                <w:lang w:val="en-US" w:eastAsia="zh-CN"/>
              </w:rPr>
              <w:t>4</w:t>
            </w:r>
            <w:r>
              <w:rPr>
                <w:rFonts w:hint="eastAsia"/>
                <w:color w:val="auto"/>
                <w:szCs w:val="21"/>
                <w:highlight w:val="none"/>
                <w:lang w:eastAsia="zh-CN"/>
              </w:rPr>
              <w:t>）</w:t>
            </w:r>
            <w:r>
              <w:rPr>
                <w:rFonts w:hint="eastAsia"/>
                <w:color w:val="auto"/>
                <w:sz w:val="21"/>
                <w:szCs w:val="21"/>
                <w:highlight w:val="none"/>
                <w:lang w:val="en-US" w:eastAsia="zh-CN"/>
              </w:rPr>
              <w:t>人工、交通、运输、装卸、安装、调试、培训、技术支持、售后服务、软件更新升级等费用。</w:t>
            </w:r>
          </w:p>
          <w:p w14:paraId="720FD8F0">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2.付款方式：</w:t>
            </w:r>
            <w:r>
              <w:rPr>
                <w:rFonts w:hint="eastAsia"/>
                <w:color w:val="auto"/>
                <w:szCs w:val="21"/>
                <w:highlight w:val="none"/>
              </w:rPr>
              <w:t>本项目合同签订后</w:t>
            </w:r>
            <w:r>
              <w:rPr>
                <w:rFonts w:hint="eastAsia"/>
                <w:color w:val="auto"/>
                <w:szCs w:val="21"/>
                <w:highlight w:val="none"/>
                <w:lang w:val="en-US" w:eastAsia="zh-CN"/>
              </w:rPr>
              <w:t>20</w:t>
            </w:r>
            <w:r>
              <w:rPr>
                <w:rFonts w:hint="eastAsia"/>
                <w:color w:val="auto"/>
                <w:szCs w:val="21"/>
                <w:highlight w:val="none"/>
              </w:rPr>
              <w:t>个工作日内采购人向成交供应商支付合同总额的50%，</w:t>
            </w:r>
            <w:r>
              <w:rPr>
                <w:rFonts w:hint="eastAsia"/>
                <w:color w:val="auto"/>
                <w:szCs w:val="21"/>
                <w:highlight w:val="none"/>
                <w:lang w:val="en-US" w:eastAsia="zh-CN"/>
              </w:rPr>
              <w:t>服务完成并</w:t>
            </w:r>
            <w:r>
              <w:rPr>
                <w:rFonts w:hint="eastAsia"/>
                <w:color w:val="auto"/>
                <w:szCs w:val="21"/>
                <w:highlight w:val="none"/>
              </w:rPr>
              <w:t>经采购人验收合格后</w:t>
            </w:r>
            <w:r>
              <w:rPr>
                <w:rFonts w:hint="eastAsia"/>
                <w:color w:val="auto"/>
                <w:szCs w:val="21"/>
                <w:highlight w:val="none"/>
                <w:lang w:val="en-US" w:eastAsia="zh-CN"/>
              </w:rPr>
              <w:t>20</w:t>
            </w:r>
            <w:r>
              <w:rPr>
                <w:rFonts w:hint="eastAsia"/>
                <w:color w:val="auto"/>
                <w:szCs w:val="21"/>
                <w:highlight w:val="none"/>
              </w:rPr>
              <w:t>个工作日内支付</w:t>
            </w:r>
            <w:r>
              <w:rPr>
                <w:rFonts w:hint="eastAsia"/>
                <w:color w:val="auto"/>
                <w:szCs w:val="21"/>
                <w:highlight w:val="none"/>
                <w:lang w:val="en-US" w:eastAsia="zh-CN"/>
              </w:rPr>
              <w:t>50</w:t>
            </w:r>
            <w:r>
              <w:rPr>
                <w:rFonts w:hint="eastAsia"/>
                <w:color w:val="auto"/>
                <w:szCs w:val="21"/>
                <w:highlight w:val="none"/>
              </w:rPr>
              <w:t>%合同款</w:t>
            </w:r>
            <w:r>
              <w:rPr>
                <w:rFonts w:hint="eastAsia" w:cs="Times New Roman"/>
                <w:color w:val="auto"/>
                <w:sz w:val="21"/>
                <w:szCs w:val="21"/>
                <w:highlight w:val="none"/>
                <w:lang w:val="en-US" w:eastAsia="zh-CN"/>
              </w:rPr>
              <w:t>（</w:t>
            </w:r>
            <w:r>
              <w:rPr>
                <w:rFonts w:hint="eastAsia"/>
                <w:color w:val="auto"/>
                <w:sz w:val="21"/>
                <w:szCs w:val="21"/>
                <w:highlight w:val="none"/>
                <w:lang w:val="en-US" w:eastAsia="zh-CN"/>
              </w:rPr>
              <w:t>付款前成交供应商须开具等额合规的增值税发票给到采购人）。</w:t>
            </w:r>
          </w:p>
          <w:p w14:paraId="0E52ED2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olor w:val="auto"/>
                <w:highlight w:val="none"/>
              </w:rPr>
            </w:pPr>
            <w:r>
              <w:rPr>
                <w:rFonts w:hint="eastAsia" w:ascii="宋体" w:hAnsi="宋体"/>
                <w:color w:val="auto"/>
                <w:highlight w:val="none"/>
                <w:lang w:val="en-US" w:eastAsia="zh-CN"/>
              </w:rPr>
              <w:t>3.</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6E2C1A38">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ascii="宋体" w:hAnsi="宋体"/>
                <w:color w:val="auto"/>
                <w:highlight w:val="none"/>
                <w:lang w:val="en-US" w:eastAsia="zh-CN"/>
              </w:rPr>
              <w:t>4.</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c>
          <w:tcPr>
            <w:tcW w:w="3312" w:type="dxa"/>
            <w:shd w:val="clear" w:color="auto" w:fill="auto"/>
            <w:vAlign w:val="center"/>
          </w:tcPr>
          <w:p w14:paraId="5CDB2BA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3D04EEC">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62A85093">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南宁中心血站2025年Hemotype全自动血型分析仪维保服务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w:t>
      </w:r>
      <w:r>
        <w:rPr>
          <w:rFonts w:hint="eastAsia" w:ascii="仿宋_GB2312" w:eastAsia="仿宋_GB2312"/>
          <w:color w:val="000000"/>
          <w:sz w:val="28"/>
          <w:szCs w:val="28"/>
          <w:lang w:val="en-US" w:eastAsia="zh-CN"/>
        </w:rPr>
        <w:t>签字</w:t>
      </w:r>
      <w:r>
        <w:rPr>
          <w:rFonts w:hint="eastAsia" w:ascii="仿宋_GB2312" w:eastAsia="仿宋_GB2312"/>
          <w:color w:val="000000"/>
          <w:sz w:val="28"/>
          <w:szCs w:val="28"/>
        </w:rPr>
        <w:t>：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3894DE-3515-41C8-8220-E723B50EFC55}"/>
  </w:font>
  <w:font w:name="Courier New">
    <w:panose1 w:val="02070309020205020404"/>
    <w:charset w:val="01"/>
    <w:family w:val="modern"/>
    <w:pitch w:val="default"/>
    <w:sig w:usb0="E0002EFF" w:usb1="C0007843" w:usb2="00000009" w:usb3="00000000" w:csb0="400001FF" w:csb1="FFFF0000"/>
    <w:embedRegular r:id="rId2" w:fontKey="{BA3EACD9-C854-4987-943F-8C0B77D98B9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E7D8A3A-75B4-4F95-A364-518619081B1D}"/>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094CC8A4-51B5-4A0F-8B88-41A984C397C0}"/>
  </w:font>
  <w:font w:name="仿宋_GB2312">
    <w:panose1 w:val="02010609030101010101"/>
    <w:charset w:val="86"/>
    <w:family w:val="modern"/>
    <w:pitch w:val="default"/>
    <w:sig w:usb0="00000001" w:usb1="080E0000" w:usb2="00000000" w:usb3="00000000" w:csb0="00040000" w:csb1="00000000"/>
    <w:embedRegular r:id="rId5" w:fontKey="{5D5C0A42-7111-478D-88D5-4334DD763A84}"/>
  </w:font>
  <w:font w:name="Lucida Sans Unicode">
    <w:panose1 w:val="020B0602030504020204"/>
    <w:charset w:val="00"/>
    <w:family w:val="swiss"/>
    <w:pitch w:val="default"/>
    <w:sig w:usb0="80001AFF" w:usb1="0000396B" w:usb2="00000000" w:usb3="00000000" w:csb0="200000BF" w:csb1="D7F70000"/>
    <w:embedRegular r:id="rId6" w:fontKey="{5E03FD1B-6537-435F-906B-06A6BD45F538}"/>
  </w:font>
  <w:font w:name="方正楷体_GB2312">
    <w:panose1 w:val="02000000000000000000"/>
    <w:charset w:val="86"/>
    <w:family w:val="auto"/>
    <w:pitch w:val="default"/>
    <w:sig w:usb0="A00002BF" w:usb1="184F6CFA" w:usb2="00000012" w:usb3="00000000" w:csb0="00040001" w:csb1="00000000"/>
    <w:embedRegular r:id="rId7" w:fontKey="{C76B7A7E-652A-4906-8644-2E867614EDA9}"/>
  </w:font>
  <w:font w:name="仿宋">
    <w:panose1 w:val="02010609060101010101"/>
    <w:charset w:val="86"/>
    <w:family w:val="modern"/>
    <w:pitch w:val="default"/>
    <w:sig w:usb0="800002BF" w:usb1="38CF7CFA" w:usb2="00000016" w:usb3="00000000" w:csb0="00040001" w:csb1="00000000"/>
    <w:embedRegular r:id="rId8" w:fontKey="{7AE3AF76-095B-4AF1-B89C-7305403791F4}"/>
  </w:font>
  <w:font w:name="Wingdings 2">
    <w:panose1 w:val="05020102010507070707"/>
    <w:charset w:val="02"/>
    <w:family w:val="roman"/>
    <w:pitch w:val="default"/>
    <w:sig w:usb0="00000000" w:usb1="00000000" w:usb2="00000000" w:usb3="00000000" w:csb0="80000000" w:csb1="00000000"/>
    <w:embedRegular r:id="rId9" w:fontKey="{C6664817-D985-42DD-A8A3-96B31E6A44FE}"/>
  </w:font>
  <w:font w:name="方正公文小标宋">
    <w:panose1 w:val="02000500000000000000"/>
    <w:charset w:val="86"/>
    <w:family w:val="auto"/>
    <w:pitch w:val="default"/>
    <w:sig w:usb0="A00002BF" w:usb1="38CF7CFA" w:usb2="00000016" w:usb3="00000000" w:csb0="00040001" w:csb1="00000000"/>
    <w:embedRegular r:id="rId10" w:fontKey="{CAB7B859-F5E4-4596-99C2-F7BD50D903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4D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C52CD"/>
    <w:rsid w:val="017E0DD8"/>
    <w:rsid w:val="017E6F26"/>
    <w:rsid w:val="01D470D9"/>
    <w:rsid w:val="020359F8"/>
    <w:rsid w:val="020E2058"/>
    <w:rsid w:val="026A11F2"/>
    <w:rsid w:val="026B1259"/>
    <w:rsid w:val="02A974D3"/>
    <w:rsid w:val="02D74B40"/>
    <w:rsid w:val="02DE5ECF"/>
    <w:rsid w:val="02E20FEB"/>
    <w:rsid w:val="02E806FA"/>
    <w:rsid w:val="02F15A46"/>
    <w:rsid w:val="030E53F6"/>
    <w:rsid w:val="031B2C7F"/>
    <w:rsid w:val="0350496E"/>
    <w:rsid w:val="03670C57"/>
    <w:rsid w:val="036E7521"/>
    <w:rsid w:val="037B196F"/>
    <w:rsid w:val="03812469"/>
    <w:rsid w:val="03937D91"/>
    <w:rsid w:val="03B22EB1"/>
    <w:rsid w:val="04581029"/>
    <w:rsid w:val="046C750A"/>
    <w:rsid w:val="04745E76"/>
    <w:rsid w:val="047A748A"/>
    <w:rsid w:val="04E92909"/>
    <w:rsid w:val="05040F0B"/>
    <w:rsid w:val="05154836"/>
    <w:rsid w:val="055A5762"/>
    <w:rsid w:val="05B91908"/>
    <w:rsid w:val="06B52E78"/>
    <w:rsid w:val="06B7794F"/>
    <w:rsid w:val="06D71CF0"/>
    <w:rsid w:val="070A427A"/>
    <w:rsid w:val="07D85F5F"/>
    <w:rsid w:val="07D97ECC"/>
    <w:rsid w:val="080C7F89"/>
    <w:rsid w:val="08517143"/>
    <w:rsid w:val="09895AEA"/>
    <w:rsid w:val="099A6426"/>
    <w:rsid w:val="09F76FDB"/>
    <w:rsid w:val="0A10535E"/>
    <w:rsid w:val="0A36039E"/>
    <w:rsid w:val="0B185CF6"/>
    <w:rsid w:val="0B496710"/>
    <w:rsid w:val="0B656E1E"/>
    <w:rsid w:val="0B8E420A"/>
    <w:rsid w:val="0BAE21B6"/>
    <w:rsid w:val="0C0A5403"/>
    <w:rsid w:val="0C145497"/>
    <w:rsid w:val="0C1A03FD"/>
    <w:rsid w:val="0C1C2A4F"/>
    <w:rsid w:val="0C566CF0"/>
    <w:rsid w:val="0CA400F0"/>
    <w:rsid w:val="0D013620"/>
    <w:rsid w:val="0D083FB4"/>
    <w:rsid w:val="0D814026"/>
    <w:rsid w:val="0D941D88"/>
    <w:rsid w:val="0D950C99"/>
    <w:rsid w:val="0DBF3613"/>
    <w:rsid w:val="0DC81C4F"/>
    <w:rsid w:val="0DCD546C"/>
    <w:rsid w:val="0DCE6ECC"/>
    <w:rsid w:val="0E170543"/>
    <w:rsid w:val="0E810B5D"/>
    <w:rsid w:val="0E9F40E0"/>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98193E"/>
    <w:rsid w:val="11A66BE9"/>
    <w:rsid w:val="11BD2408"/>
    <w:rsid w:val="11CB1987"/>
    <w:rsid w:val="11D72467"/>
    <w:rsid w:val="12066C99"/>
    <w:rsid w:val="12114284"/>
    <w:rsid w:val="122F2B31"/>
    <w:rsid w:val="12456514"/>
    <w:rsid w:val="12A07ED9"/>
    <w:rsid w:val="12AB25F0"/>
    <w:rsid w:val="12C67FE1"/>
    <w:rsid w:val="12C7072D"/>
    <w:rsid w:val="12DA0857"/>
    <w:rsid w:val="13543637"/>
    <w:rsid w:val="13741F37"/>
    <w:rsid w:val="1377175D"/>
    <w:rsid w:val="137C0A6C"/>
    <w:rsid w:val="13CC212A"/>
    <w:rsid w:val="13D02F96"/>
    <w:rsid w:val="13E40E6B"/>
    <w:rsid w:val="146513D2"/>
    <w:rsid w:val="14DC1B42"/>
    <w:rsid w:val="151818CF"/>
    <w:rsid w:val="15410DBB"/>
    <w:rsid w:val="15D77522"/>
    <w:rsid w:val="15FF01DE"/>
    <w:rsid w:val="16022C53"/>
    <w:rsid w:val="1618239C"/>
    <w:rsid w:val="166F71B6"/>
    <w:rsid w:val="16921052"/>
    <w:rsid w:val="169A52DA"/>
    <w:rsid w:val="16DE11C9"/>
    <w:rsid w:val="16F969DB"/>
    <w:rsid w:val="176E046D"/>
    <w:rsid w:val="177D28D5"/>
    <w:rsid w:val="18504D21"/>
    <w:rsid w:val="186E51A7"/>
    <w:rsid w:val="18A92683"/>
    <w:rsid w:val="18B072E8"/>
    <w:rsid w:val="18ED07C2"/>
    <w:rsid w:val="19A5109C"/>
    <w:rsid w:val="19CF6178"/>
    <w:rsid w:val="1A6D6D72"/>
    <w:rsid w:val="1A73374A"/>
    <w:rsid w:val="1AF914A3"/>
    <w:rsid w:val="1B1F4E7E"/>
    <w:rsid w:val="1B2F36F2"/>
    <w:rsid w:val="1B5C39DD"/>
    <w:rsid w:val="1B7B31E3"/>
    <w:rsid w:val="1C1D13BE"/>
    <w:rsid w:val="1C6D0874"/>
    <w:rsid w:val="1C890801"/>
    <w:rsid w:val="1C9C7248"/>
    <w:rsid w:val="1C9D2311"/>
    <w:rsid w:val="1CFD0F69"/>
    <w:rsid w:val="1D0D530F"/>
    <w:rsid w:val="1D1B7434"/>
    <w:rsid w:val="1D4A6F57"/>
    <w:rsid w:val="1D5F1ADA"/>
    <w:rsid w:val="1D621B51"/>
    <w:rsid w:val="1D787EB6"/>
    <w:rsid w:val="1E0740D4"/>
    <w:rsid w:val="1E4569AA"/>
    <w:rsid w:val="1E4824ED"/>
    <w:rsid w:val="1E4E1501"/>
    <w:rsid w:val="1E5B2BDA"/>
    <w:rsid w:val="1E61668F"/>
    <w:rsid w:val="1E6848B0"/>
    <w:rsid w:val="1E8F7D17"/>
    <w:rsid w:val="1EC97AD9"/>
    <w:rsid w:val="1F204D21"/>
    <w:rsid w:val="1F666BD8"/>
    <w:rsid w:val="1F9D6372"/>
    <w:rsid w:val="1FF06500"/>
    <w:rsid w:val="203B74FB"/>
    <w:rsid w:val="20850145"/>
    <w:rsid w:val="20EC5803"/>
    <w:rsid w:val="214055A5"/>
    <w:rsid w:val="214E63C4"/>
    <w:rsid w:val="21DC7625"/>
    <w:rsid w:val="21FF5741"/>
    <w:rsid w:val="2246657F"/>
    <w:rsid w:val="22794E74"/>
    <w:rsid w:val="22C20BF4"/>
    <w:rsid w:val="22D8603F"/>
    <w:rsid w:val="22DC5488"/>
    <w:rsid w:val="23251A24"/>
    <w:rsid w:val="239E592C"/>
    <w:rsid w:val="23DF7159"/>
    <w:rsid w:val="23E246A0"/>
    <w:rsid w:val="2453722F"/>
    <w:rsid w:val="246C3D73"/>
    <w:rsid w:val="24880C9A"/>
    <w:rsid w:val="24954A88"/>
    <w:rsid w:val="249917FE"/>
    <w:rsid w:val="24C95406"/>
    <w:rsid w:val="25030284"/>
    <w:rsid w:val="253A6EAF"/>
    <w:rsid w:val="2540611D"/>
    <w:rsid w:val="258106AA"/>
    <w:rsid w:val="25CD5AD7"/>
    <w:rsid w:val="25D9587B"/>
    <w:rsid w:val="25FC2044"/>
    <w:rsid w:val="270A6969"/>
    <w:rsid w:val="271355A6"/>
    <w:rsid w:val="27207FB4"/>
    <w:rsid w:val="27253CD1"/>
    <w:rsid w:val="27392E24"/>
    <w:rsid w:val="27400126"/>
    <w:rsid w:val="2758774E"/>
    <w:rsid w:val="277D0F63"/>
    <w:rsid w:val="27B45173"/>
    <w:rsid w:val="27B73849"/>
    <w:rsid w:val="27CA2CF9"/>
    <w:rsid w:val="284E6D01"/>
    <w:rsid w:val="28992885"/>
    <w:rsid w:val="293A3A09"/>
    <w:rsid w:val="29415831"/>
    <w:rsid w:val="294361DC"/>
    <w:rsid w:val="299C033F"/>
    <w:rsid w:val="29AB70CB"/>
    <w:rsid w:val="29B835FE"/>
    <w:rsid w:val="29E663CA"/>
    <w:rsid w:val="2A3A75DF"/>
    <w:rsid w:val="2A9B5BE2"/>
    <w:rsid w:val="2ABC38D2"/>
    <w:rsid w:val="2B006E0D"/>
    <w:rsid w:val="2B0C3671"/>
    <w:rsid w:val="2B1F337E"/>
    <w:rsid w:val="2B470615"/>
    <w:rsid w:val="2B852ADC"/>
    <w:rsid w:val="2BAA5280"/>
    <w:rsid w:val="2BAB4636"/>
    <w:rsid w:val="2BAD264D"/>
    <w:rsid w:val="2BB835CD"/>
    <w:rsid w:val="2BEE5268"/>
    <w:rsid w:val="2BF57C61"/>
    <w:rsid w:val="2C1C618D"/>
    <w:rsid w:val="2C5E1BD9"/>
    <w:rsid w:val="2C752B50"/>
    <w:rsid w:val="2C857A8F"/>
    <w:rsid w:val="2CED0939"/>
    <w:rsid w:val="2D29300D"/>
    <w:rsid w:val="2D7E5110"/>
    <w:rsid w:val="2DAC4EEC"/>
    <w:rsid w:val="2DD02A6D"/>
    <w:rsid w:val="2E314855"/>
    <w:rsid w:val="2E620CC5"/>
    <w:rsid w:val="2E921785"/>
    <w:rsid w:val="2EAF4022"/>
    <w:rsid w:val="2EB76AF9"/>
    <w:rsid w:val="2F002653"/>
    <w:rsid w:val="2F48454C"/>
    <w:rsid w:val="2F4A332F"/>
    <w:rsid w:val="2F4F58DB"/>
    <w:rsid w:val="2F5729E1"/>
    <w:rsid w:val="2F995907"/>
    <w:rsid w:val="2FC917E4"/>
    <w:rsid w:val="2FDD5A67"/>
    <w:rsid w:val="2FEC678F"/>
    <w:rsid w:val="30C243A0"/>
    <w:rsid w:val="30CA5427"/>
    <w:rsid w:val="311F752F"/>
    <w:rsid w:val="317B3C34"/>
    <w:rsid w:val="31DE6E0A"/>
    <w:rsid w:val="32476D3D"/>
    <w:rsid w:val="32A86C88"/>
    <w:rsid w:val="32B57CD5"/>
    <w:rsid w:val="32D54349"/>
    <w:rsid w:val="32FC2C44"/>
    <w:rsid w:val="334E7DB9"/>
    <w:rsid w:val="33557238"/>
    <w:rsid w:val="33743B62"/>
    <w:rsid w:val="33B45BC8"/>
    <w:rsid w:val="33F86541"/>
    <w:rsid w:val="340D0E15"/>
    <w:rsid w:val="34266DEB"/>
    <w:rsid w:val="34711E4F"/>
    <w:rsid w:val="34806536"/>
    <w:rsid w:val="34CF3F2A"/>
    <w:rsid w:val="34EA4438"/>
    <w:rsid w:val="34ED5335"/>
    <w:rsid w:val="35234768"/>
    <w:rsid w:val="35577297"/>
    <w:rsid w:val="35935DF5"/>
    <w:rsid w:val="359904C0"/>
    <w:rsid w:val="35A07B86"/>
    <w:rsid w:val="35AD02FE"/>
    <w:rsid w:val="35C3060D"/>
    <w:rsid w:val="35CA2F0A"/>
    <w:rsid w:val="36323860"/>
    <w:rsid w:val="37AF4D53"/>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372829"/>
    <w:rsid w:val="3B4220F7"/>
    <w:rsid w:val="3B687C2C"/>
    <w:rsid w:val="3B8F2E53"/>
    <w:rsid w:val="3BF06001"/>
    <w:rsid w:val="3BF55114"/>
    <w:rsid w:val="3C8D3860"/>
    <w:rsid w:val="3D3504B0"/>
    <w:rsid w:val="3D932B45"/>
    <w:rsid w:val="3DB13215"/>
    <w:rsid w:val="3DB73ABE"/>
    <w:rsid w:val="3DC47A8A"/>
    <w:rsid w:val="3E03620E"/>
    <w:rsid w:val="3E1758C2"/>
    <w:rsid w:val="3E201DB2"/>
    <w:rsid w:val="3E6F5651"/>
    <w:rsid w:val="3E7E2147"/>
    <w:rsid w:val="3EC14DCA"/>
    <w:rsid w:val="3EDF7B5A"/>
    <w:rsid w:val="3EE47657"/>
    <w:rsid w:val="3EF757D7"/>
    <w:rsid w:val="3F2D1E50"/>
    <w:rsid w:val="3F500F00"/>
    <w:rsid w:val="3F577D4D"/>
    <w:rsid w:val="3F794BDA"/>
    <w:rsid w:val="3F7A4F0B"/>
    <w:rsid w:val="3F884457"/>
    <w:rsid w:val="3FC0099F"/>
    <w:rsid w:val="400022D9"/>
    <w:rsid w:val="405E2277"/>
    <w:rsid w:val="4066074B"/>
    <w:rsid w:val="4071776E"/>
    <w:rsid w:val="40BA7421"/>
    <w:rsid w:val="40C357E1"/>
    <w:rsid w:val="40DE645B"/>
    <w:rsid w:val="41006C5D"/>
    <w:rsid w:val="41431D95"/>
    <w:rsid w:val="41455C40"/>
    <w:rsid w:val="41485D02"/>
    <w:rsid w:val="41585D4C"/>
    <w:rsid w:val="417116E0"/>
    <w:rsid w:val="41717D14"/>
    <w:rsid w:val="41727207"/>
    <w:rsid w:val="41A470D2"/>
    <w:rsid w:val="41C96E1B"/>
    <w:rsid w:val="41EC5C11"/>
    <w:rsid w:val="41F15AEE"/>
    <w:rsid w:val="426C3EBF"/>
    <w:rsid w:val="42E77DD1"/>
    <w:rsid w:val="436239D7"/>
    <w:rsid w:val="437E1E93"/>
    <w:rsid w:val="4384743B"/>
    <w:rsid w:val="43A318F9"/>
    <w:rsid w:val="43EF4389"/>
    <w:rsid w:val="44142A03"/>
    <w:rsid w:val="44147E9F"/>
    <w:rsid w:val="444D69AF"/>
    <w:rsid w:val="44616288"/>
    <w:rsid w:val="44942BEF"/>
    <w:rsid w:val="450F2962"/>
    <w:rsid w:val="452B1BA6"/>
    <w:rsid w:val="454C2B49"/>
    <w:rsid w:val="45533BC2"/>
    <w:rsid w:val="45570BED"/>
    <w:rsid w:val="456B4699"/>
    <w:rsid w:val="45D636A5"/>
    <w:rsid w:val="45E924B9"/>
    <w:rsid w:val="45EF323D"/>
    <w:rsid w:val="46523C26"/>
    <w:rsid w:val="466727DF"/>
    <w:rsid w:val="468365B4"/>
    <w:rsid w:val="46BB51AC"/>
    <w:rsid w:val="47287BC0"/>
    <w:rsid w:val="47CF0F0F"/>
    <w:rsid w:val="47E94795"/>
    <w:rsid w:val="483239E1"/>
    <w:rsid w:val="48883FAF"/>
    <w:rsid w:val="48A76385"/>
    <w:rsid w:val="48B26041"/>
    <w:rsid w:val="48D23774"/>
    <w:rsid w:val="48DD45D3"/>
    <w:rsid w:val="48E7672C"/>
    <w:rsid w:val="49575660"/>
    <w:rsid w:val="495E2059"/>
    <w:rsid w:val="49711AE2"/>
    <w:rsid w:val="49C23456"/>
    <w:rsid w:val="49CF5B75"/>
    <w:rsid w:val="49DE5B2D"/>
    <w:rsid w:val="4A193A85"/>
    <w:rsid w:val="4A2E27D8"/>
    <w:rsid w:val="4A4E1C54"/>
    <w:rsid w:val="4A601260"/>
    <w:rsid w:val="4ABF3808"/>
    <w:rsid w:val="4AF3150A"/>
    <w:rsid w:val="4B1459E0"/>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8B18DC"/>
    <w:rsid w:val="4DF146DD"/>
    <w:rsid w:val="4DF267BC"/>
    <w:rsid w:val="4E451EC7"/>
    <w:rsid w:val="4E810A89"/>
    <w:rsid w:val="4EFC3A63"/>
    <w:rsid w:val="4F0B33B8"/>
    <w:rsid w:val="4F161AE0"/>
    <w:rsid w:val="4F314F90"/>
    <w:rsid w:val="4F3D14EA"/>
    <w:rsid w:val="4F7B7196"/>
    <w:rsid w:val="4FEE5FA1"/>
    <w:rsid w:val="50113E8E"/>
    <w:rsid w:val="503B23C2"/>
    <w:rsid w:val="507B60D8"/>
    <w:rsid w:val="508825A3"/>
    <w:rsid w:val="50901C87"/>
    <w:rsid w:val="5099641F"/>
    <w:rsid w:val="511030CC"/>
    <w:rsid w:val="513B239A"/>
    <w:rsid w:val="513B7615"/>
    <w:rsid w:val="513D352F"/>
    <w:rsid w:val="51491D32"/>
    <w:rsid w:val="51EC7C20"/>
    <w:rsid w:val="51F779E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AF0706"/>
    <w:rsid w:val="58B629CB"/>
    <w:rsid w:val="59061BCE"/>
    <w:rsid w:val="593501E9"/>
    <w:rsid w:val="5939464F"/>
    <w:rsid w:val="59401951"/>
    <w:rsid w:val="5955576C"/>
    <w:rsid w:val="59DB7BE7"/>
    <w:rsid w:val="5A1E613F"/>
    <w:rsid w:val="5A345161"/>
    <w:rsid w:val="5A7C5CD2"/>
    <w:rsid w:val="5B2D3245"/>
    <w:rsid w:val="5B71396D"/>
    <w:rsid w:val="5B931DF4"/>
    <w:rsid w:val="5C7E485A"/>
    <w:rsid w:val="5C81097C"/>
    <w:rsid w:val="5C9D0CFB"/>
    <w:rsid w:val="5D1D0A42"/>
    <w:rsid w:val="5D3F5F0C"/>
    <w:rsid w:val="5D60281A"/>
    <w:rsid w:val="5D691D08"/>
    <w:rsid w:val="5DFB7A90"/>
    <w:rsid w:val="5DFC4103"/>
    <w:rsid w:val="5E833D61"/>
    <w:rsid w:val="5EE33FD4"/>
    <w:rsid w:val="5EE8083E"/>
    <w:rsid w:val="5F364BDB"/>
    <w:rsid w:val="5F415C3B"/>
    <w:rsid w:val="5F443AD7"/>
    <w:rsid w:val="5FBA24AA"/>
    <w:rsid w:val="5FE6797A"/>
    <w:rsid w:val="60884935"/>
    <w:rsid w:val="60DA4CC0"/>
    <w:rsid w:val="610A2A0F"/>
    <w:rsid w:val="61F52ED8"/>
    <w:rsid w:val="6213192F"/>
    <w:rsid w:val="62351865"/>
    <w:rsid w:val="62712A29"/>
    <w:rsid w:val="628801E0"/>
    <w:rsid w:val="62A15DCF"/>
    <w:rsid w:val="62EA185F"/>
    <w:rsid w:val="63267838"/>
    <w:rsid w:val="6342422C"/>
    <w:rsid w:val="635A3CB8"/>
    <w:rsid w:val="63957059"/>
    <w:rsid w:val="63F963E5"/>
    <w:rsid w:val="63FC425F"/>
    <w:rsid w:val="643F0D73"/>
    <w:rsid w:val="64AB5B13"/>
    <w:rsid w:val="64C61FC9"/>
    <w:rsid w:val="652345F2"/>
    <w:rsid w:val="65301DE2"/>
    <w:rsid w:val="654330B7"/>
    <w:rsid w:val="657D1B52"/>
    <w:rsid w:val="65F07FB2"/>
    <w:rsid w:val="65FA155C"/>
    <w:rsid w:val="660513DD"/>
    <w:rsid w:val="667523D3"/>
    <w:rsid w:val="669A57F2"/>
    <w:rsid w:val="669F3353"/>
    <w:rsid w:val="66B0019C"/>
    <w:rsid w:val="66C253BF"/>
    <w:rsid w:val="66F31915"/>
    <w:rsid w:val="674A2C89"/>
    <w:rsid w:val="67AC409C"/>
    <w:rsid w:val="67B56437"/>
    <w:rsid w:val="67E16738"/>
    <w:rsid w:val="68152516"/>
    <w:rsid w:val="68304FEE"/>
    <w:rsid w:val="683C7AA3"/>
    <w:rsid w:val="68446558"/>
    <w:rsid w:val="6848469A"/>
    <w:rsid w:val="68684D3C"/>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A53BB1"/>
    <w:rsid w:val="6BCA27F1"/>
    <w:rsid w:val="6BCE135A"/>
    <w:rsid w:val="6BE16838"/>
    <w:rsid w:val="6C091769"/>
    <w:rsid w:val="6C1903D8"/>
    <w:rsid w:val="6CD53279"/>
    <w:rsid w:val="6D0843F7"/>
    <w:rsid w:val="6D582834"/>
    <w:rsid w:val="6E1B3C31"/>
    <w:rsid w:val="6E8B3D8C"/>
    <w:rsid w:val="6ED1456E"/>
    <w:rsid w:val="6F0F7E78"/>
    <w:rsid w:val="6F15104E"/>
    <w:rsid w:val="6F8B7571"/>
    <w:rsid w:val="6FAA342C"/>
    <w:rsid w:val="7030084F"/>
    <w:rsid w:val="703B4AE4"/>
    <w:rsid w:val="70422316"/>
    <w:rsid w:val="70E90A8C"/>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D83CBF"/>
    <w:rsid w:val="72E8716C"/>
    <w:rsid w:val="732B5B1E"/>
    <w:rsid w:val="733358DA"/>
    <w:rsid w:val="742B6429"/>
    <w:rsid w:val="742C1037"/>
    <w:rsid w:val="744D3038"/>
    <w:rsid w:val="745C607B"/>
    <w:rsid w:val="748958E6"/>
    <w:rsid w:val="754E78EA"/>
    <w:rsid w:val="75897B79"/>
    <w:rsid w:val="75A64FAD"/>
    <w:rsid w:val="75B50BFA"/>
    <w:rsid w:val="75CC2D87"/>
    <w:rsid w:val="75EC276F"/>
    <w:rsid w:val="75ED062E"/>
    <w:rsid w:val="763E2A36"/>
    <w:rsid w:val="771466E3"/>
    <w:rsid w:val="77E127E7"/>
    <w:rsid w:val="77F36852"/>
    <w:rsid w:val="784309DA"/>
    <w:rsid w:val="78713252"/>
    <w:rsid w:val="7876107A"/>
    <w:rsid w:val="7877401B"/>
    <w:rsid w:val="787B5299"/>
    <w:rsid w:val="78BD69DE"/>
    <w:rsid w:val="78C67234"/>
    <w:rsid w:val="78CC1807"/>
    <w:rsid w:val="78CF6711"/>
    <w:rsid w:val="792579EC"/>
    <w:rsid w:val="792C5912"/>
    <w:rsid w:val="794475B3"/>
    <w:rsid w:val="799139C7"/>
    <w:rsid w:val="7A19098A"/>
    <w:rsid w:val="7AAD6DF1"/>
    <w:rsid w:val="7AD5460D"/>
    <w:rsid w:val="7AF4245F"/>
    <w:rsid w:val="7B430CF1"/>
    <w:rsid w:val="7B5E6224"/>
    <w:rsid w:val="7BEC1606"/>
    <w:rsid w:val="7C1867F4"/>
    <w:rsid w:val="7C4223E5"/>
    <w:rsid w:val="7C812D3F"/>
    <w:rsid w:val="7C9E3300"/>
    <w:rsid w:val="7CB41EA6"/>
    <w:rsid w:val="7CCD50DA"/>
    <w:rsid w:val="7CFA3D6A"/>
    <w:rsid w:val="7D0C0FF1"/>
    <w:rsid w:val="7D3C10E7"/>
    <w:rsid w:val="7D826DB8"/>
    <w:rsid w:val="7D9D65DA"/>
    <w:rsid w:val="7DA21751"/>
    <w:rsid w:val="7DBF4FA6"/>
    <w:rsid w:val="7E413C0D"/>
    <w:rsid w:val="7EE36A72"/>
    <w:rsid w:val="7EFF5D5B"/>
    <w:rsid w:val="7F193025"/>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522b5e73-cdf3-4729-a922-fc7d2aabb329</errorID>
      <errorWord>(</errorWord>
      <group>L1_Format</group>
      <groupName>格式问题</groupName>
      <ability>L2_HalfPunc</ability>
      <abilityName>全半角检查</abilityName>
      <candidateList>
        <item>（</item>
      </candidateList>
      <explain>文本全半角错误。</explain>
      <paraID>55D8E9DA</paraID>
      <start>10</start>
      <end>11</end>
      <status>unmodified</status>
      <modifiedWord/>
      <trackRevisions>false</trackRevisions>
    </reviewItem>
    <reviewItem>
      <errorID>c66b6472-23e3-4d5e-ae62-1be01d13a331</errorID>
      <errorWord>)</errorWord>
      <group>L1_Format</group>
      <groupName>格式问题</groupName>
      <ability>L2_HalfPunc</ability>
      <abilityName>全半角检查</abilityName>
      <candidateList>
        <item>）</item>
      </candidateList>
      <explain>文本全半角错误。</explain>
      <paraID>55D8E9DA</paraID>
      <start>14</start>
      <end>15</end>
      <status>unmodified</status>
      <modifiedWord/>
      <trackRevisions>false</trackRevisions>
    </reviewItem>
    <reviewItem>
      <errorID>7e7df207-35dc-4137-964e-659fcbcce2f7</errorID>
      <errorWord>:</errorWord>
      <group>L1_Format</group>
      <groupName>格式问题</groupName>
      <ability>L2_HalfPunc</ability>
      <abilityName>全半角检查</abilityName>
      <candidateList>
        <item>：</item>
      </candidateList>
      <explain>文本全半角错误。</explain>
      <paraID>4B693EA0</paraID>
      <start>6</start>
      <end>7</end>
      <status>unmodified</status>
      <modifiedWord/>
      <trackRevisions>false</trackRevisions>
    </reviewItem>
    <reviewItem>
      <errorID>2c14d656-a9f2-40bf-ada0-a3a382a30411</errorID>
      <errorWord>（二）、</errorWord>
      <group>L1_Punc</group>
      <groupName>标点问题</groupName>
      <ability>L2_Punc</ability>
      <abilityName>标点符号检查</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unmodified</status>
      <modifiedWord/>
      <trackRevisions>false</trackRevisions>
    </reviewItem>
    <reviewItem>
      <errorID>d96bfe5c-eeba-4415-b64e-63a78bb1247f</errorID>
      <errorWord>（三）、</errorWord>
      <group>L1_Punc</group>
      <groupName>标点问题</groupName>
      <ability>L2_Punc</ability>
      <abilityName>标点符号检查</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unmodified</status>
      <modifiedWord/>
      <trackRevisions>false</trackRevisions>
    </reviewItem>
    <reviewItem>
      <errorID>e7a0cbb1-98be-4029-9aee-06be8a7e1cfe</errorID>
      <errorWord>（四）、</errorWord>
      <group>L1_Punc</group>
      <groupName>标点问题</groupName>
      <ability>L2_Punc</ability>
      <abilityName>标点符号检查</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unmodified</status>
      <modifiedWord/>
      <trackRevisions>false</trackRevisions>
    </reviewItem>
    <reviewItem>
      <errorID>448dc15f-f78f-42c9-a06f-b420f39e35e2</errorID>
      <errorWord>记</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 70D7F61</paraID>
      <start>100</start>
      <end>101</end>
      <status>unmodified</status>
      <modifiedWord/>
      <trackRevisions>false</trackRevisions>
    </reviewItem>
    <reviewItem>
      <errorID>e95284f2-7bba-449b-9c24-28083e9f7b42</errorID>
      <errorWord>(</errorWord>
      <group>L1_Format</group>
      <groupName>格式问题</groupName>
      <ability>L2_HalfPunc</ability>
      <abilityName>全半角检查</abilityName>
      <candidateList>
        <item>（</item>
      </candidateList>
      <explain>文本全半角错误。</explain>
      <paraID>310B8657</paraID>
      <start>5</start>
      <end>6</end>
      <status>unmodified</status>
      <modifiedWord/>
      <trackRevisions>false</trackRevisions>
    </reviewItem>
    <reviewItem>
      <errorID>529e4b5b-9185-4936-adc8-3529778a65c5</errorID>
      <errorWord>)</errorWord>
      <group>L1_Format</group>
      <groupName>格式问题</groupName>
      <ability>L2_HalfPunc</ability>
      <abilityName>全半角检查</abilityName>
      <candidateList>
        <item>）</item>
      </candidateList>
      <explain>文本全半角错误。</explain>
      <paraID>310B8657</paraID>
      <start>11</start>
      <end>12</end>
      <status>unmodified</status>
      <modifiedWord/>
      <trackRevisions>false</trackRevisions>
    </reviewItem>
    <reviewItem>
      <errorID>64f42a65-b534-4c6d-94fe-25610a83c399</errorID>
      <errorWord>(</errorWord>
      <group>L1_Format</group>
      <groupName>格式问题</groupName>
      <ability>L2_HalfPunc</ability>
      <abilityName>全半角检查</abilityName>
      <candidateList>
        <item>（</item>
      </candidateList>
      <explain>文本全半角错误。</explain>
      <paraID>2377319B</paraID>
      <start>3</start>
      <end>4</end>
      <status>unmodified</status>
      <modifiedWord/>
      <trackRevisions>false</trackRevisions>
    </reviewItem>
    <reviewItem>
      <errorID>961f978a-2914-48c1-8a9a-41460f541719</errorID>
      <errorWord>)</errorWord>
      <group>L1_Format</group>
      <groupName>格式问题</groupName>
      <ability>L2_HalfPunc</ability>
      <abilityName>全半角检查</abilityName>
      <candidateList>
        <item>）</item>
      </candidateList>
      <explain>文本全半角错误。</explain>
      <paraID>2377319B</paraID>
      <start>7</start>
      <end>8</end>
      <status>unmodified</status>
      <modifiedWord/>
      <trackRevisions>false</trackRevisions>
    </reviewItem>
    <reviewItem>
      <errorID>72d6731c-5e60-4130-b917-6a5d088e1102</errorID>
      <errorWord>股东大会</errorWord>
      <group>L1_Word</group>
      <groupName>字词问题</groupName>
      <ability>L2_Typo</ability>
      <abilityName>字词错误</abilityName>
      <candidateList>
        <item>股东会</item>
      </candidateList>
      <explain/>
      <paraID>2068A9A3</paraID>
      <start>113</start>
      <end>117</end>
      <status>unmodified</status>
      <modifiedWord/>
      <trackRevisions>false</trackRevisions>
    </reviewItem>
    <reviewItem>
      <errorID>78ad16b3-7dc7-493d-a425-437c18b2f7c2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unmodified</status>
      <modifiedWord/>
      <trackRevisions>false</trackRevisions>
    </reviewItem>
    <reviewItem>
      <errorID>9fbfd26d-7a4a-40a8-b68c-d5b0ca4d69d6</errorID>
      <errorWord>记</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71652DD4</paraID>
      <start>100</start>
      <end>101</end>
      <status>unmodified</status>
      <modifiedWord/>
      <trackRevisions>false</trackRevisions>
    </reviewItem>
    <reviewItem>
      <errorID>1e8e67e1-7b3c-431b-b737-2924996731f0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unmodified</status>
      <modifiedWord/>
      <trackRevisions>false</trackRevisions>
    </reviewItem>
    <reviewItem>
      <errorID>c85be5dc-1209-4e0d-bd05-2c33537a1042</errorID>
      <errorWord>,</errorWord>
      <group>L1_Format</group>
      <groupName>格式问题</groupName>
      <ability>L2_HalfPunc</ability>
      <abilityName>全半角检查</abilityName>
      <candidateList>
        <item>，</item>
      </candidateList>
      <explain>文本全半角错误。</explain>
      <paraID>2382CED7</paraID>
      <start>113</start>
      <end>114</end>
      <status>unmodified</status>
      <modifiedWord/>
      <trackRevisions>false</trackRevisions>
    </reviewItem>
    <reviewItem>
      <errorID>1ed829aa-a655-460d-ab63-eddef1c0dce2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3906c835-5432-4515-b7b4-da2727670169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38a70b88-fabf-443c-8c41-3f0673a91fb8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3224b2cf-0185-4182-8cac-bbec12f66acc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c2ef5b33-a4ac-438a-bb1c-d41209fad06e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b641035b-757c-437c-8bf7-ca1537d3d784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acea455b-3c74-49be-9b0a-165bacad6f40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46180088-0e41-4162-b211-da6f9810de7e</errorID>
      <errorWord>;</errorWord>
      <group>L1_Format</group>
      <groupName>格式问题</groupName>
      <ability>L2_HalfPunc</ability>
      <abilityName>全半角检查</abilityName>
      <candidateList>
        <item>；</item>
      </candidateList>
      <explain>文本全半角错误。</explain>
      <paraID>41F1E835</paraID>
      <start>17</start>
      <end>18</end>
      <status>unmodified</status>
      <modifiedWord/>
      <trackRevisions>false</trackRevisions>
    </reviewItem>
    <reviewItem>
      <errorID>85061ff9-b1f0-4442-a246-577542c12045</errorID>
      <errorWord>传授</errorWord>
      <group>L1_Word</group>
      <groupName>字词问题</groupName>
      <ability>L2_Typo</ability>
      <abilityName>字词错误</abilityName>
      <candidateList>
        <item>传输</item>
      </candidateList>
      <explain/>
      <paraID>682D2DF5</paraID>
      <start>52</start>
      <end>54</end>
      <status>unmodified</status>
      <modifiedWord/>
      <trackRevisions>false</trackRevisions>
    </reviewItem>
    <reviewItem>
      <errorID>dd815abe-dceb-491e-9f08-502481add892</errorID>
      <errorWord>,</errorWord>
      <group>L1_Format</group>
      <groupName>格式问题</groupName>
      <ability>L2_HalfPunc</ability>
      <abilityName>全半角检查</abilityName>
      <candidateList>
        <item>，</item>
      </candidateList>
      <explain>文本全半角错误。</explain>
      <paraID>2D4ADCA8</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a85a70-da1d-4a7b-90fc-5e98b47c02d4}">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8332</Words>
  <Characters>8808</Characters>
  <Lines>39</Lines>
  <Paragraphs>11</Paragraphs>
  <TotalTime>3</TotalTime>
  <ScaleCrop>false</ScaleCrop>
  <LinksUpToDate>false</LinksUpToDate>
  <CharactersWithSpaces>9960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2025-12-03T03:01:56Z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