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30464D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项目名称：南宁中心血站朝阳捐血屋（机采）文化建设服务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249BB2A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南宁中心血站朝阳捐血屋（机采）文化建设服务采购公告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南宁中心血站按照采购计划，对南宁中心血站朝阳捐血屋（机采）文化建设服务进行采购，现就该项目邀请具有资质的单位进行响应，采购信息如下：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w:t>
      </w:r>
      <w:r>
        <w:rPr>
          <w:rFonts w:hint="eastAsia" w:ascii="仿宋_GB2312" w:hAnsi="Courier New" w:eastAsia="仿宋_GB2312" w:cs="Courier New"/>
          <w:color w:val="000000"/>
          <w:kern w:val="0"/>
          <w:sz w:val="32"/>
          <w:szCs w:val="32"/>
          <w:lang w:val="en-US" w:eastAsia="zh-CN"/>
        </w:rPr>
        <w:t>068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项目名称：南宁中心血站朝阳捐血屋（机采）文化建设服务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伍万元整（￥50000.00）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伍万元整（￥50000.00）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提供采购需求一览表中要求提供的材料；</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提供相应的服务方案、类似业绩及服务能力水平等有关证明材料（格式自拟，如有请提供）。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3" w:firstLineChars="200"/>
        <w:jc w:val="left"/>
        <w:textAlignment w:val="auto"/>
        <w:rPr>
          <w:rFonts w:hint="eastAsia" w:ascii="仿宋_GB2312" w:hAnsi="仿宋_GB2312" w:eastAsia="仿宋_GB2312" w:cs="仿宋_GB2312"/>
          <w:b/>
          <w:bCs/>
          <w:color w:val="auto"/>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六、</w:t>
      </w:r>
      <w:r>
        <w:rPr>
          <w:rFonts w:hint="eastAsia" w:ascii="仿宋_GB2312" w:hAnsi="仿宋_GB2312" w:eastAsia="仿宋_GB2312" w:cs="仿宋_GB2312"/>
          <w:b/>
          <w:bCs/>
          <w:color w:val="auto"/>
          <w:kern w:val="0"/>
          <w:sz w:val="32"/>
          <w:szCs w:val="32"/>
          <w:lang w:val="en-US" w:eastAsia="zh-CN"/>
        </w:rPr>
        <w:t>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（一）现场踏勘时间：2025年12月8日10:00时；</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（二）踏勘地址：南宁市兴宁区民生街道新华路5号卫生大厦一层朝阳捐血屋（机采）；</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（三）我站对是否现场踏勘不做强制要求，响应供应商可根据自身情况选择是否现场踏勘；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en-US" w:eastAsia="zh-CN"/>
        </w:rPr>
        <w:t>（四）供应商代表持单位授权书（格式自拟）、个人有效身份证原件前往；</w:t>
      </w:r>
    </w:p>
    <w:p w14:paraId="270550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黑体" w:hAnsi="黑体" w:eastAsia="黑体" w:cs="黑体"/>
          <w:color w:val="000000"/>
          <w:kern w:val="0"/>
          <w:sz w:val="32"/>
          <w:szCs w:val="32"/>
          <w:lang w:val="en-US" w:eastAsia="zh-CN"/>
        </w:rPr>
      </w:pPr>
      <w:r>
        <w:rPr>
          <w:rFonts w:hint="eastAsia" w:ascii="仿宋_GB2312" w:hAnsi="Courier New" w:eastAsia="仿宋_GB2312" w:cs="Courier New"/>
          <w:color w:val="auto"/>
          <w:kern w:val="0"/>
          <w:sz w:val="32"/>
          <w:szCs w:val="32"/>
          <w:lang w:val="en-US" w:eastAsia="zh-CN"/>
        </w:rPr>
        <w:t>（五）为保证踏勘顺利，响应供应商须提前报名，联系人：苏老师、罗老师，联系电话0771-3219687。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4</w:t>
      </w:r>
      <w:bookmarkStart w:id="16" w:name="_GoBack"/>
      <w:bookmarkEnd w:id="16"/>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DA7F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2932265">
      <w:pPr>
        <w:rPr>
          <w:rFonts w:hint="eastAsia" w:ascii="仿宋" w:hAnsi="仿宋" w:eastAsia="仿宋"/>
          <w:color w:val="auto"/>
          <w:sz w:val="30"/>
          <w:szCs w:val="30"/>
        </w:rPr>
      </w:pPr>
    </w:p>
    <w:p w14:paraId="41A9C632">
      <w:pPr>
        <w:rPr>
          <w:rFonts w:hint="eastAsia" w:ascii="仿宋" w:hAnsi="仿宋" w:eastAsia="仿宋"/>
          <w:color w:val="auto"/>
          <w:sz w:val="30"/>
          <w:szCs w:val="30"/>
        </w:rPr>
      </w:pPr>
    </w:p>
    <w:p w14:paraId="4BA1D2A4">
      <w:pPr>
        <w:rPr>
          <w:rFonts w:hint="eastAsia" w:ascii="仿宋" w:hAnsi="仿宋" w:eastAsia="仿宋"/>
          <w:color w:val="auto"/>
          <w:sz w:val="30"/>
          <w:szCs w:val="30"/>
        </w:rPr>
      </w:pPr>
    </w:p>
    <w:p w14:paraId="19C12DD2">
      <w:pPr>
        <w:rPr>
          <w:rFonts w:hint="eastAsia" w:ascii="仿宋" w:hAnsi="仿宋" w:eastAsia="仿宋"/>
          <w:color w:val="auto"/>
          <w:sz w:val="30"/>
          <w:szCs w:val="30"/>
        </w:rPr>
      </w:pPr>
    </w:p>
    <w:p w14:paraId="48095F0B">
      <w:pPr>
        <w:rPr>
          <w:rFonts w:hint="eastAsia" w:ascii="仿宋" w:hAnsi="仿宋" w:eastAsia="仿宋"/>
          <w:color w:val="auto"/>
          <w:sz w:val="30"/>
          <w:szCs w:val="30"/>
        </w:rPr>
      </w:pPr>
    </w:p>
    <w:p w14:paraId="03F84456">
      <w:pPr>
        <w:rPr>
          <w:rFonts w:hint="eastAsia" w:ascii="仿宋" w:hAnsi="仿宋" w:eastAsia="仿宋"/>
          <w:color w:val="auto"/>
          <w:sz w:val="30"/>
          <w:szCs w:val="30"/>
        </w:rPr>
      </w:pPr>
    </w:p>
    <w:p w14:paraId="10A7F856">
      <w:pPr>
        <w:rPr>
          <w:rFonts w:hint="eastAsia" w:ascii="仿宋" w:hAnsi="仿宋" w:eastAsia="仿宋"/>
          <w:color w:val="auto"/>
          <w:sz w:val="30"/>
          <w:szCs w:val="30"/>
        </w:rPr>
      </w:pPr>
    </w:p>
    <w:p w14:paraId="75B15884">
      <w:pPr>
        <w:rPr>
          <w:rFonts w:hint="eastAsia" w:ascii="仿宋" w:hAnsi="仿宋" w:eastAsia="仿宋"/>
          <w:color w:val="auto"/>
          <w:sz w:val="30"/>
          <w:szCs w:val="30"/>
        </w:rPr>
      </w:pPr>
    </w:p>
    <w:p w14:paraId="2BDB1E16">
      <w:pPr>
        <w:rPr>
          <w:rFonts w:hint="eastAsia" w:ascii="仿宋" w:hAnsi="仿宋" w:eastAsia="仿宋"/>
          <w:color w:val="auto"/>
          <w:sz w:val="30"/>
          <w:szCs w:val="30"/>
        </w:rPr>
      </w:pPr>
    </w:p>
    <w:p w14:paraId="348DFCEF">
      <w:pPr>
        <w:rPr>
          <w:rFonts w:hint="eastAsia" w:ascii="仿宋" w:hAnsi="仿宋" w:eastAsia="仿宋"/>
          <w:color w:val="auto"/>
          <w:sz w:val="30"/>
          <w:szCs w:val="30"/>
        </w:rPr>
      </w:pPr>
    </w:p>
    <w:p w14:paraId="3B131805">
      <w:pPr>
        <w:rPr>
          <w:rFonts w:hint="eastAsia" w:ascii="仿宋" w:hAnsi="仿宋" w:eastAsia="仿宋"/>
          <w:color w:val="auto"/>
          <w:sz w:val="30"/>
          <w:szCs w:val="30"/>
        </w:rPr>
      </w:pPr>
    </w:p>
    <w:p w14:paraId="0F74DB90">
      <w:pPr>
        <w:rPr>
          <w:rFonts w:hint="eastAsia" w:ascii="仿宋" w:hAnsi="仿宋" w:eastAsia="仿宋"/>
          <w:color w:val="auto"/>
          <w:sz w:val="30"/>
          <w:szCs w:val="30"/>
        </w:rPr>
      </w:pPr>
    </w:p>
    <w:p w14:paraId="254FBFEB">
      <w:pPr>
        <w:rPr>
          <w:rFonts w:hint="eastAsia" w:ascii="仿宋" w:hAnsi="仿宋" w:eastAsia="仿宋"/>
          <w:color w:val="auto"/>
          <w:sz w:val="30"/>
          <w:szCs w:val="30"/>
        </w:rPr>
      </w:pPr>
    </w:p>
    <w:p w14:paraId="1515C831">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hAnsi="宋体" w:eastAsia="宋体" w:cs="Times New Roman"/>
                <w:szCs w:val="21"/>
                <w:lang w:val="en-US" w:eastAsia="zh-CN"/>
              </w:rPr>
              <w:t>南宁中心血站朝阳捐血屋（机采）文化建设服务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78F44E87">
            <w:pPr>
              <w:rPr>
                <w:rFonts w:hint="default"/>
                <w:b/>
                <w:bCs/>
                <w:lang w:val="en-US" w:eastAsia="zh-CN"/>
              </w:rPr>
            </w:pPr>
            <w:r>
              <w:rPr>
                <w:rFonts w:hint="eastAsia"/>
                <w:b/>
                <w:bCs/>
                <w:lang w:val="en-US" w:eastAsia="zh-CN"/>
              </w:rPr>
              <w:t>一、文化建设设计服务</w:t>
            </w:r>
          </w:p>
          <w:p w14:paraId="491E80B9">
            <w:pPr>
              <w:rPr>
                <w:rFonts w:hint="default"/>
                <w:lang w:val="en-US" w:eastAsia="zh-CN"/>
              </w:rPr>
            </w:pPr>
            <w:r>
              <w:rPr>
                <w:rFonts w:hint="default"/>
                <w:lang w:val="en-US" w:eastAsia="zh-CN"/>
              </w:rPr>
              <w:t>1</w:t>
            </w:r>
            <w:r>
              <w:rPr>
                <w:rFonts w:hint="eastAsia"/>
                <w:lang w:val="en-US" w:eastAsia="zh-CN"/>
              </w:rPr>
              <w:t>.要求响应供应商</w:t>
            </w:r>
            <w:r>
              <w:rPr>
                <w:rFonts w:hint="default"/>
                <w:lang w:val="en-US" w:eastAsia="zh-CN"/>
              </w:rPr>
              <w:t>实地考察现场及周边环境，以</w:t>
            </w:r>
            <w:r>
              <w:rPr>
                <w:rFonts w:hint="eastAsia"/>
                <w:lang w:val="en-US" w:eastAsia="zh-CN"/>
              </w:rPr>
              <w:t>血液科普、献血文化</w:t>
            </w:r>
            <w:r>
              <w:rPr>
                <w:rFonts w:hint="default"/>
                <w:lang w:val="en-US" w:eastAsia="zh-CN"/>
              </w:rPr>
              <w:t>为主要内容，根据血站文化特征进行形象设计；</w:t>
            </w:r>
            <w:r>
              <w:rPr>
                <w:rFonts w:hint="eastAsia"/>
                <w:lang w:val="en-US" w:eastAsia="zh-CN"/>
              </w:rPr>
              <w:t>共分为四大区域，献血者休息区（含员工形象牌）、体检征询区（含青年文明号建设）、采血区、卫生间。设计范围共包含350平米。墙体材料设计面积约150平米（以实际测量和设计效果为最终结果）。</w:t>
            </w:r>
          </w:p>
          <w:p w14:paraId="77D51F37">
            <w:pPr>
              <w:rPr>
                <w:rFonts w:hint="eastAsia"/>
                <w:lang w:val="en-US" w:eastAsia="zh-CN"/>
              </w:rPr>
            </w:pPr>
            <w:r>
              <w:rPr>
                <w:rFonts w:hint="default"/>
                <w:lang w:val="en-US" w:eastAsia="zh-CN"/>
              </w:rPr>
              <w:t>2</w:t>
            </w:r>
            <w:r>
              <w:rPr>
                <w:rFonts w:hint="eastAsia"/>
                <w:lang w:val="en-US" w:eastAsia="zh-CN"/>
              </w:rPr>
              <w:t>.设计内容分区：青年文明号展示台，无偿献血科普知识，献血文化，卫生间和休息区的人文关怀标语等。</w:t>
            </w:r>
          </w:p>
          <w:p w14:paraId="1F237323">
            <w:pPr>
              <w:rPr>
                <w:rFonts w:hint="default"/>
                <w:lang w:val="en-US" w:eastAsia="zh-CN"/>
              </w:rPr>
            </w:pPr>
            <w:r>
              <w:rPr>
                <w:rFonts w:hint="eastAsia"/>
                <w:lang w:val="en-US" w:eastAsia="zh-CN"/>
              </w:rPr>
              <w:t>3.材料及配件：材料采用金属板、防火板、亚克力板、背光板等，科技设计上采用全息投影、触控互动屏、LED或人工智能等技术相融合。</w:t>
            </w:r>
          </w:p>
          <w:p w14:paraId="78433B05">
            <w:pPr>
              <w:rPr>
                <w:rFonts w:hint="default"/>
                <w:lang w:val="en-US" w:eastAsia="zh-CN"/>
              </w:rPr>
            </w:pPr>
            <w:r>
              <w:rPr>
                <w:rFonts w:hint="eastAsia"/>
                <w:lang w:val="en-US" w:eastAsia="zh-CN"/>
              </w:rPr>
              <w:t>4.设计风格：</w:t>
            </w:r>
            <w:r>
              <w:rPr>
                <w:rFonts w:hint="default"/>
                <w:lang w:val="en-US" w:eastAsia="zh-CN"/>
              </w:rPr>
              <w:t>活泼、开放，形式多样，凸显现代时尚感、立体感，集中展示血站精神和</w:t>
            </w:r>
            <w:r>
              <w:rPr>
                <w:rFonts w:hint="eastAsia"/>
                <w:lang w:val="en-US" w:eastAsia="zh-CN"/>
              </w:rPr>
              <w:t>青年文明号</w:t>
            </w:r>
            <w:r>
              <w:rPr>
                <w:rFonts w:hint="default"/>
                <w:lang w:val="en-US" w:eastAsia="zh-CN"/>
              </w:rPr>
              <w:t>风采；</w:t>
            </w:r>
            <w:r>
              <w:rPr>
                <w:rFonts w:hint="eastAsia"/>
                <w:lang w:val="en-US" w:eastAsia="zh-CN"/>
              </w:rPr>
              <w:t>搭配屋子的原木色调选择和谐、温馨、具有科技感色调；同时，设计当中要融入人工智能、现代科技等元素，</w:t>
            </w:r>
            <w:r>
              <w:rPr>
                <w:rFonts w:hint="default"/>
                <w:lang w:val="en-US" w:eastAsia="zh-CN"/>
              </w:rPr>
              <w:t>符合</w:t>
            </w:r>
            <w:r>
              <w:rPr>
                <w:rFonts w:hint="eastAsia"/>
                <w:lang w:val="en-US" w:eastAsia="zh-CN"/>
              </w:rPr>
              <w:t>血站</w:t>
            </w:r>
            <w:r>
              <w:rPr>
                <w:rFonts w:hint="default"/>
                <w:lang w:val="en-US" w:eastAsia="zh-CN"/>
              </w:rPr>
              <w:t>的性质和特色。</w:t>
            </w:r>
          </w:p>
          <w:p w14:paraId="76CDD006">
            <w:pPr>
              <w:rPr>
                <w:rFonts w:hint="eastAsia"/>
                <w:lang w:val="en-US" w:eastAsia="zh-CN"/>
              </w:rPr>
            </w:pPr>
            <w:r>
              <w:rPr>
                <w:rFonts w:hint="eastAsia"/>
                <w:lang w:val="en-US" w:eastAsia="zh-CN"/>
              </w:rPr>
              <w:t>5.设计要求兼顾以下：</w:t>
            </w:r>
          </w:p>
          <w:p w14:paraId="79B3A73F">
            <w:pPr>
              <w:rPr>
                <w:rFonts w:hint="default"/>
                <w:lang w:val="en-US" w:eastAsia="zh-CN"/>
              </w:rPr>
            </w:pPr>
            <w:r>
              <w:rPr>
                <w:rFonts w:hint="eastAsia"/>
                <w:lang w:val="en-US" w:eastAsia="zh-CN"/>
              </w:rPr>
              <w:t>（1）</w:t>
            </w:r>
            <w:r>
              <w:rPr>
                <w:rFonts w:hint="default"/>
                <w:lang w:val="en-US" w:eastAsia="zh-CN"/>
              </w:rPr>
              <w:t>时尚性</w:t>
            </w:r>
            <w:r>
              <w:rPr>
                <w:rFonts w:hint="eastAsia"/>
                <w:lang w:val="en-US" w:eastAsia="zh-CN"/>
              </w:rPr>
              <w:t>：要求</w:t>
            </w:r>
            <w:r>
              <w:rPr>
                <w:rFonts w:hint="default"/>
                <w:lang w:val="en-US" w:eastAsia="zh-CN"/>
              </w:rPr>
              <w:t>根据</w:t>
            </w:r>
            <w:r>
              <w:rPr>
                <w:rFonts w:hint="eastAsia"/>
                <w:lang w:val="en-US" w:eastAsia="zh-CN"/>
              </w:rPr>
              <w:t>血站文化</w:t>
            </w:r>
            <w:r>
              <w:rPr>
                <w:rFonts w:hint="default"/>
                <w:lang w:val="en-US" w:eastAsia="zh-CN"/>
              </w:rPr>
              <w:t>属性、特色，结合时代潮流元素审美设计，突出活力，传达“捐献热血，分享生命”的文化精神</w:t>
            </w:r>
            <w:r>
              <w:rPr>
                <w:rFonts w:hint="eastAsia"/>
                <w:lang w:val="en-US" w:eastAsia="zh-CN"/>
              </w:rPr>
              <w:t>，并能将“健康献血”的科普理念进行宣导</w:t>
            </w:r>
            <w:r>
              <w:rPr>
                <w:rFonts w:hint="default"/>
                <w:lang w:val="en-US" w:eastAsia="zh-CN"/>
              </w:rPr>
              <w:t xml:space="preserve">。                                  </w:t>
            </w:r>
          </w:p>
          <w:p w14:paraId="6DF62B5E">
            <w:pPr>
              <w:rPr>
                <w:rFonts w:hint="default"/>
                <w:lang w:val="en-US" w:eastAsia="zh-CN"/>
              </w:rPr>
            </w:pPr>
            <w:r>
              <w:rPr>
                <w:rFonts w:hint="eastAsia"/>
                <w:lang w:val="en-US" w:eastAsia="zh-CN"/>
              </w:rPr>
              <w:t>（2）</w:t>
            </w:r>
            <w:r>
              <w:rPr>
                <w:rFonts w:hint="default"/>
                <w:lang w:val="en-US" w:eastAsia="zh-CN"/>
              </w:rPr>
              <w:t>耐用性</w:t>
            </w:r>
            <w:r>
              <w:rPr>
                <w:rFonts w:hint="eastAsia"/>
                <w:lang w:val="en-US" w:eastAsia="zh-CN"/>
              </w:rPr>
              <w:t>：要求</w:t>
            </w:r>
            <w:r>
              <w:rPr>
                <w:rFonts w:hint="default"/>
                <w:lang w:val="en-US" w:eastAsia="zh-CN"/>
              </w:rPr>
              <w:t>所用材料经久耐用，采用新型墙面环保材料，易于后期维护或循环使用。</w:t>
            </w:r>
          </w:p>
          <w:p w14:paraId="68DF5043">
            <w:pPr>
              <w:rPr>
                <w:rFonts w:hint="default"/>
                <w:lang w:val="en-US" w:eastAsia="zh-CN"/>
              </w:rPr>
            </w:pPr>
            <w:r>
              <w:rPr>
                <w:rFonts w:hint="eastAsia"/>
                <w:lang w:val="en-US" w:eastAsia="zh-CN"/>
              </w:rPr>
              <w:t>（3）</w:t>
            </w:r>
            <w:r>
              <w:rPr>
                <w:rFonts w:hint="default"/>
                <w:lang w:val="en-US" w:eastAsia="zh-CN"/>
              </w:rPr>
              <w:t>标志性</w:t>
            </w:r>
            <w:r>
              <w:rPr>
                <w:rFonts w:hint="eastAsia"/>
                <w:lang w:val="en-US" w:eastAsia="zh-CN"/>
              </w:rPr>
              <w:t>：要求</w:t>
            </w:r>
            <w:r>
              <w:rPr>
                <w:rFonts w:hint="default"/>
                <w:lang w:val="en-US" w:eastAsia="zh-CN"/>
              </w:rPr>
              <w:t>形体上凸显血站的职责特征和文化精神。</w:t>
            </w:r>
          </w:p>
          <w:p w14:paraId="59C0CA6B">
            <w:pPr>
              <w:rPr>
                <w:rFonts w:hint="default"/>
                <w:lang w:val="en-US" w:eastAsia="zh-CN"/>
              </w:rPr>
            </w:pPr>
            <w:r>
              <w:rPr>
                <w:rFonts w:hint="eastAsia"/>
                <w:lang w:val="en-US" w:eastAsia="zh-CN"/>
              </w:rPr>
              <w:t>（4）</w:t>
            </w:r>
            <w:r>
              <w:rPr>
                <w:rFonts w:hint="default"/>
                <w:lang w:val="en-US" w:eastAsia="zh-CN"/>
              </w:rPr>
              <w:t>协调性</w:t>
            </w:r>
            <w:r>
              <w:rPr>
                <w:rFonts w:hint="eastAsia"/>
                <w:lang w:val="en-US" w:eastAsia="zh-CN"/>
              </w:rPr>
              <w:t>：要求设计</w:t>
            </w:r>
            <w:r>
              <w:rPr>
                <w:rFonts w:hint="default"/>
                <w:lang w:val="en-US" w:eastAsia="zh-CN"/>
              </w:rPr>
              <w:t>不突兀，不违和，主题和整体版式造型融入环境，画面内容得以延展，使</w:t>
            </w:r>
            <w:r>
              <w:rPr>
                <w:rFonts w:hint="eastAsia"/>
                <w:lang w:val="en-US" w:eastAsia="zh-CN"/>
              </w:rPr>
              <w:t>血站</w:t>
            </w:r>
            <w:r>
              <w:rPr>
                <w:rFonts w:hint="default"/>
                <w:lang w:val="en-US" w:eastAsia="zh-CN"/>
              </w:rPr>
              <w:t>文化精神、内涵得以升华。</w:t>
            </w:r>
          </w:p>
          <w:p w14:paraId="563ABE3E">
            <w:pPr>
              <w:rPr>
                <w:rFonts w:hint="default"/>
                <w:lang w:val="en-US" w:eastAsia="zh-CN"/>
              </w:rPr>
            </w:pPr>
            <w:r>
              <w:rPr>
                <w:rFonts w:hint="eastAsia"/>
                <w:lang w:val="en-US" w:eastAsia="zh-CN"/>
              </w:rPr>
              <w:t>（5）互动性：要求设计上要体现互动感，采取一些灵活的呈现方式。</w:t>
            </w:r>
          </w:p>
          <w:p w14:paraId="4B333AE1">
            <w:pPr>
              <w:rPr>
                <w:rFonts w:hint="default"/>
                <w:b/>
                <w:bCs/>
                <w:lang w:val="en-US" w:eastAsia="zh-CN"/>
              </w:rPr>
            </w:pPr>
            <w:r>
              <w:rPr>
                <w:rFonts w:hint="eastAsia"/>
                <w:b/>
                <w:bCs/>
                <w:lang w:val="en-US" w:eastAsia="zh-CN"/>
              </w:rPr>
              <w:t>二、文化建设产品制作及实施服务</w:t>
            </w:r>
          </w:p>
          <w:p w14:paraId="67399160">
            <w:pPr>
              <w:rPr>
                <w:rFonts w:hint="default"/>
                <w:lang w:val="en-US" w:eastAsia="zh-CN"/>
              </w:rPr>
            </w:pPr>
            <w:r>
              <w:rPr>
                <w:rFonts w:hint="eastAsia"/>
                <w:lang w:val="en-US" w:eastAsia="zh-CN"/>
              </w:rPr>
              <w:t>1.根据采购人要求提供朝阳捐血屋（机采）文化产品设计方案，并按采购人确认的设计方案及材料要求进行制作朝阳捐血屋（机采）</w:t>
            </w:r>
            <w:r>
              <w:rPr>
                <w:rFonts w:hint="default"/>
                <w:lang w:val="en-US" w:eastAsia="zh-CN"/>
              </w:rPr>
              <w:t>文化</w:t>
            </w:r>
            <w:r>
              <w:rPr>
                <w:rFonts w:hint="eastAsia"/>
                <w:lang w:val="en-US" w:eastAsia="zh-CN"/>
              </w:rPr>
              <w:t>产品。</w:t>
            </w:r>
          </w:p>
          <w:p w14:paraId="47D78A1B">
            <w:pPr>
              <w:rPr>
                <w:rFonts w:hint="eastAsia"/>
                <w:lang w:val="en-US" w:eastAsia="zh-CN"/>
              </w:rPr>
            </w:pPr>
            <w:r>
              <w:rPr>
                <w:rFonts w:hint="eastAsia"/>
                <w:lang w:val="en-US" w:eastAsia="zh-CN"/>
              </w:rPr>
              <w:t>2.施工产品面积约150平米，要求至少具备科技设备2种。</w:t>
            </w:r>
          </w:p>
          <w:p w14:paraId="3A7160FF">
            <w:pPr>
              <w:rPr>
                <w:rFonts w:hint="eastAsia"/>
                <w:lang w:val="en-US" w:eastAsia="zh-CN"/>
              </w:rPr>
            </w:pPr>
            <w:r>
              <w:rPr>
                <w:rFonts w:hint="eastAsia"/>
                <w:lang w:val="en-US" w:eastAsia="zh-CN"/>
              </w:rPr>
              <w:t>3.施工的材料须达到以下要求：</w:t>
            </w:r>
          </w:p>
          <w:p w14:paraId="629CFBF7">
            <w:pPr>
              <w:rPr>
                <w:rFonts w:hint="eastAsia"/>
                <w:lang w:val="en-US" w:eastAsia="zh-CN"/>
              </w:rPr>
            </w:pPr>
            <w:r>
              <w:rPr>
                <w:rFonts w:hint="eastAsia"/>
                <w:lang w:val="en-US" w:eastAsia="zh-CN"/>
              </w:rPr>
              <w:t>（1）安全合规：</w:t>
            </w:r>
          </w:p>
          <w:p w14:paraId="0D35BF2E">
            <w:pPr>
              <w:rPr>
                <w:rFonts w:hint="default"/>
                <w:lang w:val="en-US" w:eastAsia="zh-CN"/>
              </w:rPr>
            </w:pPr>
            <w:r>
              <w:rPr>
                <w:rFonts w:hint="eastAsia" w:ascii="宋体" w:hAnsi="宋体" w:eastAsia="宋体" w:cs="宋体"/>
                <w:lang w:val="en-US" w:eastAsia="zh-CN"/>
              </w:rPr>
              <w:t>①</w:t>
            </w:r>
            <w:r>
              <w:rPr>
                <w:rFonts w:hint="eastAsia"/>
                <w:lang w:val="en-US" w:eastAsia="zh-CN"/>
              </w:rPr>
              <w:t>室内材料须符合《GB 8624-2012》 建筑材料燃烧性能分级，优先选A1/A2级不燃材料，如金属、石材、防火板，禁止使用易燃材料，如普通塑料、未阻燃木材等。</w:t>
            </w:r>
          </w:p>
          <w:p w14:paraId="2FC26E1F">
            <w:pPr>
              <w:rPr>
                <w:rFonts w:hint="eastAsia"/>
                <w:lang w:val="en-US" w:eastAsia="zh-CN"/>
              </w:rPr>
            </w:pPr>
            <w:r>
              <w:rPr>
                <w:rFonts w:hint="eastAsia" w:ascii="宋体" w:hAnsi="宋体" w:eastAsia="宋体" w:cs="宋体"/>
                <w:lang w:val="en-US" w:eastAsia="zh-CN"/>
              </w:rPr>
              <w:t>②</w:t>
            </w:r>
            <w:r>
              <w:rPr>
                <w:rFonts w:hint="eastAsia"/>
                <w:lang w:val="en-US" w:eastAsia="zh-CN"/>
              </w:rPr>
              <w:t>户外材料须抗风载、防坠落，如壁挂式须加固五金件，避免高空脱落。</w:t>
            </w:r>
          </w:p>
          <w:p w14:paraId="5842A7CC">
            <w:pPr>
              <w:rPr>
                <w:rFonts w:hint="eastAsia"/>
                <w:lang w:val="en-US" w:eastAsia="zh-CN"/>
              </w:rPr>
            </w:pPr>
            <w:r>
              <w:rPr>
                <w:rFonts w:hint="eastAsia" w:ascii="宋体" w:hAnsi="宋体" w:eastAsia="宋体" w:cs="宋体"/>
                <w:lang w:val="en-US" w:eastAsia="zh-CN"/>
              </w:rPr>
              <w:t>③</w:t>
            </w:r>
            <w:r>
              <w:rPr>
                <w:rFonts w:hint="eastAsia"/>
                <w:lang w:val="en-US" w:eastAsia="zh-CN"/>
              </w:rPr>
              <w:t>无尖锐边角，尤其是公共区域，要求儿童接触场景须做圆角处理。</w:t>
            </w:r>
          </w:p>
          <w:p w14:paraId="1E453AB9">
            <w:pPr>
              <w:rPr>
                <w:rFonts w:hint="eastAsia"/>
                <w:lang w:val="en-US" w:eastAsia="zh-CN"/>
              </w:rPr>
            </w:pPr>
            <w:r>
              <w:rPr>
                <w:rFonts w:hint="eastAsia"/>
                <w:lang w:val="en-US" w:eastAsia="zh-CN"/>
              </w:rPr>
              <w:t>（2）耐用易维护：</w:t>
            </w:r>
          </w:p>
          <w:p w14:paraId="1642A8FA">
            <w:pPr>
              <w:rPr>
                <w:rFonts w:hint="eastAsia"/>
                <w:lang w:val="en-US" w:eastAsia="zh-CN"/>
              </w:rPr>
            </w:pPr>
            <w:r>
              <w:rPr>
                <w:rFonts w:hint="eastAsia" w:ascii="宋体" w:hAnsi="宋体" w:eastAsia="宋体" w:cs="宋体"/>
                <w:lang w:val="en-US" w:eastAsia="zh-CN"/>
              </w:rPr>
              <w:t>①</w:t>
            </w:r>
            <w:r>
              <w:rPr>
                <w:rFonts w:hint="eastAsia"/>
                <w:lang w:val="en-US" w:eastAsia="zh-CN"/>
              </w:rPr>
              <w:t>室内：防潮、防污、耐磨，如办公室、大厅需日常擦拭，要求使用材料耐受度高，避免易褪色。</w:t>
            </w:r>
          </w:p>
          <w:p w14:paraId="7B2A9992">
            <w:pPr>
              <w:rPr>
                <w:rFonts w:hint="eastAsia"/>
                <w:lang w:val="en-US" w:eastAsia="zh-CN"/>
              </w:rPr>
            </w:pPr>
            <w:r>
              <w:rPr>
                <w:rFonts w:hint="eastAsia" w:ascii="宋体" w:hAnsi="宋体" w:eastAsia="宋体" w:cs="宋体"/>
                <w:lang w:val="en-US" w:eastAsia="zh-CN"/>
              </w:rPr>
              <w:t>②</w:t>
            </w:r>
            <w:r>
              <w:rPr>
                <w:rFonts w:hint="eastAsia"/>
                <w:lang w:val="en-US" w:eastAsia="zh-CN"/>
              </w:rPr>
              <w:t>户外：抗紫外线（UV）、耐高低温、防水防锈，如金属须做防腐涂层，禁止使用未处理木材材质）。</w:t>
            </w:r>
          </w:p>
          <w:p w14:paraId="24BDD040">
            <w:pPr>
              <w:rPr>
                <w:rFonts w:hint="eastAsia"/>
                <w:lang w:val="en-US" w:eastAsia="zh-CN"/>
              </w:rPr>
            </w:pPr>
            <w:r>
              <w:rPr>
                <w:rFonts w:hint="eastAsia" w:ascii="宋体" w:hAnsi="宋体" w:eastAsia="宋体" w:cs="宋体"/>
                <w:lang w:val="en-US" w:eastAsia="zh-CN"/>
              </w:rPr>
              <w:t>③</w:t>
            </w:r>
            <w:r>
              <w:rPr>
                <w:rFonts w:hint="eastAsia"/>
                <w:lang w:val="en-US" w:eastAsia="zh-CN"/>
              </w:rPr>
              <w:t>使用寿命：使用≥3年无需大幅更换的材质，如不锈钢、坚硬耐用石材等，减少维护成本。</w:t>
            </w:r>
          </w:p>
          <w:p w14:paraId="32D190A8">
            <w:pPr>
              <w:rPr>
                <w:rFonts w:hint="eastAsia"/>
                <w:lang w:val="en-US" w:eastAsia="zh-CN"/>
              </w:rPr>
            </w:pPr>
            <w:r>
              <w:rPr>
                <w:rFonts w:hint="eastAsia"/>
                <w:lang w:val="en-US" w:eastAsia="zh-CN"/>
              </w:rPr>
              <w:t>（3）环保无危害：</w:t>
            </w:r>
          </w:p>
          <w:p w14:paraId="5139B761">
            <w:pPr>
              <w:rPr>
                <w:rFonts w:hint="eastAsia"/>
                <w:lang w:val="en-US" w:eastAsia="zh-CN"/>
              </w:rPr>
            </w:pPr>
            <w:r>
              <w:rPr>
                <w:rFonts w:hint="eastAsia" w:ascii="宋体" w:hAnsi="宋体" w:eastAsia="宋体" w:cs="宋体"/>
                <w:lang w:val="en-US" w:eastAsia="zh-CN"/>
              </w:rPr>
              <w:t>①</w:t>
            </w:r>
            <w:r>
              <w:rPr>
                <w:rFonts w:hint="eastAsia"/>
                <w:lang w:val="en-US" w:eastAsia="zh-CN"/>
              </w:rPr>
              <w:t>符合《GB 18585-2023》 室内装饰装修材料 壁纸中有害物质限量标准，无甲醛、重金属超标，如板材须选E0级环保板，涂料选水性环保漆。</w:t>
            </w:r>
          </w:p>
          <w:p w14:paraId="7427CB5E">
            <w:pPr>
              <w:rPr>
                <w:rFonts w:hint="eastAsia"/>
                <w:lang w:val="en-US" w:eastAsia="zh-CN"/>
              </w:rPr>
            </w:pPr>
            <w:r>
              <w:rPr>
                <w:rFonts w:hint="eastAsia" w:ascii="宋体" w:hAnsi="宋体" w:eastAsia="宋体" w:cs="宋体"/>
                <w:lang w:val="en-US" w:eastAsia="zh-CN"/>
              </w:rPr>
              <w:t>②</w:t>
            </w:r>
            <w:r>
              <w:rPr>
                <w:rFonts w:hint="eastAsia"/>
                <w:lang w:val="en-US" w:eastAsia="zh-CN"/>
              </w:rPr>
              <w:t>户外材质禁止使用易老化、释放有毒有害物质的回收塑料。</w:t>
            </w:r>
          </w:p>
          <w:p w14:paraId="2ED891FC">
            <w:pPr>
              <w:rPr>
                <w:rFonts w:hint="eastAsia"/>
                <w:b/>
                <w:bCs/>
                <w:lang w:val="en-US" w:eastAsia="zh-CN"/>
              </w:rPr>
            </w:pPr>
            <w:r>
              <w:rPr>
                <w:rFonts w:hint="eastAsia"/>
                <w:b/>
                <w:bCs/>
                <w:lang w:val="en-US" w:eastAsia="zh-CN"/>
              </w:rPr>
              <w:t>三、其他要求：</w:t>
            </w:r>
          </w:p>
          <w:p w14:paraId="7F11D516">
            <w:pPr>
              <w:rPr>
                <w:rFonts w:hint="eastAsia"/>
                <w:lang w:val="en-US" w:eastAsia="zh-CN"/>
              </w:rPr>
            </w:pPr>
            <w:r>
              <w:rPr>
                <w:rFonts w:hint="eastAsia"/>
                <w:lang w:val="en-US" w:eastAsia="zh-CN"/>
              </w:rPr>
              <w:t>1、成交供应商须指定专门人员与采购人对接本项目一切事宜，对采购人提出的设计及实施意见无条件配合进行修改，不能采纳的须做出书面说明并得到采购人的认同。</w:t>
            </w:r>
          </w:p>
          <w:p w14:paraId="36A0EE0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sz w:val="21"/>
                <w:szCs w:val="21"/>
                <w:lang w:val="en-US" w:eastAsia="zh-CN"/>
              </w:rPr>
              <w:t>2.响应</w:t>
            </w:r>
            <w:r>
              <w:rPr>
                <w:rFonts w:hint="eastAsia"/>
                <w:sz w:val="21"/>
                <w:szCs w:val="21"/>
              </w:rPr>
              <w:t>时响应人</w:t>
            </w:r>
            <w:r>
              <w:rPr>
                <w:rFonts w:hint="eastAsia"/>
                <w:sz w:val="21"/>
                <w:szCs w:val="21"/>
                <w:lang w:eastAsia="zh-CN"/>
              </w:rPr>
              <w:t>须</w:t>
            </w:r>
            <w:r>
              <w:rPr>
                <w:rFonts w:hint="eastAsia"/>
                <w:sz w:val="21"/>
                <w:szCs w:val="21"/>
              </w:rPr>
              <w:t>提交设计图一份，设计图仅用于采购评选参考，不作为最终的设计样式，最终设计样式须经采购人确认。</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50000.00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6C6E5D6F">
            <w:pPr>
              <w:spacing w:line="240" w:lineRule="auto"/>
            </w:pPr>
            <w:r>
              <w:rPr>
                <w:rFonts w:hint="eastAsia"/>
                <w:b/>
                <w:bCs/>
              </w:rPr>
              <w:t>一、合同签订期：</w:t>
            </w:r>
            <w:r>
              <w:rPr>
                <w:rFonts w:hint="eastAsia"/>
              </w:rPr>
              <w:t>自采购结果公示结束后</w:t>
            </w:r>
            <w:r>
              <w:rPr>
                <w:rFonts w:hint="eastAsia"/>
                <w:lang w:val="en-US" w:eastAsia="zh-CN"/>
              </w:rPr>
              <w:t>5</w:t>
            </w:r>
            <w:r>
              <w:rPr>
                <w:rFonts w:hint="eastAsia"/>
              </w:rPr>
              <w:t>个工作日内。</w:t>
            </w:r>
          </w:p>
          <w:p w14:paraId="2A3B01AF">
            <w:pPr>
              <w:spacing w:line="240" w:lineRule="auto"/>
              <w:rPr>
                <w:rFonts w:hint="eastAsia"/>
                <w:color w:val="auto"/>
                <w:highlight w:val="red"/>
              </w:rPr>
            </w:pPr>
            <w:r>
              <w:rPr>
                <w:rFonts w:hint="eastAsia"/>
                <w:b/>
                <w:bCs/>
                <w:color w:val="auto"/>
              </w:rPr>
              <w:t>二、服务</w:t>
            </w:r>
            <w:r>
              <w:rPr>
                <w:rFonts w:hint="eastAsia"/>
                <w:b/>
                <w:bCs/>
                <w:color w:val="auto"/>
                <w:lang w:val="en-US" w:eastAsia="zh-CN"/>
              </w:rPr>
              <w:t>期限</w:t>
            </w:r>
            <w:r>
              <w:rPr>
                <w:rFonts w:hint="eastAsia"/>
                <w:b/>
                <w:bCs/>
                <w:color w:val="auto"/>
              </w:rPr>
              <w:t>：</w:t>
            </w:r>
            <w:r>
              <w:rPr>
                <w:rFonts w:hint="eastAsia"/>
                <w:color w:val="auto"/>
              </w:rPr>
              <w:t>自合同签订之日起</w:t>
            </w:r>
            <w:r>
              <w:rPr>
                <w:rFonts w:hint="eastAsia"/>
                <w:color w:val="auto"/>
                <w:lang w:val="en-US" w:eastAsia="zh-CN"/>
              </w:rPr>
              <w:t>3</w:t>
            </w:r>
            <w:r>
              <w:rPr>
                <w:rFonts w:hint="eastAsia"/>
                <w:color w:val="auto"/>
              </w:rPr>
              <w:t>个工作日内完成最终设计图稿，</w:t>
            </w:r>
            <w:r>
              <w:rPr>
                <w:rFonts w:hint="eastAsia"/>
                <w:color w:val="auto"/>
                <w:lang w:val="en-US" w:eastAsia="zh-CN"/>
              </w:rPr>
              <w:t>采购人</w:t>
            </w:r>
            <w:r>
              <w:rPr>
                <w:rFonts w:hint="eastAsia"/>
                <w:color w:val="auto"/>
              </w:rPr>
              <w:t>确定最终设计图稿后，</w:t>
            </w:r>
            <w:r>
              <w:rPr>
                <w:rFonts w:hint="eastAsia"/>
                <w:color w:val="auto"/>
                <w:lang w:eastAsia="zh-CN"/>
              </w:rPr>
              <w:t>2</w:t>
            </w:r>
            <w:r>
              <w:rPr>
                <w:rFonts w:hint="eastAsia"/>
                <w:color w:val="auto"/>
                <w:lang w:val="en-US" w:eastAsia="zh-CN"/>
              </w:rPr>
              <w:t>025年12月20日前</w:t>
            </w:r>
            <w:r>
              <w:rPr>
                <w:rFonts w:hint="eastAsia"/>
                <w:color w:val="auto"/>
              </w:rPr>
              <w:t>完成制作安装。</w:t>
            </w:r>
          </w:p>
          <w:p w14:paraId="69E1E6B2">
            <w:pPr>
              <w:spacing w:line="240" w:lineRule="auto"/>
            </w:pPr>
            <w:r>
              <w:rPr>
                <w:rFonts w:hint="eastAsia"/>
                <w:b/>
                <w:bCs/>
              </w:rPr>
              <w:t>三、服务地点：</w:t>
            </w:r>
            <w:r>
              <w:rPr>
                <w:rFonts w:hint="eastAsia"/>
              </w:rPr>
              <w:t>南宁中心血站指定地点。</w:t>
            </w:r>
          </w:p>
          <w:p w14:paraId="12EBFB6E">
            <w:pPr>
              <w:spacing w:line="240" w:lineRule="auto"/>
              <w:rPr>
                <w:b/>
                <w:bCs/>
              </w:rPr>
            </w:pPr>
            <w:r>
              <w:rPr>
                <w:rFonts w:hint="eastAsia"/>
                <w:b/>
                <w:bCs/>
              </w:rPr>
              <w:t>四、售后服务要求：</w:t>
            </w:r>
          </w:p>
          <w:p w14:paraId="0734C813">
            <w:pPr>
              <w:spacing w:line="240" w:lineRule="auto"/>
              <w:rPr>
                <w:color w:val="auto"/>
              </w:rPr>
            </w:pPr>
            <w:r>
              <w:rPr>
                <w:rFonts w:hint="eastAsia"/>
                <w:color w:val="auto"/>
                <w:lang w:val="en-US" w:eastAsia="zh-CN"/>
              </w:rPr>
              <w:t>1.</w:t>
            </w:r>
            <w:r>
              <w:rPr>
                <w:rFonts w:hint="eastAsia"/>
                <w:color w:val="auto"/>
              </w:rPr>
              <w:t>质量保证期：服务验收合格之日起</w:t>
            </w:r>
            <w:r>
              <w:rPr>
                <w:rFonts w:hint="eastAsia"/>
                <w:color w:val="auto"/>
                <w:lang w:eastAsia="zh-CN"/>
              </w:rPr>
              <w:t>一</w:t>
            </w:r>
            <w:r>
              <w:rPr>
                <w:rFonts w:hint="eastAsia"/>
                <w:color w:val="auto"/>
              </w:rPr>
              <w:t>年</w:t>
            </w:r>
            <w:r>
              <w:rPr>
                <w:rFonts w:hint="eastAsia"/>
                <w:color w:val="auto"/>
                <w:lang w:eastAsia="zh-CN"/>
              </w:rPr>
              <w:t>，期间出现质量问题的，成交供应商</w:t>
            </w:r>
            <w:r>
              <w:rPr>
                <w:rFonts w:hint="eastAsia"/>
                <w:color w:val="auto"/>
                <w:lang w:val="en-US" w:eastAsia="zh-CN"/>
              </w:rPr>
              <w:t>须</w:t>
            </w:r>
            <w:r>
              <w:rPr>
                <w:rFonts w:hint="eastAsia"/>
                <w:color w:val="auto"/>
                <w:lang w:eastAsia="zh-CN"/>
              </w:rPr>
              <w:t>无条件进行修改、维修或更换</w:t>
            </w:r>
            <w:r>
              <w:rPr>
                <w:rFonts w:hint="eastAsia"/>
                <w:color w:val="auto"/>
              </w:rPr>
              <w:t>。</w:t>
            </w:r>
          </w:p>
          <w:p w14:paraId="4B7B6C98">
            <w:pPr>
              <w:spacing w:line="240" w:lineRule="auto"/>
            </w:pPr>
            <w:r>
              <w:rPr>
                <w:rFonts w:hint="eastAsia"/>
                <w:lang w:val="en-US" w:eastAsia="zh-CN"/>
              </w:rPr>
              <w:t>2.</w:t>
            </w:r>
            <w:r>
              <w:rPr>
                <w:rFonts w:hint="eastAsia"/>
              </w:rPr>
              <w:t>处理问题响应时间：接到采购人处理问题通知后4小时内到达采购人指定现场</w:t>
            </w:r>
            <w:r>
              <w:rPr>
                <w:rFonts w:hint="eastAsia"/>
                <w:lang w:val="en-US" w:eastAsia="zh-CN"/>
              </w:rPr>
              <w:t>处理</w:t>
            </w:r>
            <w:r>
              <w:rPr>
                <w:rFonts w:hint="eastAsia"/>
              </w:rPr>
              <w:t>。</w:t>
            </w:r>
          </w:p>
          <w:p w14:paraId="5B93BDA6">
            <w:pPr>
              <w:spacing w:line="240" w:lineRule="auto"/>
              <w:rPr>
                <w:b/>
                <w:bCs/>
              </w:rPr>
            </w:pPr>
            <w:r>
              <w:rPr>
                <w:rFonts w:hint="eastAsia"/>
                <w:b/>
                <w:bCs/>
              </w:rPr>
              <w:t>五、</w:t>
            </w:r>
            <w:r>
              <w:rPr>
                <w:rFonts w:hint="eastAsia"/>
                <w:b/>
                <w:bCs/>
                <w:lang w:val="en-US" w:eastAsia="zh-CN"/>
              </w:rPr>
              <w:t>其他要求</w:t>
            </w:r>
            <w:r>
              <w:rPr>
                <w:rFonts w:hint="eastAsia"/>
                <w:b/>
                <w:bCs/>
              </w:rPr>
              <w:t>：</w:t>
            </w:r>
          </w:p>
          <w:p w14:paraId="338AAB80">
            <w:pPr>
              <w:bidi w:val="0"/>
              <w:spacing w:line="240" w:lineRule="auto"/>
              <w:rPr>
                <w:rFonts w:hint="default"/>
              </w:rPr>
            </w:pPr>
            <w:r>
              <w:rPr>
                <w:rFonts w:hint="eastAsia"/>
                <w:lang w:val="en-US" w:eastAsia="zh-CN"/>
              </w:rPr>
              <w:t>1.</w:t>
            </w:r>
            <w:r>
              <w:rPr>
                <w:rFonts w:hint="eastAsia"/>
              </w:rPr>
              <w:t>报价必须含以下部分，包括：</w:t>
            </w:r>
          </w:p>
          <w:p w14:paraId="3187D758">
            <w:pPr>
              <w:bidi w:val="0"/>
              <w:spacing w:line="240" w:lineRule="auto"/>
              <w:rPr>
                <w:rFonts w:hint="default"/>
              </w:rPr>
            </w:pPr>
            <w:r>
              <w:rPr>
                <w:rFonts w:hint="eastAsia"/>
              </w:rPr>
              <w:t>（1）服务的价格；</w:t>
            </w:r>
          </w:p>
          <w:p w14:paraId="0FAB0C7B">
            <w:pPr>
              <w:bidi w:val="0"/>
              <w:spacing w:line="240" w:lineRule="auto"/>
              <w:rPr>
                <w:rFonts w:hint="default"/>
              </w:rPr>
            </w:pPr>
            <w:r>
              <w:rPr>
                <w:rFonts w:hint="eastAsia"/>
              </w:rPr>
              <w:t>（2）服务所需材料、标准附件、备品备件、专用工具的价格；</w:t>
            </w:r>
          </w:p>
          <w:p w14:paraId="1A32151C">
            <w:pPr>
              <w:bidi w:val="0"/>
              <w:spacing w:line="240" w:lineRule="auto"/>
              <w:rPr>
                <w:rFonts w:hint="default"/>
              </w:rPr>
            </w:pPr>
            <w:r>
              <w:rPr>
                <w:rFonts w:hint="eastAsia"/>
              </w:rPr>
              <w:t>（3）</w:t>
            </w:r>
            <w:r>
              <w:rPr>
                <w:rFonts w:hint="eastAsia"/>
                <w:lang w:val="en-US" w:eastAsia="zh-CN"/>
              </w:rPr>
              <w:t>人工、</w:t>
            </w:r>
            <w:r>
              <w:rPr>
                <w:rFonts w:hint="eastAsia"/>
              </w:rPr>
              <w:t>运输、装卸、吊装、技术支持、售后服务等费用；</w:t>
            </w:r>
          </w:p>
          <w:p w14:paraId="6A52865C">
            <w:pPr>
              <w:bidi w:val="0"/>
              <w:spacing w:line="240" w:lineRule="auto"/>
              <w:rPr>
                <w:rFonts w:hint="default"/>
              </w:rPr>
            </w:pPr>
            <w:r>
              <w:rPr>
                <w:rFonts w:hint="eastAsia"/>
              </w:rPr>
              <w:t>（4）必要的保险费用和各项税费；</w:t>
            </w:r>
          </w:p>
          <w:p w14:paraId="2052EFCD">
            <w:pPr>
              <w:spacing w:line="240" w:lineRule="auto"/>
              <w:rPr>
                <w:rFonts w:hint="eastAsia"/>
              </w:rPr>
            </w:pPr>
            <w:r>
              <w:rPr>
                <w:rFonts w:hint="eastAsia"/>
              </w:rPr>
              <w:t>（5）设计费、安装费、人工费、交通费、维护费等所有费用。</w:t>
            </w:r>
          </w:p>
          <w:p w14:paraId="51951634">
            <w:pPr>
              <w:spacing w:line="240" w:lineRule="auto"/>
              <w:rPr>
                <w:rFonts w:hint="default" w:eastAsia="宋体"/>
                <w:lang w:val="en-US" w:eastAsia="zh-CN"/>
              </w:rPr>
            </w:pPr>
            <w:r>
              <w:rPr>
                <w:rFonts w:hint="eastAsia"/>
                <w:lang w:val="en-US" w:eastAsia="zh-CN"/>
              </w:rPr>
              <w:t>2.</w:t>
            </w:r>
            <w:r>
              <w:rPr>
                <w:rFonts w:hint="eastAsia"/>
              </w:rPr>
              <w:t>付款方式：服务完成并经采购人验收合格后采购人一次性支付合同款（付款前成交供应商须提供等额合规的增值税发票</w:t>
            </w:r>
            <w:r>
              <w:rPr>
                <w:rFonts w:hint="eastAsia"/>
                <w:lang w:val="en-US" w:eastAsia="zh-CN"/>
              </w:rPr>
              <w:t>给到采购人</w:t>
            </w:r>
            <w:r>
              <w:rPr>
                <w:rFonts w:hint="eastAsia"/>
              </w:rPr>
              <w:t>）。</w:t>
            </w:r>
          </w:p>
          <w:p w14:paraId="06D05C05">
            <w:pPr>
              <w:spacing w:line="240" w:lineRule="auto"/>
              <w:rPr>
                <w:b/>
                <w:bCs/>
              </w:rPr>
            </w:pPr>
            <w:r>
              <w:rPr>
                <w:rFonts w:hint="eastAsia"/>
                <w:b/>
                <w:bCs/>
              </w:rPr>
              <w:t>六、验收标准：</w:t>
            </w:r>
          </w:p>
          <w:p w14:paraId="028A3CCC">
            <w:pPr>
              <w:spacing w:line="240" w:lineRule="auto"/>
            </w:pPr>
            <w:r>
              <w:rPr>
                <w:rFonts w:hint="eastAsia"/>
                <w:lang w:val="en-US" w:eastAsia="zh-CN"/>
              </w:rPr>
              <w:t>1.</w:t>
            </w:r>
            <w:r>
              <w:rPr>
                <w:rFonts w:hint="eastAsia"/>
              </w:rPr>
              <w:t>本项目完成后</w:t>
            </w:r>
            <w:r>
              <w:rPr>
                <w:rFonts w:hint="eastAsia"/>
                <w:lang w:val="en-US" w:eastAsia="zh-CN"/>
              </w:rPr>
              <w:t>成交</w:t>
            </w:r>
            <w:r>
              <w:rPr>
                <w:rFonts w:hint="eastAsia"/>
              </w:rPr>
              <w:t>供应商可向采购人提出申请验收。</w:t>
            </w:r>
          </w:p>
          <w:p w14:paraId="74261D2A">
            <w:pPr>
              <w:spacing w:line="240" w:lineRule="auto"/>
            </w:pPr>
            <w:r>
              <w:rPr>
                <w:rFonts w:hint="eastAsia"/>
                <w:lang w:val="en-US" w:eastAsia="zh-CN"/>
              </w:rPr>
              <w:t>2.</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w:t>
            </w:r>
          </w:p>
          <w:p w14:paraId="7E813661">
            <w:pPr>
              <w:spacing w:line="240" w:lineRule="auto"/>
              <w:rPr>
                <w:rFonts w:ascii="宋体" w:hAnsi="宋体"/>
              </w:rPr>
            </w:pPr>
            <w:r>
              <w:rPr>
                <w:rFonts w:hint="eastAsia"/>
                <w:lang w:val="en-US" w:eastAsia="zh-CN"/>
              </w:rPr>
              <w:t>3.</w:t>
            </w:r>
            <w:r>
              <w:rPr>
                <w:rFonts w:hint="eastAsia"/>
              </w:rPr>
              <w:t>首次验收不合格的，可由</w:t>
            </w:r>
            <w:r>
              <w:rPr>
                <w:rFonts w:hint="eastAsia"/>
                <w:lang w:val="en-US" w:eastAsia="zh-CN"/>
              </w:rPr>
              <w:t>成交</w:t>
            </w:r>
            <w:r>
              <w:rPr>
                <w:rFonts w:hint="eastAsia"/>
              </w:rPr>
              <w:t>供应商在</w:t>
            </w:r>
            <w:r>
              <w:rPr>
                <w:rFonts w:hint="eastAsia"/>
                <w:lang w:val="en-US" w:eastAsia="zh-CN"/>
              </w:rPr>
              <w:t>接到采购人通知</w:t>
            </w:r>
            <w:r>
              <w:rPr>
                <w:rFonts w:hint="eastAsia"/>
              </w:rPr>
              <w:t>之日起5个工作日内</w:t>
            </w:r>
            <w:r>
              <w:rPr>
                <w:rFonts w:hint="eastAsia"/>
                <w:lang w:val="en-US" w:eastAsia="zh-CN"/>
              </w:rPr>
              <w:t>整改并</w:t>
            </w:r>
            <w:r>
              <w:rPr>
                <w:rFonts w:hint="eastAsia"/>
              </w:rPr>
              <w:t>申请重新验收，若重新验收不合格的，则将被视为违约。</w:t>
            </w:r>
          </w:p>
        </w:tc>
      </w:tr>
    </w:tbl>
    <w:p w14:paraId="1A20A89B">
      <w:pPr>
        <w:pStyle w:val="6"/>
        <w:spacing w:line="500" w:lineRule="exact"/>
        <w:jc w:val="left"/>
        <w:rPr>
          <w:rFonts w:hint="eastAsia" w:ascii="仿宋" w:hAnsi="仿宋" w:eastAsia="仿宋"/>
          <w:color w:val="auto"/>
          <w:sz w:val="30"/>
          <w:szCs w:val="30"/>
        </w:rPr>
      </w:pPr>
    </w:p>
    <w:p w14:paraId="084DEEBB">
      <w:pPr>
        <w:pStyle w:val="6"/>
        <w:spacing w:line="500" w:lineRule="exact"/>
        <w:jc w:val="left"/>
        <w:rPr>
          <w:rFonts w:hint="eastAsia" w:ascii="仿宋" w:hAnsi="仿宋" w:eastAsia="仿宋"/>
          <w:color w:val="auto"/>
          <w:sz w:val="30"/>
          <w:szCs w:val="30"/>
        </w:rPr>
      </w:pPr>
    </w:p>
    <w:p w14:paraId="1D271AE4">
      <w:pPr>
        <w:pStyle w:val="6"/>
        <w:spacing w:line="500" w:lineRule="exact"/>
        <w:jc w:val="left"/>
        <w:rPr>
          <w:rFonts w:hint="eastAsia" w:ascii="仿宋" w:hAnsi="仿宋" w:eastAsia="仿宋"/>
          <w:color w:val="auto"/>
          <w:sz w:val="30"/>
          <w:szCs w:val="30"/>
        </w:rPr>
      </w:pPr>
    </w:p>
    <w:p w14:paraId="6E6BD471">
      <w:pPr>
        <w:pStyle w:val="6"/>
        <w:spacing w:line="500" w:lineRule="exact"/>
        <w:jc w:val="left"/>
        <w:rPr>
          <w:rFonts w:hint="eastAsia" w:ascii="仿宋" w:hAnsi="仿宋" w:eastAsia="仿宋"/>
          <w:color w:val="auto"/>
          <w:sz w:val="30"/>
          <w:szCs w:val="30"/>
        </w:rPr>
      </w:pPr>
    </w:p>
    <w:p w14:paraId="1A18759D">
      <w:pPr>
        <w:pStyle w:val="6"/>
        <w:spacing w:line="500" w:lineRule="exact"/>
        <w:jc w:val="left"/>
        <w:rPr>
          <w:rFonts w:hint="eastAsia" w:ascii="仿宋" w:hAnsi="仿宋" w:eastAsia="仿宋"/>
          <w:color w:val="auto"/>
          <w:sz w:val="30"/>
          <w:szCs w:val="30"/>
        </w:rPr>
      </w:pPr>
    </w:p>
    <w:p w14:paraId="6A547BB9">
      <w:pPr>
        <w:pStyle w:val="6"/>
        <w:spacing w:line="500" w:lineRule="exact"/>
        <w:jc w:val="left"/>
        <w:rPr>
          <w:rFonts w:hint="eastAsia" w:ascii="仿宋" w:hAnsi="仿宋" w:eastAsia="仿宋"/>
          <w:color w:val="auto"/>
          <w:sz w:val="30"/>
          <w:szCs w:val="30"/>
        </w:rPr>
      </w:pPr>
    </w:p>
    <w:p w14:paraId="00AA3456">
      <w:pPr>
        <w:pStyle w:val="6"/>
        <w:spacing w:line="500" w:lineRule="exact"/>
        <w:jc w:val="left"/>
        <w:rPr>
          <w:rFonts w:hint="eastAsia" w:ascii="仿宋" w:hAnsi="仿宋" w:eastAsia="仿宋"/>
          <w:color w:val="auto"/>
          <w:sz w:val="30"/>
          <w:szCs w:val="30"/>
        </w:rPr>
      </w:pPr>
    </w:p>
    <w:p w14:paraId="6A9B5C1B">
      <w:pPr>
        <w:pStyle w:val="6"/>
        <w:spacing w:line="500" w:lineRule="exact"/>
        <w:jc w:val="left"/>
        <w:rPr>
          <w:rFonts w:hint="eastAsia" w:ascii="仿宋" w:hAnsi="仿宋" w:eastAsia="仿宋"/>
          <w:color w:val="auto"/>
          <w:sz w:val="30"/>
          <w:szCs w:val="30"/>
        </w:rPr>
      </w:pPr>
    </w:p>
    <w:p w14:paraId="655DA42F">
      <w:pPr>
        <w:pStyle w:val="6"/>
        <w:spacing w:line="500" w:lineRule="exact"/>
        <w:jc w:val="left"/>
        <w:rPr>
          <w:rFonts w:hint="eastAsia" w:ascii="仿宋" w:hAnsi="仿宋" w:eastAsia="仿宋"/>
          <w:color w:val="auto"/>
          <w:sz w:val="30"/>
          <w:szCs w:val="30"/>
        </w:rPr>
      </w:pPr>
    </w:p>
    <w:p w14:paraId="0F3FF66D">
      <w:pPr>
        <w:pStyle w:val="6"/>
        <w:spacing w:line="500" w:lineRule="exact"/>
        <w:jc w:val="left"/>
        <w:rPr>
          <w:rFonts w:hint="eastAsia" w:ascii="仿宋" w:hAnsi="仿宋" w:eastAsia="仿宋"/>
          <w:color w:val="auto"/>
          <w:sz w:val="30"/>
          <w:szCs w:val="30"/>
        </w:rPr>
      </w:pPr>
    </w:p>
    <w:p w14:paraId="546CA165">
      <w:pPr>
        <w:pStyle w:val="6"/>
        <w:spacing w:line="500" w:lineRule="exact"/>
        <w:jc w:val="left"/>
        <w:rPr>
          <w:rFonts w:hint="eastAsia" w:ascii="仿宋" w:hAnsi="仿宋" w:eastAsia="仿宋"/>
          <w:color w:val="auto"/>
          <w:sz w:val="30"/>
          <w:szCs w:val="30"/>
        </w:rPr>
      </w:pPr>
    </w:p>
    <w:p w14:paraId="10F1AB38">
      <w:pPr>
        <w:pStyle w:val="6"/>
        <w:spacing w:line="500" w:lineRule="exact"/>
        <w:jc w:val="left"/>
        <w:rPr>
          <w:rFonts w:hint="eastAsia" w:ascii="仿宋" w:hAnsi="仿宋" w:eastAsia="仿宋"/>
          <w:color w:val="auto"/>
          <w:sz w:val="30"/>
          <w:szCs w:val="30"/>
        </w:rPr>
      </w:pPr>
    </w:p>
    <w:p w14:paraId="6348D60B">
      <w:pPr>
        <w:pStyle w:val="6"/>
        <w:spacing w:line="500" w:lineRule="exact"/>
        <w:jc w:val="left"/>
        <w:rPr>
          <w:rFonts w:hint="eastAsia" w:ascii="仿宋" w:hAnsi="仿宋" w:eastAsia="仿宋"/>
          <w:color w:val="auto"/>
          <w:sz w:val="30"/>
          <w:szCs w:val="30"/>
        </w:rPr>
      </w:pPr>
    </w:p>
    <w:p w14:paraId="74C7A822">
      <w:pPr>
        <w:pStyle w:val="6"/>
        <w:spacing w:line="500" w:lineRule="exact"/>
        <w:jc w:val="left"/>
        <w:rPr>
          <w:rFonts w:hint="eastAsia" w:ascii="仿宋" w:hAnsi="仿宋" w:eastAsia="仿宋"/>
          <w:color w:val="auto"/>
          <w:sz w:val="30"/>
          <w:szCs w:val="30"/>
        </w:rPr>
      </w:pPr>
    </w:p>
    <w:p w14:paraId="2E049207">
      <w:pPr>
        <w:pStyle w:val="6"/>
        <w:spacing w:line="500" w:lineRule="exact"/>
        <w:jc w:val="left"/>
        <w:rPr>
          <w:rFonts w:hint="eastAsia" w:ascii="仿宋" w:hAnsi="仿宋" w:eastAsia="仿宋"/>
          <w:color w:val="auto"/>
          <w:sz w:val="30"/>
          <w:szCs w:val="30"/>
        </w:rPr>
      </w:pPr>
    </w:p>
    <w:p w14:paraId="4E70EE7B">
      <w:pPr>
        <w:pStyle w:val="6"/>
        <w:spacing w:line="500" w:lineRule="exact"/>
        <w:jc w:val="left"/>
        <w:rPr>
          <w:rFonts w:hint="eastAsia" w:ascii="仿宋" w:hAnsi="仿宋" w:eastAsia="仿宋"/>
          <w:color w:val="auto"/>
          <w:sz w:val="30"/>
          <w:szCs w:val="30"/>
        </w:rPr>
      </w:pPr>
    </w:p>
    <w:p w14:paraId="73CDD9D4">
      <w:pPr>
        <w:pStyle w:val="6"/>
        <w:spacing w:line="500" w:lineRule="exact"/>
        <w:jc w:val="left"/>
        <w:rPr>
          <w:rFonts w:hint="eastAsia" w:ascii="仿宋" w:hAnsi="仿宋" w:eastAsia="仿宋"/>
          <w:color w:val="auto"/>
          <w:sz w:val="30"/>
          <w:szCs w:val="30"/>
        </w:rPr>
      </w:pPr>
    </w:p>
    <w:p w14:paraId="3F6EB150">
      <w:pPr>
        <w:pStyle w:val="6"/>
        <w:spacing w:line="500" w:lineRule="exact"/>
        <w:jc w:val="left"/>
        <w:rPr>
          <w:rFonts w:hint="eastAsia" w:ascii="仿宋" w:hAnsi="仿宋" w:eastAsia="仿宋"/>
          <w:color w:val="auto"/>
          <w:sz w:val="30"/>
          <w:szCs w:val="30"/>
        </w:rPr>
      </w:pPr>
    </w:p>
    <w:p w14:paraId="1CB259FC">
      <w:pPr>
        <w:pStyle w:val="6"/>
        <w:spacing w:line="500" w:lineRule="exact"/>
        <w:jc w:val="left"/>
        <w:rPr>
          <w:rFonts w:hint="eastAsia" w:ascii="仿宋" w:hAnsi="仿宋" w:eastAsia="仿宋"/>
          <w:color w:val="auto"/>
          <w:sz w:val="30"/>
          <w:szCs w:val="30"/>
        </w:rPr>
      </w:pPr>
    </w:p>
    <w:p w14:paraId="7CF0C21A">
      <w:pPr>
        <w:pStyle w:val="6"/>
        <w:spacing w:line="500" w:lineRule="exact"/>
        <w:jc w:val="left"/>
        <w:rPr>
          <w:rFonts w:hint="eastAsia" w:ascii="仿宋" w:hAnsi="仿宋" w:eastAsia="仿宋"/>
          <w:color w:val="auto"/>
          <w:sz w:val="30"/>
          <w:szCs w:val="30"/>
        </w:rPr>
      </w:pPr>
    </w:p>
    <w:p w14:paraId="68057173">
      <w:pPr>
        <w:pStyle w:val="6"/>
        <w:spacing w:line="500" w:lineRule="exact"/>
        <w:jc w:val="left"/>
        <w:rPr>
          <w:rFonts w:hint="eastAsia" w:ascii="仿宋" w:hAnsi="仿宋" w:eastAsia="仿宋"/>
          <w:color w:val="auto"/>
          <w:sz w:val="30"/>
          <w:szCs w:val="30"/>
        </w:rPr>
      </w:pPr>
    </w:p>
    <w:p w14:paraId="776650EC">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南宁中心血站朝阳捐血屋（机采）文化建设服务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南宁中心血站朝阳捐血屋（机采）文化建设服务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金额不能超过项目最高限价（￥50000.00元）。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36"/>
        <w:gridCol w:w="705"/>
        <w:gridCol w:w="22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18"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76"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36" w:type="dxa"/>
            <w:vAlign w:val="center"/>
          </w:tcPr>
          <w:p w14:paraId="34BC4A96">
            <w:pPr>
              <w:jc w:val="center"/>
              <w:rPr>
                <w:rFonts w:ascii="宋体"/>
                <w:b/>
                <w:bCs/>
                <w:color w:val="auto"/>
                <w:szCs w:val="21"/>
              </w:rPr>
            </w:pPr>
            <w:r>
              <w:rPr>
                <w:rFonts w:hint="eastAsia" w:ascii="宋体"/>
                <w:b/>
                <w:bCs/>
                <w:color w:val="auto"/>
                <w:szCs w:val="21"/>
              </w:rPr>
              <w:t>技术参数</w:t>
            </w:r>
          </w:p>
        </w:tc>
        <w:tc>
          <w:tcPr>
            <w:tcW w:w="70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南宁中心血站朝阳捐血屋（机采）文化建设服务</w:t>
            </w:r>
          </w:p>
        </w:tc>
        <w:tc>
          <w:tcPr>
            <w:tcW w:w="4036" w:type="dxa"/>
            <w:vAlign w:val="center"/>
          </w:tcPr>
          <w:p w14:paraId="1C7FE522">
            <w:pPr>
              <w:rPr>
                <w:rFonts w:hint="default"/>
                <w:b/>
                <w:bCs/>
                <w:lang w:val="en-US" w:eastAsia="zh-CN"/>
              </w:rPr>
            </w:pPr>
            <w:r>
              <w:rPr>
                <w:rFonts w:hint="eastAsia"/>
                <w:b/>
                <w:bCs/>
                <w:lang w:val="en-US" w:eastAsia="zh-CN"/>
              </w:rPr>
              <w:t>一、文化建设设计服务</w:t>
            </w:r>
          </w:p>
          <w:p w14:paraId="52B36968">
            <w:pPr>
              <w:rPr>
                <w:rFonts w:hint="default"/>
                <w:lang w:val="en-US" w:eastAsia="zh-CN"/>
              </w:rPr>
            </w:pPr>
            <w:r>
              <w:rPr>
                <w:rFonts w:hint="default"/>
                <w:lang w:val="en-US" w:eastAsia="zh-CN"/>
              </w:rPr>
              <w:t>1</w:t>
            </w:r>
            <w:r>
              <w:rPr>
                <w:rFonts w:hint="eastAsia"/>
                <w:lang w:val="en-US" w:eastAsia="zh-CN"/>
              </w:rPr>
              <w:t>.要求响应供应商</w:t>
            </w:r>
            <w:r>
              <w:rPr>
                <w:rFonts w:hint="default"/>
                <w:lang w:val="en-US" w:eastAsia="zh-CN"/>
              </w:rPr>
              <w:t>实地考察现场及周边环境，以</w:t>
            </w:r>
            <w:r>
              <w:rPr>
                <w:rFonts w:hint="eastAsia"/>
                <w:lang w:val="en-US" w:eastAsia="zh-CN"/>
              </w:rPr>
              <w:t>血液科普、献血文化</w:t>
            </w:r>
            <w:r>
              <w:rPr>
                <w:rFonts w:hint="default"/>
                <w:lang w:val="en-US" w:eastAsia="zh-CN"/>
              </w:rPr>
              <w:t>为主要内容，根据血站文化特征进行形象设计；</w:t>
            </w:r>
            <w:r>
              <w:rPr>
                <w:rFonts w:hint="eastAsia"/>
                <w:lang w:val="en-US" w:eastAsia="zh-CN"/>
              </w:rPr>
              <w:t>共分为四大区域，献血者休息区（含员工形象牌）、体检征询区（含青年文明号建设）、采血区、卫生间。设计范围共包含350平米。墙体材料设计面积约150平米（以实际测量和设计效果为最终结果）。</w:t>
            </w:r>
          </w:p>
          <w:p w14:paraId="100B50A5">
            <w:pPr>
              <w:rPr>
                <w:rFonts w:hint="eastAsia"/>
                <w:lang w:val="en-US" w:eastAsia="zh-CN"/>
              </w:rPr>
            </w:pPr>
            <w:r>
              <w:rPr>
                <w:rFonts w:hint="default"/>
                <w:lang w:val="en-US" w:eastAsia="zh-CN"/>
              </w:rPr>
              <w:t>2</w:t>
            </w:r>
            <w:r>
              <w:rPr>
                <w:rFonts w:hint="eastAsia"/>
                <w:lang w:val="en-US" w:eastAsia="zh-CN"/>
              </w:rPr>
              <w:t>.设计内容分区：青年文明号展示台，无偿献血科普知识，献血文化，卫生间和休息区的人文关怀标语等。</w:t>
            </w:r>
          </w:p>
          <w:p w14:paraId="6E56D6E2">
            <w:pPr>
              <w:rPr>
                <w:rFonts w:hint="default"/>
                <w:lang w:val="en-US" w:eastAsia="zh-CN"/>
              </w:rPr>
            </w:pPr>
            <w:r>
              <w:rPr>
                <w:rFonts w:hint="eastAsia"/>
                <w:lang w:val="en-US" w:eastAsia="zh-CN"/>
              </w:rPr>
              <w:t>3.材料及配件：材料采用金属板、防火板、亚克力板、背光板等，科技设计上采用全息投影、触控互动屏、LED或人工智能等技术相融合。</w:t>
            </w:r>
          </w:p>
          <w:p w14:paraId="07104424">
            <w:pPr>
              <w:rPr>
                <w:rFonts w:hint="default"/>
                <w:lang w:val="en-US" w:eastAsia="zh-CN"/>
              </w:rPr>
            </w:pPr>
            <w:r>
              <w:rPr>
                <w:rFonts w:hint="eastAsia"/>
                <w:lang w:val="en-US" w:eastAsia="zh-CN"/>
              </w:rPr>
              <w:t>4.设计风格：</w:t>
            </w:r>
            <w:r>
              <w:rPr>
                <w:rFonts w:hint="default"/>
                <w:lang w:val="en-US" w:eastAsia="zh-CN"/>
              </w:rPr>
              <w:t>活泼、开放，形式多样，凸显现代时尚感、立体感，集中展示血站精神和</w:t>
            </w:r>
            <w:r>
              <w:rPr>
                <w:rFonts w:hint="eastAsia"/>
                <w:lang w:val="en-US" w:eastAsia="zh-CN"/>
              </w:rPr>
              <w:t>青年文明号</w:t>
            </w:r>
            <w:r>
              <w:rPr>
                <w:rFonts w:hint="default"/>
                <w:lang w:val="en-US" w:eastAsia="zh-CN"/>
              </w:rPr>
              <w:t>风采；</w:t>
            </w:r>
            <w:r>
              <w:rPr>
                <w:rFonts w:hint="eastAsia"/>
                <w:lang w:val="en-US" w:eastAsia="zh-CN"/>
              </w:rPr>
              <w:t>搭配屋子的原木色调选择和谐、温馨、具有科技感色调；同时，设计当中要融入人工智能、现代科技等元素，</w:t>
            </w:r>
            <w:r>
              <w:rPr>
                <w:rFonts w:hint="default"/>
                <w:lang w:val="en-US" w:eastAsia="zh-CN"/>
              </w:rPr>
              <w:t>符合</w:t>
            </w:r>
            <w:r>
              <w:rPr>
                <w:rFonts w:hint="eastAsia"/>
                <w:lang w:val="en-US" w:eastAsia="zh-CN"/>
              </w:rPr>
              <w:t>血站</w:t>
            </w:r>
            <w:r>
              <w:rPr>
                <w:rFonts w:hint="default"/>
                <w:lang w:val="en-US" w:eastAsia="zh-CN"/>
              </w:rPr>
              <w:t>的性质和特色。</w:t>
            </w:r>
          </w:p>
          <w:p w14:paraId="10952DC6">
            <w:pPr>
              <w:rPr>
                <w:rFonts w:hint="eastAsia"/>
                <w:lang w:val="en-US" w:eastAsia="zh-CN"/>
              </w:rPr>
            </w:pPr>
            <w:r>
              <w:rPr>
                <w:rFonts w:hint="eastAsia"/>
                <w:lang w:val="en-US" w:eastAsia="zh-CN"/>
              </w:rPr>
              <w:t>5.设计要求兼顾以下：</w:t>
            </w:r>
          </w:p>
          <w:p w14:paraId="758C091C">
            <w:pPr>
              <w:rPr>
                <w:rFonts w:hint="default"/>
                <w:lang w:val="en-US" w:eastAsia="zh-CN"/>
              </w:rPr>
            </w:pPr>
            <w:r>
              <w:rPr>
                <w:rFonts w:hint="eastAsia"/>
                <w:lang w:val="en-US" w:eastAsia="zh-CN"/>
              </w:rPr>
              <w:t>（1）</w:t>
            </w:r>
            <w:r>
              <w:rPr>
                <w:rFonts w:hint="default"/>
                <w:lang w:val="en-US" w:eastAsia="zh-CN"/>
              </w:rPr>
              <w:t>时尚性</w:t>
            </w:r>
            <w:r>
              <w:rPr>
                <w:rFonts w:hint="eastAsia"/>
                <w:lang w:val="en-US" w:eastAsia="zh-CN"/>
              </w:rPr>
              <w:t>：要求</w:t>
            </w:r>
            <w:r>
              <w:rPr>
                <w:rFonts w:hint="default"/>
                <w:lang w:val="en-US" w:eastAsia="zh-CN"/>
              </w:rPr>
              <w:t>根据</w:t>
            </w:r>
            <w:r>
              <w:rPr>
                <w:rFonts w:hint="eastAsia"/>
                <w:lang w:val="en-US" w:eastAsia="zh-CN"/>
              </w:rPr>
              <w:t>血站文化</w:t>
            </w:r>
            <w:r>
              <w:rPr>
                <w:rFonts w:hint="default"/>
                <w:lang w:val="en-US" w:eastAsia="zh-CN"/>
              </w:rPr>
              <w:t>属性、特色，结合时代潮流元素审美设计，突出活力，传达“捐献热血，分享生命”的文化精神</w:t>
            </w:r>
            <w:r>
              <w:rPr>
                <w:rFonts w:hint="eastAsia"/>
                <w:lang w:val="en-US" w:eastAsia="zh-CN"/>
              </w:rPr>
              <w:t>，并能将“健康献血”的科普理念进行宣导</w:t>
            </w:r>
            <w:r>
              <w:rPr>
                <w:rFonts w:hint="default"/>
                <w:lang w:val="en-US" w:eastAsia="zh-CN"/>
              </w:rPr>
              <w:t xml:space="preserve">。                                  </w:t>
            </w:r>
          </w:p>
          <w:p w14:paraId="55EFA102">
            <w:pPr>
              <w:rPr>
                <w:rFonts w:hint="default"/>
                <w:lang w:val="en-US" w:eastAsia="zh-CN"/>
              </w:rPr>
            </w:pPr>
            <w:r>
              <w:rPr>
                <w:rFonts w:hint="eastAsia"/>
                <w:lang w:val="en-US" w:eastAsia="zh-CN"/>
              </w:rPr>
              <w:t>（2）</w:t>
            </w:r>
            <w:r>
              <w:rPr>
                <w:rFonts w:hint="default"/>
                <w:lang w:val="en-US" w:eastAsia="zh-CN"/>
              </w:rPr>
              <w:t>耐用性</w:t>
            </w:r>
            <w:r>
              <w:rPr>
                <w:rFonts w:hint="eastAsia"/>
                <w:lang w:val="en-US" w:eastAsia="zh-CN"/>
              </w:rPr>
              <w:t>：要求</w:t>
            </w:r>
            <w:r>
              <w:rPr>
                <w:rFonts w:hint="default"/>
                <w:lang w:val="en-US" w:eastAsia="zh-CN"/>
              </w:rPr>
              <w:t>所用材料经久耐用，采用新型墙面环保材料，易于后期维护或循环使用。</w:t>
            </w:r>
          </w:p>
          <w:p w14:paraId="03DCBF7C">
            <w:pPr>
              <w:rPr>
                <w:rFonts w:hint="default"/>
                <w:lang w:val="en-US" w:eastAsia="zh-CN"/>
              </w:rPr>
            </w:pPr>
            <w:r>
              <w:rPr>
                <w:rFonts w:hint="eastAsia"/>
                <w:lang w:val="en-US" w:eastAsia="zh-CN"/>
              </w:rPr>
              <w:t>（3）</w:t>
            </w:r>
            <w:r>
              <w:rPr>
                <w:rFonts w:hint="default"/>
                <w:lang w:val="en-US" w:eastAsia="zh-CN"/>
              </w:rPr>
              <w:t>标志性</w:t>
            </w:r>
            <w:r>
              <w:rPr>
                <w:rFonts w:hint="eastAsia"/>
                <w:lang w:val="en-US" w:eastAsia="zh-CN"/>
              </w:rPr>
              <w:t>：要求</w:t>
            </w:r>
            <w:r>
              <w:rPr>
                <w:rFonts w:hint="default"/>
                <w:lang w:val="en-US" w:eastAsia="zh-CN"/>
              </w:rPr>
              <w:t>形体上凸显血站的职责特征和文化精神。</w:t>
            </w:r>
          </w:p>
          <w:p w14:paraId="4473455E">
            <w:pPr>
              <w:rPr>
                <w:rFonts w:hint="default"/>
                <w:lang w:val="en-US" w:eastAsia="zh-CN"/>
              </w:rPr>
            </w:pPr>
            <w:r>
              <w:rPr>
                <w:rFonts w:hint="eastAsia"/>
                <w:lang w:val="en-US" w:eastAsia="zh-CN"/>
              </w:rPr>
              <w:t>（4）</w:t>
            </w:r>
            <w:r>
              <w:rPr>
                <w:rFonts w:hint="default"/>
                <w:lang w:val="en-US" w:eastAsia="zh-CN"/>
              </w:rPr>
              <w:t>协调性</w:t>
            </w:r>
            <w:r>
              <w:rPr>
                <w:rFonts w:hint="eastAsia"/>
                <w:lang w:val="en-US" w:eastAsia="zh-CN"/>
              </w:rPr>
              <w:t>：要求设计</w:t>
            </w:r>
            <w:r>
              <w:rPr>
                <w:rFonts w:hint="default"/>
                <w:lang w:val="en-US" w:eastAsia="zh-CN"/>
              </w:rPr>
              <w:t>不突兀，不违和，主题和整体版式造型融入环境，画面内容得以延展，使</w:t>
            </w:r>
            <w:r>
              <w:rPr>
                <w:rFonts w:hint="eastAsia"/>
                <w:lang w:val="en-US" w:eastAsia="zh-CN"/>
              </w:rPr>
              <w:t>血站</w:t>
            </w:r>
            <w:r>
              <w:rPr>
                <w:rFonts w:hint="default"/>
                <w:lang w:val="en-US" w:eastAsia="zh-CN"/>
              </w:rPr>
              <w:t>文化精神、内涵得以升华。</w:t>
            </w:r>
          </w:p>
          <w:p w14:paraId="6F2B36DB">
            <w:pPr>
              <w:rPr>
                <w:rFonts w:hint="default"/>
                <w:lang w:val="en-US" w:eastAsia="zh-CN"/>
              </w:rPr>
            </w:pPr>
            <w:r>
              <w:rPr>
                <w:rFonts w:hint="eastAsia"/>
                <w:lang w:val="en-US" w:eastAsia="zh-CN"/>
              </w:rPr>
              <w:t>（5）互动性：要求设计上要体现互动感，采取一些灵活的呈现方式。</w:t>
            </w:r>
          </w:p>
          <w:p w14:paraId="3D6211EF">
            <w:pPr>
              <w:rPr>
                <w:rFonts w:hint="default"/>
                <w:b/>
                <w:bCs/>
                <w:lang w:val="en-US" w:eastAsia="zh-CN"/>
              </w:rPr>
            </w:pPr>
            <w:r>
              <w:rPr>
                <w:rFonts w:hint="eastAsia"/>
                <w:b/>
                <w:bCs/>
                <w:lang w:val="en-US" w:eastAsia="zh-CN"/>
              </w:rPr>
              <w:t>二、文化建设产品制作及实施服务</w:t>
            </w:r>
          </w:p>
          <w:p w14:paraId="3D63B0A8">
            <w:pPr>
              <w:rPr>
                <w:rFonts w:hint="default"/>
                <w:lang w:val="en-US" w:eastAsia="zh-CN"/>
              </w:rPr>
            </w:pPr>
            <w:r>
              <w:rPr>
                <w:rFonts w:hint="eastAsia"/>
                <w:lang w:val="en-US" w:eastAsia="zh-CN"/>
              </w:rPr>
              <w:t>1.根据采购人要求提供朝阳捐血屋（机采）文化产品设计方案，并按采购人确认的设计方案及材料要求进行制作朝阳捐血屋（机采）</w:t>
            </w:r>
            <w:r>
              <w:rPr>
                <w:rFonts w:hint="default"/>
                <w:lang w:val="en-US" w:eastAsia="zh-CN"/>
              </w:rPr>
              <w:t>文化</w:t>
            </w:r>
            <w:r>
              <w:rPr>
                <w:rFonts w:hint="eastAsia"/>
                <w:lang w:val="en-US" w:eastAsia="zh-CN"/>
              </w:rPr>
              <w:t>产品。</w:t>
            </w:r>
          </w:p>
          <w:p w14:paraId="3EC528E1">
            <w:pPr>
              <w:rPr>
                <w:rFonts w:hint="eastAsia"/>
                <w:lang w:val="en-US" w:eastAsia="zh-CN"/>
              </w:rPr>
            </w:pPr>
            <w:r>
              <w:rPr>
                <w:rFonts w:hint="eastAsia"/>
                <w:lang w:val="en-US" w:eastAsia="zh-CN"/>
              </w:rPr>
              <w:t>2.施工产品面积约150平米，要求至少具备科技设备2种。</w:t>
            </w:r>
          </w:p>
          <w:p w14:paraId="33155F80">
            <w:pPr>
              <w:rPr>
                <w:rFonts w:hint="eastAsia"/>
                <w:lang w:val="en-US" w:eastAsia="zh-CN"/>
              </w:rPr>
            </w:pPr>
            <w:r>
              <w:rPr>
                <w:rFonts w:hint="eastAsia"/>
                <w:lang w:val="en-US" w:eastAsia="zh-CN"/>
              </w:rPr>
              <w:t>3.施工的材料须达到以下要求：</w:t>
            </w:r>
          </w:p>
          <w:p w14:paraId="1F1C3358">
            <w:pPr>
              <w:rPr>
                <w:rFonts w:hint="eastAsia"/>
                <w:lang w:val="en-US" w:eastAsia="zh-CN"/>
              </w:rPr>
            </w:pPr>
            <w:r>
              <w:rPr>
                <w:rFonts w:hint="eastAsia"/>
                <w:lang w:val="en-US" w:eastAsia="zh-CN"/>
              </w:rPr>
              <w:t>（1）安全合规：</w:t>
            </w:r>
          </w:p>
          <w:p w14:paraId="262F5D0E">
            <w:pPr>
              <w:rPr>
                <w:rFonts w:hint="default"/>
                <w:lang w:val="en-US" w:eastAsia="zh-CN"/>
              </w:rPr>
            </w:pPr>
            <w:r>
              <w:rPr>
                <w:rFonts w:hint="eastAsia" w:ascii="宋体" w:hAnsi="宋体" w:eastAsia="宋体" w:cs="宋体"/>
                <w:lang w:val="en-US" w:eastAsia="zh-CN"/>
              </w:rPr>
              <w:t>①</w:t>
            </w:r>
            <w:r>
              <w:rPr>
                <w:rFonts w:hint="eastAsia"/>
                <w:lang w:val="en-US" w:eastAsia="zh-CN"/>
              </w:rPr>
              <w:t>室内材料须符合《GB 8624-2012》 建筑材料燃烧性能分级，优先选A1/A2级不燃材料，如金属、石材、防火板，禁止使用易燃材料，如普通塑料、未阻燃木材等。</w:t>
            </w:r>
          </w:p>
          <w:p w14:paraId="0FDFA9C2">
            <w:pPr>
              <w:rPr>
                <w:rFonts w:hint="eastAsia"/>
                <w:lang w:val="en-US" w:eastAsia="zh-CN"/>
              </w:rPr>
            </w:pPr>
            <w:r>
              <w:rPr>
                <w:rFonts w:hint="eastAsia" w:ascii="宋体" w:hAnsi="宋体" w:eastAsia="宋体" w:cs="宋体"/>
                <w:lang w:val="en-US" w:eastAsia="zh-CN"/>
              </w:rPr>
              <w:t>②</w:t>
            </w:r>
            <w:r>
              <w:rPr>
                <w:rFonts w:hint="eastAsia"/>
                <w:lang w:val="en-US" w:eastAsia="zh-CN"/>
              </w:rPr>
              <w:t>户外材料须抗风载、防坠落，如壁挂式须加固五金件，避免高空脱落。</w:t>
            </w:r>
          </w:p>
          <w:p w14:paraId="7AE95354">
            <w:pPr>
              <w:rPr>
                <w:rFonts w:hint="eastAsia"/>
                <w:lang w:val="en-US" w:eastAsia="zh-CN"/>
              </w:rPr>
            </w:pPr>
            <w:r>
              <w:rPr>
                <w:rFonts w:hint="eastAsia" w:ascii="宋体" w:hAnsi="宋体" w:eastAsia="宋体" w:cs="宋体"/>
                <w:lang w:val="en-US" w:eastAsia="zh-CN"/>
              </w:rPr>
              <w:t>③</w:t>
            </w:r>
            <w:r>
              <w:rPr>
                <w:rFonts w:hint="eastAsia"/>
                <w:lang w:val="en-US" w:eastAsia="zh-CN"/>
              </w:rPr>
              <w:t>无尖锐边角，尤其是公共区域，要求儿童接触场景须做圆角处理。</w:t>
            </w:r>
          </w:p>
          <w:p w14:paraId="2AC336AE">
            <w:pPr>
              <w:rPr>
                <w:rFonts w:hint="eastAsia"/>
                <w:lang w:val="en-US" w:eastAsia="zh-CN"/>
              </w:rPr>
            </w:pPr>
            <w:r>
              <w:rPr>
                <w:rFonts w:hint="eastAsia"/>
                <w:lang w:val="en-US" w:eastAsia="zh-CN"/>
              </w:rPr>
              <w:t>（2）耐用易维护：</w:t>
            </w:r>
          </w:p>
          <w:p w14:paraId="4BC974C5">
            <w:pPr>
              <w:rPr>
                <w:rFonts w:hint="eastAsia"/>
                <w:lang w:val="en-US" w:eastAsia="zh-CN"/>
              </w:rPr>
            </w:pPr>
            <w:r>
              <w:rPr>
                <w:rFonts w:hint="eastAsia" w:ascii="宋体" w:hAnsi="宋体" w:eastAsia="宋体" w:cs="宋体"/>
                <w:lang w:val="en-US" w:eastAsia="zh-CN"/>
              </w:rPr>
              <w:t>①</w:t>
            </w:r>
            <w:r>
              <w:rPr>
                <w:rFonts w:hint="eastAsia"/>
                <w:lang w:val="en-US" w:eastAsia="zh-CN"/>
              </w:rPr>
              <w:t>室内：防潮、防污、耐磨，如办公室、大厅需日常擦拭，要求使用材料耐受度高，避免易褪色。</w:t>
            </w:r>
          </w:p>
          <w:p w14:paraId="2FB65130">
            <w:pPr>
              <w:rPr>
                <w:rFonts w:hint="eastAsia"/>
                <w:lang w:val="en-US" w:eastAsia="zh-CN"/>
              </w:rPr>
            </w:pPr>
            <w:r>
              <w:rPr>
                <w:rFonts w:hint="eastAsia" w:ascii="宋体" w:hAnsi="宋体" w:eastAsia="宋体" w:cs="宋体"/>
                <w:lang w:val="en-US" w:eastAsia="zh-CN"/>
              </w:rPr>
              <w:t>②</w:t>
            </w:r>
            <w:r>
              <w:rPr>
                <w:rFonts w:hint="eastAsia"/>
                <w:lang w:val="en-US" w:eastAsia="zh-CN"/>
              </w:rPr>
              <w:t>户外：抗紫外线（UV）、耐高低温、防水防锈，如金属须做防腐涂层，禁止使用未处理木材材质）。</w:t>
            </w:r>
          </w:p>
          <w:p w14:paraId="067F37E9">
            <w:pPr>
              <w:rPr>
                <w:rFonts w:hint="eastAsia"/>
                <w:lang w:val="en-US" w:eastAsia="zh-CN"/>
              </w:rPr>
            </w:pPr>
            <w:r>
              <w:rPr>
                <w:rFonts w:hint="eastAsia" w:ascii="宋体" w:hAnsi="宋体" w:eastAsia="宋体" w:cs="宋体"/>
                <w:lang w:val="en-US" w:eastAsia="zh-CN"/>
              </w:rPr>
              <w:t>③</w:t>
            </w:r>
            <w:r>
              <w:rPr>
                <w:rFonts w:hint="eastAsia"/>
                <w:lang w:val="en-US" w:eastAsia="zh-CN"/>
              </w:rPr>
              <w:t>使用寿命：使用≥3年无需大幅更换的材质，如不锈钢、坚硬耐用石材等，减少维护成本。</w:t>
            </w:r>
          </w:p>
          <w:p w14:paraId="4247C4D3">
            <w:pPr>
              <w:rPr>
                <w:rFonts w:hint="eastAsia"/>
                <w:lang w:val="en-US" w:eastAsia="zh-CN"/>
              </w:rPr>
            </w:pPr>
            <w:r>
              <w:rPr>
                <w:rFonts w:hint="eastAsia"/>
                <w:lang w:val="en-US" w:eastAsia="zh-CN"/>
              </w:rPr>
              <w:t>（3）环保无危害：</w:t>
            </w:r>
          </w:p>
          <w:p w14:paraId="773D0CC4">
            <w:pPr>
              <w:rPr>
                <w:rFonts w:hint="eastAsia"/>
                <w:lang w:val="en-US" w:eastAsia="zh-CN"/>
              </w:rPr>
            </w:pPr>
            <w:r>
              <w:rPr>
                <w:rFonts w:hint="eastAsia" w:ascii="宋体" w:hAnsi="宋体" w:eastAsia="宋体" w:cs="宋体"/>
                <w:lang w:val="en-US" w:eastAsia="zh-CN"/>
              </w:rPr>
              <w:t>①</w:t>
            </w:r>
            <w:r>
              <w:rPr>
                <w:rFonts w:hint="eastAsia"/>
                <w:lang w:val="en-US" w:eastAsia="zh-CN"/>
              </w:rPr>
              <w:t>符合《GB 18585-2023》 室内装饰装修材料 壁纸中有害物质限量标准，无甲醛、重金属超标，如板材须选E0级环保板，涂料选水性环保漆。</w:t>
            </w:r>
          </w:p>
          <w:p w14:paraId="7203B253">
            <w:pPr>
              <w:rPr>
                <w:rFonts w:hint="eastAsia"/>
                <w:lang w:val="en-US" w:eastAsia="zh-CN"/>
              </w:rPr>
            </w:pPr>
            <w:r>
              <w:rPr>
                <w:rFonts w:hint="eastAsia" w:ascii="宋体" w:hAnsi="宋体" w:eastAsia="宋体" w:cs="宋体"/>
                <w:lang w:val="en-US" w:eastAsia="zh-CN"/>
              </w:rPr>
              <w:t>②</w:t>
            </w:r>
            <w:r>
              <w:rPr>
                <w:rFonts w:hint="eastAsia"/>
                <w:lang w:val="en-US" w:eastAsia="zh-CN"/>
              </w:rPr>
              <w:t>户外材质禁止使用易老化、释放有毒有害物质的回收塑料。</w:t>
            </w:r>
          </w:p>
          <w:p w14:paraId="3FE3B161">
            <w:pPr>
              <w:rPr>
                <w:rFonts w:hint="eastAsia"/>
                <w:b/>
                <w:bCs/>
                <w:lang w:val="en-US" w:eastAsia="zh-CN"/>
              </w:rPr>
            </w:pPr>
            <w:r>
              <w:rPr>
                <w:rFonts w:hint="eastAsia"/>
                <w:b/>
                <w:bCs/>
                <w:lang w:val="en-US" w:eastAsia="zh-CN"/>
              </w:rPr>
              <w:t>三、其他要求：</w:t>
            </w:r>
          </w:p>
          <w:p w14:paraId="3AE0E338">
            <w:pPr>
              <w:rPr>
                <w:rFonts w:hint="eastAsia"/>
                <w:lang w:val="en-US" w:eastAsia="zh-CN"/>
              </w:rPr>
            </w:pPr>
            <w:r>
              <w:rPr>
                <w:rFonts w:hint="eastAsia"/>
                <w:lang w:val="en-US" w:eastAsia="zh-CN"/>
              </w:rPr>
              <w:t>1、成交供应商须指定专门人员与采购人对接本项目一切事宜，对采购人提出的设计及实施意见无条件配合进行修改，不能采纳的须做出书面说明并得到采购人的认同。</w:t>
            </w:r>
          </w:p>
          <w:p w14:paraId="4481C964">
            <w:pPr>
              <w:numPr>
                <w:ilvl w:val="0"/>
                <w:numId w:val="0"/>
              </w:numPr>
              <w:ind w:leftChars="0"/>
              <w:rPr>
                <w:rFonts w:hint="eastAsia" w:ascii="宋体" w:hAnsi="宋体" w:eastAsia="宋体" w:cs="宋体"/>
                <w:szCs w:val="21"/>
                <w:lang w:val="en-US" w:eastAsia="zh-CN"/>
              </w:rPr>
            </w:pPr>
            <w:r>
              <w:rPr>
                <w:rFonts w:hint="eastAsia"/>
                <w:sz w:val="21"/>
                <w:szCs w:val="21"/>
                <w:lang w:val="en-US" w:eastAsia="zh-CN"/>
              </w:rPr>
              <w:t>2.响应</w:t>
            </w:r>
            <w:r>
              <w:rPr>
                <w:rFonts w:hint="eastAsia"/>
                <w:sz w:val="21"/>
                <w:szCs w:val="21"/>
              </w:rPr>
              <w:t>时响应人</w:t>
            </w:r>
            <w:r>
              <w:rPr>
                <w:rFonts w:hint="eastAsia"/>
                <w:sz w:val="21"/>
                <w:szCs w:val="21"/>
                <w:lang w:eastAsia="zh-CN"/>
              </w:rPr>
              <w:t>须</w:t>
            </w:r>
            <w:r>
              <w:rPr>
                <w:rFonts w:hint="eastAsia"/>
                <w:sz w:val="21"/>
                <w:szCs w:val="21"/>
              </w:rPr>
              <w:t>提交设计图一份，设计图仅用于采购评选参考，不作为最终的设计样式，最终设计样式须经采购人确认。</w:t>
            </w:r>
          </w:p>
        </w:tc>
        <w:tc>
          <w:tcPr>
            <w:tcW w:w="70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南宁中心血站朝阳捐血屋（机采）文化建设服务</w:t>
            </w:r>
          </w:p>
        </w:tc>
        <w:tc>
          <w:tcPr>
            <w:tcW w:w="22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4B945C79">
      <w:pPr>
        <w:rPr>
          <w:rFonts w:hint="eastAsia" w:ascii="仿宋" w:hAnsi="仿宋" w:eastAsia="仿宋"/>
          <w:color w:val="auto"/>
          <w:sz w:val="30"/>
          <w:szCs w:val="30"/>
        </w:rPr>
      </w:pPr>
    </w:p>
    <w:p w14:paraId="74324EAF">
      <w:pPr>
        <w:rPr>
          <w:rFonts w:hint="eastAsia" w:ascii="仿宋" w:hAnsi="仿宋" w:eastAsia="仿宋"/>
          <w:color w:val="auto"/>
          <w:sz w:val="30"/>
          <w:szCs w:val="30"/>
        </w:rPr>
      </w:pPr>
    </w:p>
    <w:p w14:paraId="6BEA0AE9">
      <w:pPr>
        <w:rPr>
          <w:rFonts w:hint="eastAsia" w:ascii="仿宋" w:hAnsi="仿宋" w:eastAsia="仿宋"/>
          <w:color w:val="auto"/>
          <w:sz w:val="30"/>
          <w:szCs w:val="30"/>
        </w:rPr>
      </w:pPr>
    </w:p>
    <w:p w14:paraId="7C5AA134">
      <w:pPr>
        <w:rPr>
          <w:rFonts w:hint="eastAsia" w:ascii="仿宋" w:hAnsi="仿宋" w:eastAsia="仿宋"/>
          <w:color w:val="auto"/>
          <w:sz w:val="30"/>
          <w:szCs w:val="30"/>
        </w:rPr>
      </w:pPr>
    </w:p>
    <w:p w14:paraId="076BA863">
      <w:pPr>
        <w:rPr>
          <w:rFonts w:hint="eastAsia" w:ascii="仿宋" w:hAnsi="仿宋" w:eastAsia="仿宋"/>
          <w:color w:val="auto"/>
          <w:sz w:val="30"/>
          <w:szCs w:val="30"/>
        </w:rPr>
      </w:pPr>
    </w:p>
    <w:p w14:paraId="5E697CDA">
      <w:pPr>
        <w:rPr>
          <w:rFonts w:hint="eastAsia" w:ascii="仿宋" w:hAnsi="仿宋" w:eastAsia="仿宋"/>
          <w:color w:val="auto"/>
          <w:sz w:val="30"/>
          <w:szCs w:val="30"/>
        </w:rPr>
      </w:pPr>
    </w:p>
    <w:p w14:paraId="52403FE2">
      <w:pPr>
        <w:rPr>
          <w:rFonts w:hint="eastAsia" w:ascii="仿宋" w:hAnsi="仿宋" w:eastAsia="仿宋"/>
          <w:color w:val="auto"/>
          <w:sz w:val="30"/>
          <w:szCs w:val="30"/>
        </w:rPr>
      </w:pPr>
    </w:p>
    <w:p w14:paraId="4B19812C">
      <w:pPr>
        <w:rPr>
          <w:rFonts w:hint="eastAsia" w:ascii="仿宋" w:hAnsi="仿宋" w:eastAsia="仿宋"/>
          <w:color w:val="auto"/>
          <w:sz w:val="30"/>
          <w:szCs w:val="30"/>
        </w:rPr>
      </w:pPr>
    </w:p>
    <w:p w14:paraId="742DD621">
      <w:pPr>
        <w:rPr>
          <w:rFonts w:hint="eastAsia" w:ascii="仿宋" w:hAnsi="仿宋" w:eastAsia="仿宋"/>
          <w:color w:val="auto"/>
          <w:sz w:val="30"/>
          <w:szCs w:val="30"/>
        </w:rPr>
      </w:pPr>
    </w:p>
    <w:p w14:paraId="5FC7FE81">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rPr>
              <w:t>合同签订期：</w:t>
            </w:r>
            <w:r>
              <w:rPr>
                <w:rFonts w:hint="eastAsia"/>
              </w:rPr>
              <w:t>自采购结果公示结束后</w:t>
            </w:r>
            <w:r>
              <w:rPr>
                <w:rFonts w:hint="eastAsia"/>
                <w:lang w:val="en-US" w:eastAsia="zh-CN"/>
              </w:rPr>
              <w:t>5</w:t>
            </w:r>
            <w:r>
              <w:rPr>
                <w:rFonts w:hint="eastAsia"/>
              </w:rPr>
              <w:t>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rPr>
              <w:t>服务</w:t>
            </w:r>
            <w:r>
              <w:rPr>
                <w:rFonts w:hint="eastAsia"/>
                <w:b/>
                <w:bCs/>
                <w:color w:val="auto"/>
                <w:lang w:val="en-US" w:eastAsia="zh-CN"/>
              </w:rPr>
              <w:t>期限</w:t>
            </w:r>
            <w:r>
              <w:rPr>
                <w:rFonts w:hint="eastAsia"/>
                <w:b/>
                <w:bCs/>
                <w:color w:val="auto"/>
              </w:rPr>
              <w:t>：</w:t>
            </w:r>
            <w:r>
              <w:rPr>
                <w:rFonts w:hint="eastAsia"/>
                <w:color w:val="auto"/>
              </w:rPr>
              <w:t>自合同签订之日起</w:t>
            </w:r>
            <w:r>
              <w:rPr>
                <w:rFonts w:hint="eastAsia"/>
                <w:color w:val="auto"/>
                <w:lang w:val="en-US" w:eastAsia="zh-CN"/>
              </w:rPr>
              <w:t>3</w:t>
            </w:r>
            <w:r>
              <w:rPr>
                <w:rFonts w:hint="eastAsia"/>
                <w:color w:val="auto"/>
              </w:rPr>
              <w:t>个工作日内完成最终设计图稿，</w:t>
            </w:r>
            <w:r>
              <w:rPr>
                <w:rFonts w:hint="eastAsia"/>
                <w:color w:val="auto"/>
                <w:lang w:val="en-US" w:eastAsia="zh-CN"/>
              </w:rPr>
              <w:t>采购人</w:t>
            </w:r>
            <w:r>
              <w:rPr>
                <w:rFonts w:hint="eastAsia"/>
                <w:color w:val="auto"/>
              </w:rPr>
              <w:t>确定最终设计图稿后，</w:t>
            </w:r>
            <w:r>
              <w:rPr>
                <w:rFonts w:hint="eastAsia"/>
                <w:color w:val="auto"/>
                <w:lang w:eastAsia="zh-CN"/>
              </w:rPr>
              <w:t>2</w:t>
            </w:r>
            <w:r>
              <w:rPr>
                <w:rFonts w:hint="eastAsia"/>
                <w:color w:val="auto"/>
                <w:lang w:val="en-US" w:eastAsia="zh-CN"/>
              </w:rPr>
              <w:t>025年12月20日前</w:t>
            </w:r>
            <w:r>
              <w:rPr>
                <w:rFonts w:hint="eastAsia"/>
                <w:color w:val="auto"/>
              </w:rPr>
              <w:t>完成制作安装。</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35BFFFD1">
            <w:pPr>
              <w:spacing w:line="400" w:lineRule="exact"/>
              <w:rPr>
                <w:rFonts w:hint="eastAsia" w:asciiTheme="minorEastAsia" w:hAnsiTheme="minorEastAsia" w:eastAsiaTheme="minorEastAsia" w:cstheme="minorEastAsia"/>
                <w:color w:val="auto"/>
                <w:kern w:val="2"/>
                <w:szCs w:val="21"/>
                <w:lang w:val="en-US" w:eastAsia="zh-CN" w:bidi="ar-SA"/>
              </w:rPr>
            </w:pPr>
            <w:r>
              <w:rPr>
                <w:rFonts w:hint="eastAsia"/>
                <w:b/>
                <w:bCs/>
              </w:rPr>
              <w:t>服务地点：</w:t>
            </w:r>
            <w:r>
              <w:rPr>
                <w:rFonts w:hint="eastAsia"/>
              </w:rPr>
              <w:t>南宁中心血站指定地点。</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4355DC47">
            <w:pPr>
              <w:spacing w:line="400" w:lineRule="exact"/>
              <w:rPr>
                <w:b/>
                <w:bCs/>
              </w:rPr>
            </w:pPr>
            <w:r>
              <w:rPr>
                <w:rFonts w:hint="eastAsia"/>
                <w:b/>
                <w:bCs/>
              </w:rPr>
              <w:t>售后服务要求：</w:t>
            </w:r>
          </w:p>
          <w:p w14:paraId="32950C4E">
            <w:pPr>
              <w:spacing w:line="400" w:lineRule="exact"/>
              <w:rPr>
                <w:color w:val="auto"/>
              </w:rPr>
            </w:pPr>
            <w:r>
              <w:rPr>
                <w:rFonts w:hint="eastAsia"/>
                <w:color w:val="auto"/>
                <w:lang w:val="en-US" w:eastAsia="zh-CN"/>
              </w:rPr>
              <w:t>1.</w:t>
            </w:r>
            <w:r>
              <w:rPr>
                <w:rFonts w:hint="eastAsia"/>
                <w:color w:val="auto"/>
              </w:rPr>
              <w:t>质量保证期：服务验收合格之日起</w:t>
            </w:r>
            <w:r>
              <w:rPr>
                <w:rFonts w:hint="eastAsia"/>
                <w:color w:val="auto"/>
                <w:lang w:eastAsia="zh-CN"/>
              </w:rPr>
              <w:t>一</w:t>
            </w:r>
            <w:r>
              <w:rPr>
                <w:rFonts w:hint="eastAsia"/>
                <w:color w:val="auto"/>
              </w:rPr>
              <w:t>年</w:t>
            </w:r>
            <w:r>
              <w:rPr>
                <w:rFonts w:hint="eastAsia"/>
                <w:color w:val="auto"/>
                <w:lang w:eastAsia="zh-CN"/>
              </w:rPr>
              <w:t>，期间出现质量问题的，成交供应商</w:t>
            </w:r>
            <w:r>
              <w:rPr>
                <w:rFonts w:hint="eastAsia"/>
                <w:color w:val="auto"/>
                <w:lang w:val="en-US" w:eastAsia="zh-CN"/>
              </w:rPr>
              <w:t>须</w:t>
            </w:r>
            <w:r>
              <w:rPr>
                <w:rFonts w:hint="eastAsia"/>
                <w:color w:val="auto"/>
                <w:lang w:eastAsia="zh-CN"/>
              </w:rPr>
              <w:t>无条件进行修改、维修或更换</w:t>
            </w:r>
            <w:r>
              <w:rPr>
                <w:rFonts w:hint="eastAsia"/>
                <w:color w:val="auto"/>
              </w:rPr>
              <w:t>。</w:t>
            </w:r>
          </w:p>
          <w:p w14:paraId="710A1DD4">
            <w:pPr>
              <w:spacing w:line="400" w:lineRule="exact"/>
              <w:rPr>
                <w:rFonts w:hint="eastAsia" w:hAnsi="宋体" w:cs="宋体"/>
                <w:szCs w:val="21"/>
                <w:lang w:val="en-US" w:eastAsia="zh-CN"/>
              </w:rPr>
            </w:pPr>
            <w:r>
              <w:rPr>
                <w:rFonts w:hint="eastAsia"/>
                <w:lang w:val="en-US" w:eastAsia="zh-CN"/>
              </w:rPr>
              <w:t>2.</w:t>
            </w:r>
            <w:r>
              <w:rPr>
                <w:rFonts w:hint="eastAsia"/>
              </w:rPr>
              <w:t>处理问题响应时间：接到采购人处理问题通知后4小时内到达采购人指定现场</w:t>
            </w:r>
            <w:r>
              <w:rPr>
                <w:rFonts w:hint="eastAsia"/>
                <w:lang w:val="en-US" w:eastAsia="zh-CN"/>
              </w:rPr>
              <w:t>处理</w:t>
            </w:r>
            <w:r>
              <w:rPr>
                <w:rFonts w:hint="eastAsia"/>
              </w:rPr>
              <w:t>。</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7E196679">
            <w:pPr>
              <w:spacing w:line="240" w:lineRule="auto"/>
              <w:rPr>
                <w:b/>
                <w:bCs/>
              </w:rPr>
            </w:pPr>
            <w:r>
              <w:rPr>
                <w:rFonts w:hint="eastAsia"/>
                <w:b/>
                <w:bCs/>
                <w:lang w:val="en-US" w:eastAsia="zh-CN"/>
              </w:rPr>
              <w:t>其他要求</w:t>
            </w:r>
            <w:r>
              <w:rPr>
                <w:rFonts w:hint="eastAsia"/>
                <w:b/>
                <w:bCs/>
              </w:rPr>
              <w:t>：</w:t>
            </w:r>
          </w:p>
          <w:p w14:paraId="4A2AAE0E">
            <w:pPr>
              <w:bidi w:val="0"/>
              <w:spacing w:line="240" w:lineRule="auto"/>
              <w:rPr>
                <w:rFonts w:hint="default"/>
              </w:rPr>
            </w:pPr>
            <w:r>
              <w:rPr>
                <w:rFonts w:hint="eastAsia"/>
                <w:lang w:val="en-US" w:eastAsia="zh-CN"/>
              </w:rPr>
              <w:t>1.</w:t>
            </w:r>
            <w:r>
              <w:rPr>
                <w:rFonts w:hint="eastAsia"/>
              </w:rPr>
              <w:t>报价必须含以下部分，包括：</w:t>
            </w:r>
          </w:p>
          <w:p w14:paraId="4C99AD82">
            <w:pPr>
              <w:bidi w:val="0"/>
              <w:spacing w:line="240" w:lineRule="auto"/>
              <w:rPr>
                <w:rFonts w:hint="default"/>
              </w:rPr>
            </w:pPr>
            <w:r>
              <w:rPr>
                <w:rFonts w:hint="eastAsia"/>
              </w:rPr>
              <w:t>（1）服务的价格；</w:t>
            </w:r>
          </w:p>
          <w:p w14:paraId="018B1AA1">
            <w:pPr>
              <w:bidi w:val="0"/>
              <w:spacing w:line="240" w:lineRule="auto"/>
              <w:rPr>
                <w:rFonts w:hint="default"/>
              </w:rPr>
            </w:pPr>
            <w:r>
              <w:rPr>
                <w:rFonts w:hint="eastAsia"/>
              </w:rPr>
              <w:t>（2）服务所需材料、标准附件、备品备件、专用工具的价格；</w:t>
            </w:r>
          </w:p>
          <w:p w14:paraId="7E607277">
            <w:pPr>
              <w:bidi w:val="0"/>
              <w:spacing w:line="240" w:lineRule="auto"/>
              <w:rPr>
                <w:rFonts w:hint="default"/>
              </w:rPr>
            </w:pPr>
            <w:r>
              <w:rPr>
                <w:rFonts w:hint="eastAsia"/>
              </w:rPr>
              <w:t>（3）</w:t>
            </w:r>
            <w:r>
              <w:rPr>
                <w:rFonts w:hint="eastAsia"/>
                <w:lang w:val="en-US" w:eastAsia="zh-CN"/>
              </w:rPr>
              <w:t>人工、</w:t>
            </w:r>
            <w:r>
              <w:rPr>
                <w:rFonts w:hint="eastAsia"/>
              </w:rPr>
              <w:t>运输、装卸、吊装、技术支持、售后服务等费用；</w:t>
            </w:r>
          </w:p>
          <w:p w14:paraId="30516A59">
            <w:pPr>
              <w:bidi w:val="0"/>
              <w:spacing w:line="240" w:lineRule="auto"/>
              <w:rPr>
                <w:rFonts w:hint="default"/>
              </w:rPr>
            </w:pPr>
            <w:r>
              <w:rPr>
                <w:rFonts w:hint="eastAsia"/>
              </w:rPr>
              <w:t>（4）必要的保险费用和各项税费；</w:t>
            </w:r>
          </w:p>
          <w:p w14:paraId="51CEA8AA">
            <w:pPr>
              <w:spacing w:line="240" w:lineRule="auto"/>
              <w:rPr>
                <w:rFonts w:hint="eastAsia"/>
              </w:rPr>
            </w:pPr>
            <w:r>
              <w:rPr>
                <w:rFonts w:hint="eastAsia"/>
              </w:rPr>
              <w:t>（5）设计费、安装费、人工费、交通费、维护费等所有费用。</w:t>
            </w:r>
          </w:p>
          <w:p w14:paraId="6804F1B8">
            <w:pPr>
              <w:spacing w:line="240" w:lineRule="auto"/>
              <w:rPr>
                <w:rFonts w:hint="eastAsia" w:ascii="宋体" w:hAnsi="宋体" w:eastAsia="宋体" w:cs="Times New Roman"/>
                <w:b/>
                <w:bCs/>
                <w:kern w:val="2"/>
                <w:szCs w:val="21"/>
                <w:lang w:val="en-US" w:eastAsia="zh-CN" w:bidi="ar-SA"/>
              </w:rPr>
            </w:pPr>
            <w:r>
              <w:rPr>
                <w:rFonts w:hint="eastAsia"/>
                <w:lang w:val="en-US" w:eastAsia="zh-CN"/>
              </w:rPr>
              <w:t>2.</w:t>
            </w:r>
            <w:r>
              <w:rPr>
                <w:rFonts w:hint="eastAsia"/>
              </w:rPr>
              <w:t>付款方式：服务完成并经采购人验收合格后采购人一次性支付合同款（付款前成交供应商须提供等额合规的增值税发票</w:t>
            </w:r>
            <w:r>
              <w:rPr>
                <w:rFonts w:hint="eastAsia"/>
                <w:lang w:val="en-US" w:eastAsia="zh-CN"/>
              </w:rPr>
              <w:t>给到采购人</w:t>
            </w:r>
            <w:r>
              <w:rPr>
                <w:rFonts w:hint="eastAsia"/>
              </w:rPr>
              <w:t>）。</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8FD7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1BB1B84">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6B9D636F">
            <w:pPr>
              <w:spacing w:line="400" w:lineRule="exact"/>
              <w:rPr>
                <w:b/>
                <w:bCs/>
              </w:rPr>
            </w:pPr>
            <w:r>
              <w:rPr>
                <w:rFonts w:hint="eastAsia"/>
                <w:b/>
                <w:bCs/>
              </w:rPr>
              <w:t>验收标准：</w:t>
            </w:r>
          </w:p>
          <w:p w14:paraId="51CA8CA9">
            <w:pPr>
              <w:spacing w:line="400" w:lineRule="exact"/>
            </w:pPr>
            <w:r>
              <w:rPr>
                <w:rFonts w:hint="eastAsia"/>
                <w:lang w:val="en-US" w:eastAsia="zh-CN"/>
              </w:rPr>
              <w:t>1.</w:t>
            </w:r>
            <w:r>
              <w:rPr>
                <w:rFonts w:hint="eastAsia"/>
              </w:rPr>
              <w:t>本项目完成后</w:t>
            </w:r>
            <w:r>
              <w:rPr>
                <w:rFonts w:hint="eastAsia"/>
                <w:lang w:val="en-US" w:eastAsia="zh-CN"/>
              </w:rPr>
              <w:t>成交</w:t>
            </w:r>
            <w:r>
              <w:rPr>
                <w:rFonts w:hint="eastAsia"/>
              </w:rPr>
              <w:t>供应商可向采购人提出申请验收。</w:t>
            </w:r>
          </w:p>
          <w:p w14:paraId="00FB97AD">
            <w:pPr>
              <w:spacing w:line="400" w:lineRule="exact"/>
            </w:pPr>
            <w:r>
              <w:rPr>
                <w:rFonts w:hint="eastAsia"/>
                <w:lang w:val="en-US" w:eastAsia="zh-CN"/>
              </w:rPr>
              <w:t>2.</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w:t>
            </w:r>
          </w:p>
          <w:p w14:paraId="6D650AC3">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lang w:val="en-US" w:eastAsia="zh-CN"/>
              </w:rPr>
              <w:t>3.</w:t>
            </w:r>
            <w:r>
              <w:rPr>
                <w:rFonts w:hint="eastAsia"/>
              </w:rPr>
              <w:t>首次验收不合格的，可由</w:t>
            </w:r>
            <w:r>
              <w:rPr>
                <w:rFonts w:hint="eastAsia"/>
                <w:lang w:val="en-US" w:eastAsia="zh-CN"/>
              </w:rPr>
              <w:t>成交</w:t>
            </w:r>
            <w:r>
              <w:rPr>
                <w:rFonts w:hint="eastAsia"/>
              </w:rPr>
              <w:t>供应商在</w:t>
            </w:r>
            <w:r>
              <w:rPr>
                <w:rFonts w:hint="eastAsia"/>
                <w:lang w:val="en-US" w:eastAsia="zh-CN"/>
              </w:rPr>
              <w:t>接到采购人通知</w:t>
            </w:r>
            <w:r>
              <w:rPr>
                <w:rFonts w:hint="eastAsia"/>
              </w:rPr>
              <w:t>之日起5个工作日内</w:t>
            </w:r>
            <w:r>
              <w:rPr>
                <w:rFonts w:hint="eastAsia"/>
                <w:lang w:val="en-US" w:eastAsia="zh-CN"/>
              </w:rPr>
              <w:t>整改并</w:t>
            </w:r>
            <w:r>
              <w:rPr>
                <w:rFonts w:hint="eastAsia"/>
              </w:rPr>
              <w:t>申请重新验收，若重新验收不合格的，则将被视为违约。</w:t>
            </w:r>
          </w:p>
        </w:tc>
        <w:tc>
          <w:tcPr>
            <w:tcW w:w="3312" w:type="dxa"/>
            <w:shd w:val="clear" w:color="auto" w:fill="auto"/>
            <w:vAlign w:val="center"/>
          </w:tcPr>
          <w:p w14:paraId="5CDB2BA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3D04EE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62A85093">
      <w:pPr>
        <w:pStyle w:val="6"/>
        <w:spacing w:line="560" w:lineRule="exact"/>
        <w:rPr>
          <w:rFonts w:hint="eastAsia" w:ascii="仿宋" w:hAnsi="仿宋" w:eastAsia="仿宋" w:cstheme="minorEastAsia"/>
          <w:color w:val="auto"/>
          <w:sz w:val="28"/>
          <w:szCs w:val="28"/>
        </w:rPr>
      </w:pPr>
    </w:p>
    <w:p w14:paraId="6005B808">
      <w:pPr>
        <w:pStyle w:val="6"/>
        <w:spacing w:line="560" w:lineRule="exact"/>
        <w:rPr>
          <w:rFonts w:hint="eastAsia" w:ascii="仿宋" w:hAnsi="仿宋" w:eastAsia="仿宋" w:cstheme="minorEastAsia"/>
          <w:color w:val="auto"/>
          <w:sz w:val="28"/>
          <w:szCs w:val="28"/>
        </w:rPr>
      </w:pPr>
    </w:p>
    <w:p w14:paraId="18E9E321">
      <w:pPr>
        <w:pStyle w:val="6"/>
        <w:spacing w:line="560" w:lineRule="exact"/>
        <w:rPr>
          <w:rFonts w:hint="eastAsia" w:ascii="仿宋" w:hAnsi="仿宋" w:eastAsia="仿宋" w:cstheme="minorEastAsia"/>
          <w:color w:val="auto"/>
          <w:sz w:val="28"/>
          <w:szCs w:val="28"/>
        </w:rPr>
      </w:pPr>
    </w:p>
    <w:p w14:paraId="67D94D37">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南宁中心血站朝阳捐血屋（机采）文化建设服务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2025</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FC9A89-1DC0-4D61-8FEA-E8E65D5E77CC}"/>
  </w:font>
  <w:font w:name="Courier New">
    <w:panose1 w:val="02070309020205020404"/>
    <w:charset w:val="01"/>
    <w:family w:val="modern"/>
    <w:pitch w:val="default"/>
    <w:sig w:usb0="E0002EFF" w:usb1="C0007843" w:usb2="00000009" w:usb3="00000000" w:csb0="400001FF" w:csb1="FFFF0000"/>
    <w:embedRegular r:id="rId2" w:fontKey="{BD8A4976-A28B-4986-B4CD-2C58552A076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9471841-2B60-4F46-85A7-1219CB6124E5}"/>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B730D76A-325E-45C2-A9AE-92F6F2F80B5B}"/>
  </w:font>
  <w:font w:name="仿宋_GB2312">
    <w:panose1 w:val="02010609030101010101"/>
    <w:charset w:val="86"/>
    <w:family w:val="modern"/>
    <w:pitch w:val="default"/>
    <w:sig w:usb0="00000001" w:usb1="080E0000" w:usb2="00000000" w:usb3="00000000" w:csb0="00040000" w:csb1="00000000"/>
    <w:embedRegular r:id="rId5" w:fontKey="{AF2D2B65-CD83-4558-A6E6-4AF22D13E777}"/>
  </w:font>
  <w:font w:name="Lucida Sans Unicode">
    <w:panose1 w:val="020B0602030504020204"/>
    <w:charset w:val="00"/>
    <w:family w:val="swiss"/>
    <w:pitch w:val="default"/>
    <w:sig w:usb0="80001AFF" w:usb1="0000396B" w:usb2="00000000" w:usb3="00000000" w:csb0="200000BF" w:csb1="D7F70000"/>
    <w:embedRegular r:id="rId6" w:fontKey="{AED56818-8C08-4354-B5EE-C430C4390242}"/>
  </w:font>
  <w:font w:name="方正楷体_GB2312">
    <w:panose1 w:val="02000000000000000000"/>
    <w:charset w:val="86"/>
    <w:family w:val="auto"/>
    <w:pitch w:val="default"/>
    <w:sig w:usb0="A00002BF" w:usb1="184F6CFA" w:usb2="00000012" w:usb3="00000000" w:csb0="00040001" w:csb1="00000000"/>
    <w:embedRegular r:id="rId7" w:fontKey="{E0E9B588-F05A-4952-91F2-F1745AA334D7}"/>
  </w:font>
  <w:font w:name="仿宋">
    <w:panose1 w:val="02010609060101010101"/>
    <w:charset w:val="86"/>
    <w:family w:val="modern"/>
    <w:pitch w:val="default"/>
    <w:sig w:usb0="800002BF" w:usb1="38CF7CFA" w:usb2="00000016" w:usb3="00000000" w:csb0="00040001" w:csb1="00000000"/>
    <w:embedRegular r:id="rId8" w:fontKey="{31054E75-810E-4471-9C8B-5500B0E74738}"/>
  </w:font>
  <w:font w:name="Wingdings 2">
    <w:panose1 w:val="05020102010507070707"/>
    <w:charset w:val="02"/>
    <w:family w:val="roman"/>
    <w:pitch w:val="default"/>
    <w:sig w:usb0="00000000" w:usb1="00000000" w:usb2="00000000" w:usb3="00000000" w:csb0="80000000" w:csb1="00000000"/>
    <w:embedRegular r:id="rId9" w:fontKey="{4993EF66-8B08-4E74-91B8-B57282BE5A6C}"/>
  </w:font>
  <w:font w:name="方正公文小标宋">
    <w:panose1 w:val="02000500000000000000"/>
    <w:charset w:val="86"/>
    <w:family w:val="auto"/>
    <w:pitch w:val="default"/>
    <w:sig w:usb0="A00002BF" w:usb1="38CF7CFA" w:usb2="00000016" w:usb3="00000000" w:csb0="00040001" w:csb1="00000000"/>
    <w:embedRegular r:id="rId10" w:fontKey="{27CD9712-9353-4608-B4C2-8A3D49E7A7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8CC5807"/>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CD246FC"/>
    <w:rsid w:val="0D013620"/>
    <w:rsid w:val="0D083FB4"/>
    <w:rsid w:val="0D814026"/>
    <w:rsid w:val="0D941D88"/>
    <w:rsid w:val="0D950C99"/>
    <w:rsid w:val="0DBF3613"/>
    <w:rsid w:val="0DC81C4F"/>
    <w:rsid w:val="0DCD546C"/>
    <w:rsid w:val="0DCE6ECC"/>
    <w:rsid w:val="0E170543"/>
    <w:rsid w:val="0E810B5D"/>
    <w:rsid w:val="0E9F40E0"/>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98193E"/>
    <w:rsid w:val="11A66BE9"/>
    <w:rsid w:val="11BD2408"/>
    <w:rsid w:val="11CB1987"/>
    <w:rsid w:val="11D72467"/>
    <w:rsid w:val="12066C99"/>
    <w:rsid w:val="12114284"/>
    <w:rsid w:val="122F2B31"/>
    <w:rsid w:val="12456514"/>
    <w:rsid w:val="12811843"/>
    <w:rsid w:val="12A07ED9"/>
    <w:rsid w:val="12AB25F0"/>
    <w:rsid w:val="12C67FE1"/>
    <w:rsid w:val="12C7072D"/>
    <w:rsid w:val="12DA0857"/>
    <w:rsid w:val="13543637"/>
    <w:rsid w:val="13741F37"/>
    <w:rsid w:val="1377175D"/>
    <w:rsid w:val="137C0A6C"/>
    <w:rsid w:val="13CC212A"/>
    <w:rsid w:val="13D02F96"/>
    <w:rsid w:val="13E40E6B"/>
    <w:rsid w:val="146513D2"/>
    <w:rsid w:val="14DC1B42"/>
    <w:rsid w:val="151818CF"/>
    <w:rsid w:val="15410DBB"/>
    <w:rsid w:val="159B05EE"/>
    <w:rsid w:val="15D77522"/>
    <w:rsid w:val="15E6300F"/>
    <w:rsid w:val="15FF01DE"/>
    <w:rsid w:val="16022C53"/>
    <w:rsid w:val="1618239C"/>
    <w:rsid w:val="166F71B6"/>
    <w:rsid w:val="16921052"/>
    <w:rsid w:val="169A52DA"/>
    <w:rsid w:val="16DE11C9"/>
    <w:rsid w:val="16F969DB"/>
    <w:rsid w:val="176E046D"/>
    <w:rsid w:val="177D28D5"/>
    <w:rsid w:val="180350FE"/>
    <w:rsid w:val="18504D21"/>
    <w:rsid w:val="186E51A7"/>
    <w:rsid w:val="18A92683"/>
    <w:rsid w:val="18B072E8"/>
    <w:rsid w:val="18ED07C2"/>
    <w:rsid w:val="19A5109C"/>
    <w:rsid w:val="19CF6178"/>
    <w:rsid w:val="1A4274B5"/>
    <w:rsid w:val="1A6D6D72"/>
    <w:rsid w:val="1A73374A"/>
    <w:rsid w:val="1AF914A3"/>
    <w:rsid w:val="1B1F4E7E"/>
    <w:rsid w:val="1B2F36F2"/>
    <w:rsid w:val="1B5C39DD"/>
    <w:rsid w:val="1B7B31E3"/>
    <w:rsid w:val="1B930CD4"/>
    <w:rsid w:val="1C1D13BE"/>
    <w:rsid w:val="1C6D0874"/>
    <w:rsid w:val="1C890801"/>
    <w:rsid w:val="1C9C7248"/>
    <w:rsid w:val="1C9D2311"/>
    <w:rsid w:val="1CFD0F69"/>
    <w:rsid w:val="1D0D530F"/>
    <w:rsid w:val="1D1B7434"/>
    <w:rsid w:val="1D4A6F57"/>
    <w:rsid w:val="1D5F1ADA"/>
    <w:rsid w:val="1D621B51"/>
    <w:rsid w:val="1D787EB6"/>
    <w:rsid w:val="1E0740D4"/>
    <w:rsid w:val="1E4569AA"/>
    <w:rsid w:val="1E4824ED"/>
    <w:rsid w:val="1E4E1501"/>
    <w:rsid w:val="1E5B2BDA"/>
    <w:rsid w:val="1E5C596F"/>
    <w:rsid w:val="1E61668F"/>
    <w:rsid w:val="1E6848B0"/>
    <w:rsid w:val="1E8F7D17"/>
    <w:rsid w:val="1EC97AD9"/>
    <w:rsid w:val="1F204D21"/>
    <w:rsid w:val="1F666BD8"/>
    <w:rsid w:val="1F9D6372"/>
    <w:rsid w:val="1FF06500"/>
    <w:rsid w:val="203B74FB"/>
    <w:rsid w:val="20850145"/>
    <w:rsid w:val="20EC5803"/>
    <w:rsid w:val="214055A5"/>
    <w:rsid w:val="214E63C4"/>
    <w:rsid w:val="21DC7625"/>
    <w:rsid w:val="21FF5741"/>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D9587B"/>
    <w:rsid w:val="25FC2044"/>
    <w:rsid w:val="270A6969"/>
    <w:rsid w:val="271355A6"/>
    <w:rsid w:val="27207FB4"/>
    <w:rsid w:val="27253CD1"/>
    <w:rsid w:val="27392E24"/>
    <w:rsid w:val="27400126"/>
    <w:rsid w:val="2758774E"/>
    <w:rsid w:val="277D0F63"/>
    <w:rsid w:val="27B45173"/>
    <w:rsid w:val="27B73849"/>
    <w:rsid w:val="27CA2CF9"/>
    <w:rsid w:val="284E6D01"/>
    <w:rsid w:val="28992885"/>
    <w:rsid w:val="293A3A09"/>
    <w:rsid w:val="29415831"/>
    <w:rsid w:val="294361DC"/>
    <w:rsid w:val="299C033F"/>
    <w:rsid w:val="29AB70CB"/>
    <w:rsid w:val="29B835FE"/>
    <w:rsid w:val="29E663CA"/>
    <w:rsid w:val="2A3A75DF"/>
    <w:rsid w:val="2A9B5BE2"/>
    <w:rsid w:val="2ABC38D2"/>
    <w:rsid w:val="2B006E0D"/>
    <w:rsid w:val="2B0C3671"/>
    <w:rsid w:val="2B1F337E"/>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842258"/>
    <w:rsid w:val="34CF3F2A"/>
    <w:rsid w:val="34EA4438"/>
    <w:rsid w:val="34ED5335"/>
    <w:rsid w:val="35234768"/>
    <w:rsid w:val="35577297"/>
    <w:rsid w:val="35935DF5"/>
    <w:rsid w:val="359904C0"/>
    <w:rsid w:val="35A07B86"/>
    <w:rsid w:val="35AD02FE"/>
    <w:rsid w:val="35C3060D"/>
    <w:rsid w:val="35CA2F0A"/>
    <w:rsid w:val="36323860"/>
    <w:rsid w:val="369F7771"/>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8543BA"/>
    <w:rsid w:val="3D932B45"/>
    <w:rsid w:val="3DB13215"/>
    <w:rsid w:val="3DB73ABE"/>
    <w:rsid w:val="3DC47A8A"/>
    <w:rsid w:val="3E03620E"/>
    <w:rsid w:val="3E1758C2"/>
    <w:rsid w:val="3E201DB2"/>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71776E"/>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1FD0A78"/>
    <w:rsid w:val="426C3EBF"/>
    <w:rsid w:val="42E77DD1"/>
    <w:rsid w:val="436239D7"/>
    <w:rsid w:val="437E1E93"/>
    <w:rsid w:val="4384743B"/>
    <w:rsid w:val="43A318F9"/>
    <w:rsid w:val="43EF4389"/>
    <w:rsid w:val="44142A03"/>
    <w:rsid w:val="44147E9F"/>
    <w:rsid w:val="444D69AF"/>
    <w:rsid w:val="44616288"/>
    <w:rsid w:val="44942BEF"/>
    <w:rsid w:val="450F2962"/>
    <w:rsid w:val="452B1BA6"/>
    <w:rsid w:val="454C2B49"/>
    <w:rsid w:val="45533BC2"/>
    <w:rsid w:val="45570BED"/>
    <w:rsid w:val="456B4699"/>
    <w:rsid w:val="45D636A5"/>
    <w:rsid w:val="45E924B9"/>
    <w:rsid w:val="45EF323D"/>
    <w:rsid w:val="46523C26"/>
    <w:rsid w:val="466727DF"/>
    <w:rsid w:val="468365B4"/>
    <w:rsid w:val="46BB51AC"/>
    <w:rsid w:val="47287BC0"/>
    <w:rsid w:val="47CF0F0F"/>
    <w:rsid w:val="47E94795"/>
    <w:rsid w:val="483239E1"/>
    <w:rsid w:val="48883FAF"/>
    <w:rsid w:val="48A76385"/>
    <w:rsid w:val="48B26041"/>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1459E0"/>
    <w:rsid w:val="4B7122DD"/>
    <w:rsid w:val="4BA12D60"/>
    <w:rsid w:val="4BBE19C6"/>
    <w:rsid w:val="4BE930B0"/>
    <w:rsid w:val="4C2D1481"/>
    <w:rsid w:val="4C612351"/>
    <w:rsid w:val="4C686FB0"/>
    <w:rsid w:val="4CBB7F79"/>
    <w:rsid w:val="4CBF59F6"/>
    <w:rsid w:val="4CD15729"/>
    <w:rsid w:val="4CD34FFD"/>
    <w:rsid w:val="4D0072CE"/>
    <w:rsid w:val="4D2052BB"/>
    <w:rsid w:val="4D322D6F"/>
    <w:rsid w:val="4D5D520F"/>
    <w:rsid w:val="4D7F0281"/>
    <w:rsid w:val="4D8B18DC"/>
    <w:rsid w:val="4DF146DD"/>
    <w:rsid w:val="4DF267BC"/>
    <w:rsid w:val="4E451EC7"/>
    <w:rsid w:val="4E5E0AB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1F779E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443D8D"/>
    <w:rsid w:val="58AF0706"/>
    <w:rsid w:val="58B629CB"/>
    <w:rsid w:val="59061BCE"/>
    <w:rsid w:val="593501E9"/>
    <w:rsid w:val="5939464F"/>
    <w:rsid w:val="59401951"/>
    <w:rsid w:val="5955576C"/>
    <w:rsid w:val="59DB7BE7"/>
    <w:rsid w:val="5A1E613F"/>
    <w:rsid w:val="5A345161"/>
    <w:rsid w:val="5A7C5CD2"/>
    <w:rsid w:val="5B2D3245"/>
    <w:rsid w:val="5B71396D"/>
    <w:rsid w:val="5B931DF4"/>
    <w:rsid w:val="5C7E485A"/>
    <w:rsid w:val="5C81097C"/>
    <w:rsid w:val="5C9D0CFB"/>
    <w:rsid w:val="5D1D0A42"/>
    <w:rsid w:val="5D3F5F0C"/>
    <w:rsid w:val="5D60281A"/>
    <w:rsid w:val="5D691D08"/>
    <w:rsid w:val="5D6D595D"/>
    <w:rsid w:val="5DFB7A90"/>
    <w:rsid w:val="5DFC4103"/>
    <w:rsid w:val="5E833D61"/>
    <w:rsid w:val="5EE33FD4"/>
    <w:rsid w:val="5EE8083E"/>
    <w:rsid w:val="5EEB75C1"/>
    <w:rsid w:val="5F364BDB"/>
    <w:rsid w:val="5F415C3B"/>
    <w:rsid w:val="5F443AD7"/>
    <w:rsid w:val="5FBA24AA"/>
    <w:rsid w:val="5FE6797A"/>
    <w:rsid w:val="60884935"/>
    <w:rsid w:val="60DA4CC0"/>
    <w:rsid w:val="610A2A0F"/>
    <w:rsid w:val="61F52ED8"/>
    <w:rsid w:val="6213192F"/>
    <w:rsid w:val="62351865"/>
    <w:rsid w:val="62712A29"/>
    <w:rsid w:val="628801E0"/>
    <w:rsid w:val="62A15DCF"/>
    <w:rsid w:val="62EA185F"/>
    <w:rsid w:val="63267838"/>
    <w:rsid w:val="6342422C"/>
    <w:rsid w:val="635A3CB8"/>
    <w:rsid w:val="63957059"/>
    <w:rsid w:val="63F963E5"/>
    <w:rsid w:val="63FC425F"/>
    <w:rsid w:val="643F0D73"/>
    <w:rsid w:val="64AB5B13"/>
    <w:rsid w:val="64C61FC9"/>
    <w:rsid w:val="652345F2"/>
    <w:rsid w:val="65301DE2"/>
    <w:rsid w:val="654330B7"/>
    <w:rsid w:val="657D1B52"/>
    <w:rsid w:val="65F07FB2"/>
    <w:rsid w:val="65FA155C"/>
    <w:rsid w:val="660513DD"/>
    <w:rsid w:val="667523D3"/>
    <w:rsid w:val="669A57F2"/>
    <w:rsid w:val="669F3353"/>
    <w:rsid w:val="66A81B9D"/>
    <w:rsid w:val="66B0019C"/>
    <w:rsid w:val="66C253BF"/>
    <w:rsid w:val="66F31915"/>
    <w:rsid w:val="674A2C89"/>
    <w:rsid w:val="67AC409C"/>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A53BB1"/>
    <w:rsid w:val="6BCA27F1"/>
    <w:rsid w:val="6BCE135A"/>
    <w:rsid w:val="6BE16838"/>
    <w:rsid w:val="6C091769"/>
    <w:rsid w:val="6C1903D8"/>
    <w:rsid w:val="6CD53279"/>
    <w:rsid w:val="6D0843F7"/>
    <w:rsid w:val="6D582834"/>
    <w:rsid w:val="6E1B3C31"/>
    <w:rsid w:val="6E8B3D8C"/>
    <w:rsid w:val="6ED1456E"/>
    <w:rsid w:val="6F0F7E78"/>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D83CBF"/>
    <w:rsid w:val="72E8716C"/>
    <w:rsid w:val="732B5B1E"/>
    <w:rsid w:val="733358DA"/>
    <w:rsid w:val="742B6429"/>
    <w:rsid w:val="742C1037"/>
    <w:rsid w:val="744D3038"/>
    <w:rsid w:val="745C607B"/>
    <w:rsid w:val="748958E6"/>
    <w:rsid w:val="754E78EA"/>
    <w:rsid w:val="75897B79"/>
    <w:rsid w:val="75A64FAD"/>
    <w:rsid w:val="75B50BFA"/>
    <w:rsid w:val="75CC2D87"/>
    <w:rsid w:val="75EC276F"/>
    <w:rsid w:val="75ED062E"/>
    <w:rsid w:val="763E2A36"/>
    <w:rsid w:val="771466E3"/>
    <w:rsid w:val="77E127E7"/>
    <w:rsid w:val="77F36852"/>
    <w:rsid w:val="784309DA"/>
    <w:rsid w:val="78713252"/>
    <w:rsid w:val="7876107A"/>
    <w:rsid w:val="7877401B"/>
    <w:rsid w:val="787B5299"/>
    <w:rsid w:val="78BD69DE"/>
    <w:rsid w:val="78C67234"/>
    <w:rsid w:val="78CC1807"/>
    <w:rsid w:val="78CF6711"/>
    <w:rsid w:val="792579EC"/>
    <w:rsid w:val="792C5912"/>
    <w:rsid w:val="794475B3"/>
    <w:rsid w:val="799139C7"/>
    <w:rsid w:val="7A19098A"/>
    <w:rsid w:val="7AAD6DF1"/>
    <w:rsid w:val="7AD5460D"/>
    <w:rsid w:val="7AF4245F"/>
    <w:rsid w:val="7B430CF1"/>
    <w:rsid w:val="7B5E6224"/>
    <w:rsid w:val="7BEC1606"/>
    <w:rsid w:val="7C1867F4"/>
    <w:rsid w:val="7C4223E5"/>
    <w:rsid w:val="7C812D3F"/>
    <w:rsid w:val="7C9E3300"/>
    <w:rsid w:val="7CB41EA6"/>
    <w:rsid w:val="7CCD50DA"/>
    <w:rsid w:val="7CFA3D6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3"/>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522b5e73-cdf3-4729-a922-fc7d2aabb329</errorID>
      <errorWord>(</errorWord>
      <group>L1_Format</group>
      <groupName>格式问题</groupName>
      <ability>L2_HalfPunc</ability>
      <abilityName>全半角检查</abilityName>
      <candidateList>
        <item>（</item>
      </candidateList>
      <explain>文本全半角错误。</explain>
      <paraID>55D8E9DA</paraID>
      <start>10</start>
      <end>11</end>
      <status>unmodified</status>
      <modifiedWord/>
      <trackRevisions>false</trackRevisions>
    </reviewItem>
    <reviewItem>
      <errorID>c66b6472-23e3-4d5e-ae62-1be01d13a331</errorID>
      <errorWord>)</errorWord>
      <group>L1_Format</group>
      <groupName>格式问题</groupName>
      <ability>L2_HalfPunc</ability>
      <abilityName>全半角检查</abilityName>
      <candidateList>
        <item>）</item>
      </candidateList>
      <explain>文本全半角错误。</explain>
      <paraID>55D8E9DA</paraID>
      <start>14</start>
      <end>15</end>
      <status>unmodified</status>
      <modifiedWord/>
      <trackRevisions>false</trackRevisions>
    </reviewItem>
    <reviewItem>
      <errorID>7e7df207-35dc-4137-964e-659fcbcce2f7</errorID>
      <errorWord>:</errorWord>
      <group>L1_Format</group>
      <groupName>格式问题</groupName>
      <ability>L2_HalfPunc</ability>
      <abilityName>全半角检查</abilityName>
      <candidateList>
        <item>：</item>
      </candidateList>
      <explain>文本全半角错误。</explain>
      <paraID>4B693EA0</paraID>
      <start>6</start>
      <end>7</end>
      <status>unmodified</status>
      <modifiedWord/>
      <trackRevisions>false</trackRevisions>
    </reviewItem>
    <reviewItem>
      <errorID>2c14d656-a9f2-40bf-ada0-a3a382a30411</errorID>
      <errorWord>（二）、</errorWord>
      <group>L1_Punc</group>
      <groupName>标点问题</groupName>
      <ability>L2_Punc</ability>
      <abilityName>标点符号检查</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d96bfe5c-eeba-4415-b64e-63a78bb1247f</errorID>
      <errorWord>（三）、</errorWord>
      <group>L1_Punc</group>
      <groupName>标点问题</groupName>
      <ability>L2_Punc</ability>
      <abilityName>标点符号检查</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e7a0cbb1-98be-4029-9aee-06be8a7e1cfe</errorID>
      <errorWord>（四）、</errorWord>
      <group>L1_Punc</group>
      <groupName>标点问题</groupName>
      <ability>L2_Punc</ability>
      <abilityName>标点符号检查</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448dc15f-f78f-42c9-a06f-b420f39e35e2</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 70D7F61</paraID>
      <start>100</start>
      <end>101</end>
      <status>unmodified</status>
      <modifiedWord/>
      <trackRevisions>false</trackRevisions>
    </reviewItem>
    <reviewItem>
      <errorID>e95284f2-7bba-449b-9c24-28083e9f7b42</errorID>
      <errorWord>(</errorWord>
      <group>L1_Format</group>
      <groupName>格式问题</groupName>
      <ability>L2_HalfPunc</ability>
      <abilityName>全半角检查</abilityName>
      <candidateList>
        <item>（</item>
      </candidateList>
      <explain>文本全半角错误。</explain>
      <paraID>310B8657</paraID>
      <start>5</start>
      <end>6</end>
      <status>unmodified</status>
      <modifiedWord/>
      <trackRevisions>false</trackRevisions>
    </reviewItem>
    <reviewItem>
      <errorID>529e4b5b-9185-4936-adc8-3529778a65c5</errorID>
      <errorWord>)</errorWord>
      <group>L1_Format</group>
      <groupName>格式问题</groupName>
      <ability>L2_HalfPunc</ability>
      <abilityName>全半角检查</abilityName>
      <candidateList>
        <item>）</item>
      </candidateList>
      <explain>文本全半角错误。</explain>
      <paraID>310B8657</paraID>
      <start>11</start>
      <end>12</end>
      <status>unmodified</status>
      <modifiedWord/>
      <trackRevisions>false</trackRevisions>
    </reviewItem>
    <reviewItem>
      <errorID>64f42a65-b534-4c6d-94fe-25610a83c399</errorID>
      <errorWord>(</errorWord>
      <group>L1_Format</group>
      <groupName>格式问题</groupName>
      <ability>L2_HalfPunc</ability>
      <abilityName>全半角检查</abilityName>
      <candidateList>
        <item>（</item>
      </candidateList>
      <explain>文本全半角错误。</explain>
      <paraID>2377319B</paraID>
      <start>3</start>
      <end>4</end>
      <status>unmodified</status>
      <modifiedWord/>
      <trackRevisions>false</trackRevisions>
    </reviewItem>
    <reviewItem>
      <errorID>961f978a-2914-48c1-8a9a-41460f541719</errorID>
      <errorWord>)</errorWord>
      <group>L1_Format</group>
      <groupName>格式问题</groupName>
      <ability>L2_HalfPunc</ability>
      <abilityName>全半角检查</abilityName>
      <candidateList>
        <item>）</item>
      </candidateList>
      <explain>文本全半角错误。</explain>
      <paraID>2377319B</paraID>
      <start>7</start>
      <end>8</end>
      <status>unmodified</status>
      <modifiedWord/>
      <trackRevisions>false</trackRevisions>
    </reviewItem>
    <reviewItem>
      <errorID>72d6731c-5e60-4130-b917-6a5d088e1102</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78ad16b3-7dc7-493d-a425-437c18b2f7c2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9fbfd26d-7a4a-40a8-b68c-d5b0ca4d69d6</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71652DD4</paraID>
      <start>100</start>
      <end>101</end>
      <status>unmodified</status>
      <modifiedWord/>
      <trackRevisions>false</trackRevisions>
    </reviewItem>
    <reviewItem>
      <errorID>1e8e67e1-7b3c-431b-b737-2924996731f0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c85be5dc-1209-4e0d-bd05-2c33537a1042</errorID>
      <errorWord>,</errorWord>
      <group>L1_Format</group>
      <groupName>格式问题</groupName>
      <ability>L2_HalfPunc</ability>
      <abilityName>全半角检查</abilityName>
      <candidateList>
        <item>，</item>
      </candidateList>
      <explain>文本全半角错误。</explain>
      <paraID>2382CED7</paraID>
      <start>113</start>
      <end>114</end>
      <status>unmodified</status>
      <modifiedWord/>
      <trackRevisions>false</trackRevisions>
    </reviewItem>
    <reviewItem>
      <errorID>1ed829aa-a655-460d-ab63-eddef1c0dce2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3906c835-5432-4515-b7b4-da2727670169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38a70b88-fabf-443c-8c41-3f0673a91fb8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3224b2cf-0185-4182-8cac-bbec12f66acc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c2ef5b33-a4ac-438a-bb1c-d41209fad06e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b641035b-757c-437c-8bf7-ca1537d3d784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acea455b-3c74-49be-9b0a-165bacad6f40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46180088-0e41-4162-b211-da6f9810de7e</errorID>
      <errorWord>;</errorWord>
      <group>L1_Format</group>
      <groupName>格式问题</groupName>
      <ability>L2_HalfPunc</ability>
      <abilityName>全半角检查</abilityName>
      <candidateList>
        <item>；</item>
      </candidateList>
      <explain>文本全半角错误。</explain>
      <paraID>41F1E835</paraID>
      <start>17</start>
      <end>18</end>
      <status>unmodified</status>
      <modifiedWord/>
      <trackRevisions>false</trackRevisions>
    </reviewItem>
    <reviewItem>
      <errorID>85061ff9-b1f0-4442-a246-577542c12045</errorID>
      <errorWord>传授</errorWord>
      <group>L1_Word</group>
      <groupName>字词问题</groupName>
      <ability>L2_Typo</ability>
      <abilityName>字词错误</abilityName>
      <candidateList>
        <item>传输</item>
      </candidateList>
      <explain/>
      <paraID>682D2DF5</paraID>
      <start>52</start>
      <end>54</end>
      <status>unmodified</status>
      <modifiedWord/>
      <trackRevisions>false</trackRevisions>
    </reviewItem>
    <reviewItem>
      <errorID>dd815abe-dceb-491e-9f08-502481add892</errorID>
      <errorWord>,</errorWord>
      <group>L1_Format</group>
      <groupName>格式问题</groupName>
      <ability>L2_HalfPunc</ability>
      <abilityName>全半角检查</abilityName>
      <candidateList>
        <item>，</item>
      </candidateList>
      <explain>文本全半角错误。</explain>
      <paraID>2D4ADCA8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85a70-da1d-4a7b-90fc-5e98b47c02d4}">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8190</Words>
  <Characters>8499</Characters>
  <Lines>39</Lines>
  <Paragraphs>11</Paragraphs>
  <TotalTime>0</TotalTime>
  <ScaleCrop>false</ScaleCrop>
  <LinksUpToDate>false</LinksUpToDate>
  <CharactersWithSpaces>9149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2025-12-04T02:05:52Z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