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33D6F">
      <w:pPr>
        <w:spacing w:line="520" w:lineRule="exact"/>
        <w:rPr>
          <w:sz w:val="30"/>
          <w:szCs w:val="30"/>
        </w:rPr>
      </w:pPr>
      <w:bookmarkStart w:id="0" w:name="_GoBack"/>
      <w:bookmarkEnd w:id="0"/>
      <w:r>
        <w:rPr>
          <w:rFonts w:hint="eastAsia" w:ascii="仿宋" w:hAnsi="仿宋" w:eastAsia="仿宋" w:cs="Times New Roman"/>
          <w:b/>
          <w:bCs/>
          <w:sz w:val="30"/>
          <w:szCs w:val="30"/>
        </w:rPr>
        <w:t>附件1</w:t>
      </w:r>
    </w:p>
    <w:p w14:paraId="2AD6A2EC">
      <w:pPr>
        <w:spacing w:line="520" w:lineRule="exact"/>
        <w:ind w:firstLine="602" w:firstLineChars="200"/>
        <w:jc w:val="center"/>
        <w:rPr>
          <w:rFonts w:ascii="仿宋" w:hAnsi="仿宋" w:eastAsia="仿宋" w:cs="Times New Roman"/>
          <w:b/>
          <w:bCs/>
          <w:sz w:val="30"/>
          <w:szCs w:val="30"/>
        </w:rPr>
      </w:pPr>
      <w:r>
        <w:rPr>
          <w:rFonts w:hint="eastAsia" w:ascii="仿宋" w:hAnsi="仿宋" w:eastAsia="仿宋" w:cs="Times New Roman"/>
          <w:b/>
          <w:bCs/>
          <w:sz w:val="30"/>
          <w:szCs w:val="30"/>
        </w:rPr>
        <w:t>南宁中心血站采购项目基本情况及需求</w:t>
      </w:r>
    </w:p>
    <w:tbl>
      <w:tblPr>
        <w:tblStyle w:val="7"/>
        <w:tblpPr w:leftFromText="180" w:rightFromText="180" w:vertAnchor="text" w:horzAnchor="page" w:tblpX="674" w:tblpY="173"/>
        <w:tblOverlap w:val="never"/>
        <w:tblW w:w="10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050"/>
        <w:gridCol w:w="588"/>
        <w:gridCol w:w="1200"/>
        <w:gridCol w:w="912"/>
        <w:gridCol w:w="6450"/>
      </w:tblGrid>
      <w:tr w14:paraId="54D3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675" w:type="dxa"/>
            <w:vAlign w:val="center"/>
          </w:tcPr>
          <w:p w14:paraId="6694B43F">
            <w:pPr>
              <w:spacing w:line="520" w:lineRule="exact"/>
              <w:jc w:val="center"/>
              <w:rPr>
                <w:rFonts w:ascii="仿宋" w:hAnsi="仿宋" w:eastAsia="仿宋" w:cs="Times New Roman"/>
                <w:b/>
                <w:bCs/>
                <w:sz w:val="28"/>
                <w:szCs w:val="28"/>
              </w:rPr>
            </w:pPr>
            <w:r>
              <w:rPr>
                <w:rFonts w:hint="eastAsia" w:ascii="仿宋" w:hAnsi="仿宋" w:eastAsia="仿宋" w:cs="Times New Roman"/>
                <w:b/>
                <w:bCs/>
                <w:sz w:val="28"/>
                <w:szCs w:val="28"/>
              </w:rPr>
              <w:t>序号</w:t>
            </w:r>
          </w:p>
        </w:tc>
        <w:tc>
          <w:tcPr>
            <w:tcW w:w="1050" w:type="dxa"/>
            <w:vAlign w:val="center"/>
          </w:tcPr>
          <w:p w14:paraId="474DED98">
            <w:pPr>
              <w:spacing w:line="520" w:lineRule="exact"/>
              <w:jc w:val="center"/>
              <w:rPr>
                <w:rFonts w:ascii="仿宋" w:hAnsi="仿宋" w:eastAsia="仿宋" w:cs="Times New Roman"/>
                <w:b/>
                <w:bCs/>
                <w:sz w:val="28"/>
                <w:szCs w:val="28"/>
              </w:rPr>
            </w:pPr>
            <w:r>
              <w:rPr>
                <w:rFonts w:hint="eastAsia" w:ascii="仿宋" w:hAnsi="仿宋" w:eastAsia="仿宋" w:cs="Times New Roman"/>
                <w:b/>
                <w:bCs/>
                <w:sz w:val="28"/>
                <w:szCs w:val="28"/>
                <w:lang w:eastAsia="zh-CN"/>
              </w:rPr>
              <w:t>货物</w:t>
            </w:r>
            <w:r>
              <w:rPr>
                <w:rFonts w:hint="eastAsia" w:ascii="仿宋" w:hAnsi="仿宋" w:eastAsia="仿宋" w:cs="Times New Roman"/>
                <w:b/>
                <w:bCs/>
                <w:sz w:val="28"/>
                <w:szCs w:val="28"/>
              </w:rPr>
              <w:t>名称</w:t>
            </w:r>
          </w:p>
        </w:tc>
        <w:tc>
          <w:tcPr>
            <w:tcW w:w="588" w:type="dxa"/>
            <w:vAlign w:val="center"/>
          </w:tcPr>
          <w:p w14:paraId="47F50243">
            <w:pPr>
              <w:spacing w:line="520" w:lineRule="exact"/>
              <w:jc w:val="center"/>
              <w:rPr>
                <w:rFonts w:ascii="仿宋" w:hAnsi="仿宋" w:eastAsia="仿宋" w:cs="Times New Roman"/>
                <w:b/>
                <w:bCs/>
                <w:sz w:val="28"/>
                <w:szCs w:val="28"/>
              </w:rPr>
            </w:pPr>
            <w:r>
              <w:rPr>
                <w:rFonts w:hint="eastAsia" w:ascii="仿宋" w:hAnsi="仿宋" w:eastAsia="仿宋" w:cs="Times New Roman"/>
                <w:b/>
                <w:bCs/>
                <w:sz w:val="28"/>
                <w:szCs w:val="28"/>
              </w:rPr>
              <w:t>单位</w:t>
            </w:r>
          </w:p>
        </w:tc>
        <w:tc>
          <w:tcPr>
            <w:tcW w:w="1200" w:type="dxa"/>
            <w:vAlign w:val="center"/>
          </w:tcPr>
          <w:p w14:paraId="608167D6">
            <w:pPr>
              <w:spacing w:line="520" w:lineRule="exact"/>
              <w:jc w:val="center"/>
              <w:rPr>
                <w:rFonts w:ascii="仿宋" w:hAnsi="仿宋" w:eastAsia="仿宋" w:cs="Times New Roman"/>
                <w:b/>
                <w:bCs/>
                <w:sz w:val="28"/>
                <w:szCs w:val="28"/>
              </w:rPr>
            </w:pPr>
            <w:r>
              <w:rPr>
                <w:rFonts w:hint="eastAsia" w:ascii="仿宋" w:hAnsi="仿宋" w:eastAsia="仿宋" w:cs="Times New Roman"/>
                <w:b/>
                <w:bCs/>
                <w:sz w:val="28"/>
                <w:szCs w:val="28"/>
              </w:rPr>
              <w:t>计划采购数量</w:t>
            </w:r>
          </w:p>
        </w:tc>
        <w:tc>
          <w:tcPr>
            <w:tcW w:w="912" w:type="dxa"/>
            <w:vAlign w:val="center"/>
          </w:tcPr>
          <w:p w14:paraId="74C5DF05">
            <w:pPr>
              <w:spacing w:line="520" w:lineRule="exact"/>
              <w:jc w:val="center"/>
              <w:rPr>
                <w:rFonts w:ascii="仿宋" w:hAnsi="仿宋" w:eastAsia="仿宋" w:cs="Times New Roman"/>
                <w:b/>
                <w:bCs/>
                <w:sz w:val="28"/>
                <w:szCs w:val="28"/>
              </w:rPr>
            </w:pPr>
            <w:r>
              <w:rPr>
                <w:rFonts w:hint="eastAsia" w:ascii="仿宋" w:hAnsi="仿宋" w:eastAsia="仿宋" w:cs="Times New Roman"/>
                <w:b/>
                <w:bCs/>
                <w:sz w:val="28"/>
                <w:szCs w:val="28"/>
              </w:rPr>
              <w:t>采购预算</w:t>
            </w:r>
          </w:p>
        </w:tc>
        <w:tc>
          <w:tcPr>
            <w:tcW w:w="6450" w:type="dxa"/>
            <w:vAlign w:val="center"/>
          </w:tcPr>
          <w:p w14:paraId="29A35328">
            <w:pPr>
              <w:spacing w:line="520" w:lineRule="exact"/>
              <w:jc w:val="center"/>
              <w:rPr>
                <w:rFonts w:ascii="仿宋" w:hAnsi="仿宋" w:eastAsia="仿宋" w:cs="Times New Roman"/>
                <w:b/>
                <w:bCs/>
                <w:sz w:val="28"/>
                <w:szCs w:val="28"/>
              </w:rPr>
            </w:pPr>
          </w:p>
          <w:p w14:paraId="327FD0CC">
            <w:pPr>
              <w:spacing w:line="520" w:lineRule="exact"/>
              <w:jc w:val="center"/>
              <w:rPr>
                <w:rFonts w:ascii="仿宋" w:hAnsi="仿宋" w:eastAsia="仿宋" w:cs="Times New Roman"/>
                <w:b/>
                <w:bCs/>
                <w:sz w:val="28"/>
                <w:szCs w:val="28"/>
              </w:rPr>
            </w:pPr>
            <w:r>
              <w:rPr>
                <w:rFonts w:hint="eastAsia" w:ascii="仿宋" w:hAnsi="仿宋" w:eastAsia="仿宋" w:cs="Times New Roman"/>
                <w:b/>
                <w:bCs/>
                <w:sz w:val="28"/>
                <w:szCs w:val="28"/>
              </w:rPr>
              <w:t>基本情况及需求</w:t>
            </w:r>
          </w:p>
          <w:p w14:paraId="589ECBC0">
            <w:pPr>
              <w:spacing w:line="520" w:lineRule="exact"/>
              <w:jc w:val="center"/>
              <w:rPr>
                <w:rFonts w:ascii="仿宋" w:hAnsi="仿宋" w:eastAsia="仿宋" w:cs="Times New Roman"/>
                <w:b/>
                <w:bCs/>
                <w:sz w:val="28"/>
                <w:szCs w:val="28"/>
              </w:rPr>
            </w:pPr>
          </w:p>
        </w:tc>
      </w:tr>
      <w:tr w14:paraId="6DEA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0" w:hRule="atLeast"/>
        </w:trPr>
        <w:tc>
          <w:tcPr>
            <w:tcW w:w="675" w:type="dxa"/>
            <w:vAlign w:val="center"/>
          </w:tcPr>
          <w:p w14:paraId="1A112DE5">
            <w:pPr>
              <w:spacing w:line="520" w:lineRule="exact"/>
              <w:jc w:val="center"/>
              <w:rPr>
                <w:rFonts w:ascii="仿宋" w:hAnsi="仿宋" w:eastAsia="仿宋" w:cs="Times New Roman"/>
                <w:b/>
                <w:bCs/>
                <w:szCs w:val="21"/>
              </w:rPr>
            </w:pPr>
            <w:r>
              <w:rPr>
                <w:rFonts w:hint="eastAsia" w:ascii="仿宋" w:hAnsi="仿宋" w:eastAsia="仿宋" w:cs="Times New Roman"/>
                <w:b/>
                <w:bCs/>
                <w:szCs w:val="21"/>
              </w:rPr>
              <w:t>1</w:t>
            </w:r>
          </w:p>
        </w:tc>
        <w:tc>
          <w:tcPr>
            <w:tcW w:w="1050" w:type="dxa"/>
            <w:vAlign w:val="center"/>
          </w:tcPr>
          <w:p w14:paraId="21F886F7">
            <w:pPr>
              <w:spacing w:line="520" w:lineRule="exact"/>
              <w:jc w:val="center"/>
              <w:rPr>
                <w:rFonts w:hint="eastAsia" w:ascii="仿宋" w:hAnsi="仿宋" w:eastAsia="仿宋" w:cs="Times New Roman"/>
                <w:b/>
                <w:bCs/>
                <w:kern w:val="2"/>
                <w:sz w:val="21"/>
                <w:szCs w:val="21"/>
                <w:lang w:val="en-US" w:eastAsia="zh-CN" w:bidi="ar-SA"/>
              </w:rPr>
            </w:pPr>
            <w:r>
              <w:rPr>
                <w:rFonts w:hint="eastAsia" w:ascii="宋体" w:hAnsi="宋体"/>
                <w:b/>
                <w:bCs/>
                <w:color w:val="auto"/>
                <w:sz w:val="24"/>
                <w:szCs w:val="24"/>
              </w:rPr>
              <w:t>纪念品云仓服务（积分兑换）</w:t>
            </w:r>
          </w:p>
        </w:tc>
        <w:tc>
          <w:tcPr>
            <w:tcW w:w="588" w:type="dxa"/>
            <w:vAlign w:val="center"/>
          </w:tcPr>
          <w:p w14:paraId="67FAC650">
            <w:pPr>
              <w:spacing w:line="520" w:lineRule="exact"/>
              <w:jc w:val="center"/>
              <w:rPr>
                <w:rFonts w:hint="eastAsia" w:ascii="仿宋" w:hAnsi="仿宋" w:eastAsia="仿宋" w:cs="Times New Roman"/>
                <w:b/>
                <w:bCs/>
                <w:kern w:val="2"/>
                <w:sz w:val="21"/>
                <w:szCs w:val="21"/>
                <w:lang w:val="en-US" w:eastAsia="zh-CN" w:bidi="ar-SA"/>
              </w:rPr>
            </w:pPr>
            <w:r>
              <w:rPr>
                <w:rFonts w:hint="eastAsia" w:ascii="仿宋" w:hAnsi="仿宋" w:eastAsia="仿宋" w:cs="Times New Roman"/>
                <w:b/>
                <w:bCs/>
                <w:szCs w:val="21"/>
                <w:lang w:val="en-US" w:eastAsia="zh-CN"/>
              </w:rPr>
              <w:t>项</w:t>
            </w:r>
          </w:p>
        </w:tc>
        <w:tc>
          <w:tcPr>
            <w:tcW w:w="1200" w:type="dxa"/>
            <w:vAlign w:val="center"/>
          </w:tcPr>
          <w:p w14:paraId="2E61882A">
            <w:pPr>
              <w:spacing w:line="520" w:lineRule="exact"/>
              <w:jc w:val="center"/>
              <w:rPr>
                <w:rFonts w:hint="default" w:ascii="仿宋" w:hAnsi="仿宋" w:eastAsia="仿宋" w:cs="Times New Roman"/>
                <w:b/>
                <w:bCs/>
                <w:kern w:val="2"/>
                <w:sz w:val="21"/>
                <w:szCs w:val="21"/>
                <w:lang w:val="en-US" w:eastAsia="zh-CN" w:bidi="ar-SA"/>
              </w:rPr>
            </w:pPr>
            <w:r>
              <w:rPr>
                <w:rFonts w:hint="eastAsia" w:ascii="仿宋" w:hAnsi="仿宋" w:eastAsia="仿宋" w:cs="Times New Roman"/>
                <w:b/>
                <w:bCs/>
                <w:szCs w:val="21"/>
                <w:lang w:val="en-US" w:eastAsia="zh-CN"/>
              </w:rPr>
              <w:t>1</w:t>
            </w:r>
          </w:p>
        </w:tc>
        <w:tc>
          <w:tcPr>
            <w:tcW w:w="912" w:type="dxa"/>
            <w:vAlign w:val="center"/>
          </w:tcPr>
          <w:p w14:paraId="402673EF">
            <w:pPr>
              <w:spacing w:line="520" w:lineRule="exact"/>
              <w:jc w:val="center"/>
              <w:rPr>
                <w:rFonts w:hint="eastAsia" w:ascii="仿宋" w:hAnsi="仿宋" w:eastAsia="仿宋" w:cs="Times New Roman"/>
                <w:b/>
                <w:bCs/>
                <w:kern w:val="2"/>
                <w:sz w:val="21"/>
                <w:szCs w:val="21"/>
                <w:lang w:val="en-US" w:eastAsia="zh-CN" w:bidi="ar-SA"/>
              </w:rPr>
            </w:pPr>
            <w:r>
              <w:rPr>
                <w:rFonts w:hint="eastAsia" w:ascii="仿宋" w:hAnsi="仿宋" w:eastAsia="仿宋" w:cs="Times New Roman"/>
                <w:b/>
                <w:bCs/>
                <w:szCs w:val="21"/>
                <w:lang w:val="en-US" w:eastAsia="zh-CN"/>
              </w:rPr>
              <w:t>178万（全血100万、机采78万）</w:t>
            </w:r>
          </w:p>
        </w:tc>
        <w:tc>
          <w:tcPr>
            <w:tcW w:w="6450" w:type="dxa"/>
            <w:vAlign w:val="center"/>
          </w:tcPr>
          <w:p w14:paraId="2F3D9B97">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default" w:ascii="仿宋" w:hAnsi="仿宋" w:eastAsia="仿宋" w:cs="Times New Roman"/>
                <w:b/>
                <w:bCs/>
                <w:kern w:val="2"/>
                <w:sz w:val="22"/>
                <w:szCs w:val="22"/>
                <w:lang w:val="en-US" w:eastAsia="zh-CN" w:bidi="ar-SA"/>
              </w:rPr>
              <w:t>一、积分情况</w:t>
            </w:r>
          </w:p>
          <w:p w14:paraId="1B9E3DEA">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1、全血献血者纪念品兑换要求：一次献血积分50点，1点等值1元，50个点50元，共提供100万点的纪念品兑换服务。不限制献血者领取礼品数量，允许在积分价值内多次领取。全血积分长期使用不清零。</w:t>
            </w:r>
          </w:p>
          <w:p w14:paraId="17BB2D8B">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2、机采献血者纪念品兑换要求：1治疗量=1积分，1积分等值30元，共提供26000个积分的兑换服务。不限制献血者领取礼品数量，允许在积分价值内多次领取。提供兑换的产品需是30元的整倍数。机采积分年度清零。</w:t>
            </w:r>
          </w:p>
          <w:p w14:paraId="7473080C">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eastAsia" w:ascii="仿宋" w:hAnsi="仿宋" w:eastAsia="仿宋" w:cs="Times New Roman"/>
                <w:b/>
                <w:bCs/>
                <w:sz w:val="22"/>
                <w:szCs w:val="22"/>
                <w:lang w:val="en-US" w:eastAsia="zh-CN"/>
              </w:rPr>
              <w:t>二</w:t>
            </w:r>
            <w:r>
              <w:rPr>
                <w:rFonts w:hint="default" w:ascii="仿宋" w:hAnsi="仿宋" w:eastAsia="仿宋" w:cs="Times New Roman"/>
                <w:b/>
                <w:bCs/>
                <w:sz w:val="22"/>
                <w:szCs w:val="22"/>
              </w:rPr>
              <w:t>、服务平台技术要求</w:t>
            </w:r>
          </w:p>
          <w:p w14:paraId="2E38DC85">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1、需具备一定的开发能力，所提供的服务平台需支持HTML5技术，服务平台需要从微信客户端直接访问的服务形式，提供服务平台的安全解决方案和数据接口对接方案，要求从采购人提供的纪念品平台界面直接线上选纪念品。南宁中心血站提供接口标准规范，涉及对接费用由中标供应商承担。</w:t>
            </w:r>
          </w:p>
          <w:p w14:paraId="447C0DC6">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2、供应商将经过采购人确认的货物或服务详情数据通过接口对接到南宁献血服务平台，用户登录系统通过南宁献血既有账号登录，献血者不登录第三方页面或客户端，系统自动授权的登录账号与微信平台账号密码一致。根据系统匹配的献血记录（全血或者机采，两种方式分区布局）纪念品领取与献血记录自动匹配，领取过程自动化，免人工确认、免输入卡密等。</w:t>
            </w:r>
          </w:p>
          <w:p w14:paraId="036011FC">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3、为保障献血者隐私，纪念品服务商提供的服务平台需要具有信息安全保护，不得保存献血者个人信息和献血有关数据，纪念品和服务领取及配送信息除外但需要保障数据安全，不得用于任何与本次纪念品发放无关的应用或提供给任何第三方（提供承诺书）。</w:t>
            </w:r>
          </w:p>
          <w:p w14:paraId="01395936">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4、服务平台可提供规则配置，可根据献血量、献血时间、献血点配置发放范围，实现纪念品在不同时期、不同场景的发放控制，达到有序发放。</w:t>
            </w:r>
          </w:p>
          <w:p w14:paraId="0E0919B1">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5、服务平台对接业务数据系统获取领取资格信息，在献血者完成献血并发起兑换时为献血者发送短信和推送微信。对未发起兑换的献血者提供短信和微信提醒。逾期仍未领取纪念品的献血者取消领取资格，但是提供人工恢复功能。</w:t>
            </w:r>
          </w:p>
          <w:p w14:paraId="55375CF9">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6、献血者领取的纪念品详细信息和服务的发货状态和物流单号及物流过程信息在24小时内反馈给南宁献血，便于献血者及时平台上自主查询纪念品兑换订单的发货物料单号，物流追踪等信息。献血者兑换礼品后，物流信息能及时提醒献血者知晓。</w:t>
            </w:r>
          </w:p>
          <w:p w14:paraId="1B5F9DE5">
            <w:pPr>
              <w:numPr>
                <w:ilvl w:val="0"/>
                <w:numId w:val="0"/>
              </w:numPr>
              <w:spacing w:line="520" w:lineRule="exact"/>
              <w:ind w:left="0" w:leftChars="0" w:firstLine="0" w:firstLineChars="0"/>
              <w:jc w:val="left"/>
              <w:rPr>
                <w:rFonts w:hint="default" w:ascii="仿宋" w:hAnsi="仿宋" w:eastAsia="仿宋" w:cs="Times New Roman"/>
                <w:b/>
                <w:bCs/>
                <w:sz w:val="22"/>
                <w:szCs w:val="22"/>
              </w:rPr>
            </w:pPr>
            <w:r>
              <w:rPr>
                <w:rFonts w:hint="default" w:ascii="仿宋" w:hAnsi="仿宋" w:eastAsia="仿宋" w:cs="Times New Roman"/>
                <w:b/>
                <w:bCs/>
                <w:sz w:val="22"/>
                <w:szCs w:val="22"/>
              </w:rPr>
              <w:t>7、服务平台预留献血者补充现金兑换价值更高纪念品的功能，甲方根据工作安排提前一个月通知的情况下可以上线该功能。</w:t>
            </w:r>
          </w:p>
          <w:p w14:paraId="6D8C8C23">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default" w:ascii="仿宋" w:hAnsi="仿宋" w:eastAsia="仿宋" w:cs="Times New Roman"/>
                <w:b/>
                <w:bCs/>
                <w:sz w:val="22"/>
                <w:szCs w:val="22"/>
              </w:rPr>
              <w:t>8、通过数据接口支持献血者奖励政策等灵活积分管理规则，支持特定日期积分奖励，特定活动积分奖励，支持老带新（同伴招募计划）积分奖励。以上功能需要提供相关服务的多层级数据统计功能。</w:t>
            </w:r>
          </w:p>
          <w:p w14:paraId="0796CA65">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default" w:ascii="仿宋" w:hAnsi="仿宋" w:eastAsia="仿宋" w:cs="Times New Roman"/>
                <w:b/>
                <w:bCs/>
                <w:kern w:val="2"/>
                <w:sz w:val="22"/>
                <w:szCs w:val="22"/>
                <w:lang w:val="en-US" w:eastAsia="zh-CN" w:bidi="ar-SA"/>
              </w:rPr>
              <w:t>三、纪念品服务内容</w:t>
            </w:r>
          </w:p>
          <w:p w14:paraId="3B5F96B7">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default" w:ascii="仿宋" w:hAnsi="仿宋" w:eastAsia="仿宋" w:cs="Times New Roman"/>
                <w:b/>
                <w:bCs/>
                <w:kern w:val="2"/>
                <w:sz w:val="22"/>
                <w:szCs w:val="22"/>
                <w:lang w:val="en-US" w:eastAsia="zh-CN" w:bidi="ar-SA"/>
              </w:rPr>
              <w:t>1、提供的品类包含但不限于日用品、电子产品、粮油调味、虚拟卡券等。实物纪念品需要保证商品品质及正品货源，杜绝仿冒或易于产生误解的品牌商品。</w:t>
            </w:r>
          </w:p>
          <w:p w14:paraId="521D8FB6">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default" w:ascii="仿宋" w:hAnsi="仿宋" w:eastAsia="仿宋" w:cs="Times New Roman"/>
                <w:b/>
                <w:bCs/>
                <w:kern w:val="2"/>
                <w:sz w:val="22"/>
                <w:szCs w:val="22"/>
                <w:lang w:val="en-US" w:eastAsia="zh-CN" w:bidi="ar-SA"/>
              </w:rPr>
              <w:t>2、供应商应具备根据采购人授权设计并定制采购人专属的无偿献血IP实物宣传品能力，经采购人认可，实施定制化文创品的线上兑换服务。采购人自行采购的纪念品供应商可以提供仓储空间并代为发货。以上服务信息需要在24小时内将货物信息及物流信息通过数据接口反馈给采购人信息平台。</w:t>
            </w:r>
          </w:p>
          <w:p w14:paraId="5A04CD6D">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eastAsia" w:ascii="仿宋" w:hAnsi="仿宋" w:eastAsia="仿宋" w:cs="Times New Roman"/>
                <w:b/>
                <w:bCs/>
                <w:kern w:val="2"/>
                <w:sz w:val="22"/>
                <w:szCs w:val="22"/>
                <w:lang w:val="en-US" w:eastAsia="zh-CN" w:bidi="ar-SA"/>
              </w:rPr>
              <w:t>3</w:t>
            </w:r>
            <w:r>
              <w:rPr>
                <w:rFonts w:hint="default" w:ascii="仿宋" w:hAnsi="仿宋" w:eastAsia="仿宋" w:cs="Times New Roman"/>
                <w:b/>
                <w:bCs/>
                <w:kern w:val="2"/>
                <w:sz w:val="22"/>
                <w:szCs w:val="22"/>
                <w:lang w:val="en-US" w:eastAsia="zh-CN" w:bidi="ar-SA"/>
              </w:rPr>
              <w:t>、虚拟卡券会员或抵用券服务需要保证原厂货源和原厂服务。服务采用直充献血者提供的领取手机号的形式，不得要求献血者登录第三方程序或要求献血者进行多次操作后再次领取的模式。</w:t>
            </w:r>
          </w:p>
          <w:p w14:paraId="6D9B6FBD">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eastAsia" w:ascii="仿宋" w:hAnsi="仿宋" w:eastAsia="仿宋" w:cs="Times New Roman"/>
                <w:b/>
                <w:bCs/>
                <w:kern w:val="2"/>
                <w:sz w:val="22"/>
                <w:szCs w:val="22"/>
                <w:lang w:val="en-US" w:eastAsia="zh-CN" w:bidi="ar-SA"/>
              </w:rPr>
              <w:t>4</w:t>
            </w:r>
            <w:r>
              <w:rPr>
                <w:rFonts w:hint="default" w:ascii="仿宋" w:hAnsi="仿宋" w:eastAsia="仿宋" w:cs="Times New Roman"/>
                <w:b/>
                <w:bCs/>
                <w:kern w:val="2"/>
                <w:sz w:val="22"/>
                <w:szCs w:val="22"/>
                <w:lang w:val="en-US" w:eastAsia="zh-CN" w:bidi="ar-SA"/>
              </w:rPr>
              <w:t>、粮油食品必须是非转基因类的物品，电子产品必须拥有3C认证。所有献血者领取的礼品供应商参照国家对电商的服务标准提供七天无理由退换货服务。</w:t>
            </w:r>
          </w:p>
          <w:p w14:paraId="160A5275">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eastAsia" w:ascii="仿宋" w:hAnsi="仿宋" w:eastAsia="仿宋" w:cs="Times New Roman"/>
                <w:b/>
                <w:bCs/>
                <w:kern w:val="2"/>
                <w:sz w:val="22"/>
                <w:szCs w:val="22"/>
                <w:lang w:val="en-US" w:eastAsia="zh-CN" w:bidi="ar-SA"/>
              </w:rPr>
              <w:t>5</w:t>
            </w:r>
            <w:r>
              <w:rPr>
                <w:rFonts w:hint="default" w:ascii="仿宋" w:hAnsi="仿宋" w:eastAsia="仿宋" w:cs="Times New Roman"/>
                <w:b/>
                <w:bCs/>
                <w:kern w:val="2"/>
                <w:sz w:val="22"/>
                <w:szCs w:val="22"/>
                <w:lang w:val="en-US" w:eastAsia="zh-CN" w:bidi="ar-SA"/>
              </w:rPr>
              <w:t>、供应商应具备7*24小时客服（线上及电话服务）能力，客服团队至少有3人以上，并有专属的客服人员对接献血者和采购人。处理问题能1h内响应，24h内提供解决方案。</w:t>
            </w:r>
          </w:p>
          <w:p w14:paraId="4DED044E">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eastAsia" w:ascii="仿宋" w:hAnsi="仿宋" w:eastAsia="仿宋" w:cs="Times New Roman"/>
                <w:b/>
                <w:bCs/>
                <w:kern w:val="2"/>
                <w:sz w:val="22"/>
                <w:szCs w:val="22"/>
                <w:lang w:val="en-US" w:eastAsia="zh-CN" w:bidi="ar-SA"/>
              </w:rPr>
              <w:t>6</w:t>
            </w:r>
            <w:r>
              <w:rPr>
                <w:rFonts w:hint="default" w:ascii="仿宋" w:hAnsi="仿宋" w:eastAsia="仿宋" w:cs="Times New Roman"/>
                <w:b/>
                <w:bCs/>
                <w:kern w:val="2"/>
                <w:sz w:val="22"/>
                <w:szCs w:val="22"/>
                <w:lang w:val="en-US" w:eastAsia="zh-CN" w:bidi="ar-SA"/>
              </w:rPr>
              <w:t>、供应商提供的货物或者服务单品价值均由采购人确认后上线，通用货物需要在淘宝，京东等电商平台有上线，有评价；单品价值的确认参考京东和淘宝两个平台的售价（提供承诺书），比价按每季度进行1次。</w:t>
            </w:r>
          </w:p>
          <w:p w14:paraId="15995516">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eastAsia" w:ascii="仿宋" w:hAnsi="仿宋" w:eastAsia="仿宋" w:cs="Times New Roman"/>
                <w:b/>
                <w:bCs/>
                <w:kern w:val="2"/>
                <w:sz w:val="22"/>
                <w:szCs w:val="22"/>
                <w:lang w:val="en-US" w:eastAsia="zh-CN" w:bidi="ar-SA"/>
              </w:rPr>
              <w:t>7</w:t>
            </w:r>
            <w:r>
              <w:rPr>
                <w:rFonts w:hint="default" w:ascii="仿宋" w:hAnsi="仿宋" w:eastAsia="仿宋" w:cs="Times New Roman"/>
                <w:b/>
                <w:bCs/>
                <w:kern w:val="2"/>
                <w:sz w:val="22"/>
                <w:szCs w:val="22"/>
                <w:lang w:val="en-US" w:eastAsia="zh-CN" w:bidi="ar-SA"/>
              </w:rPr>
              <w:t>、每季度提供货品销量评价分析表，对于兑换率高的货品能及时补充库存。</w:t>
            </w:r>
          </w:p>
          <w:p w14:paraId="1FAC341D">
            <w:pPr>
              <w:numPr>
                <w:ilvl w:val="0"/>
                <w:numId w:val="0"/>
              </w:numPr>
              <w:spacing w:line="520" w:lineRule="exact"/>
              <w:ind w:left="0" w:leftChars="0" w:firstLine="0" w:firstLineChars="0"/>
              <w:jc w:val="left"/>
              <w:rPr>
                <w:rFonts w:hint="default" w:ascii="仿宋" w:hAnsi="仿宋" w:eastAsia="仿宋" w:cs="Times New Roman"/>
                <w:b/>
                <w:bCs/>
                <w:kern w:val="2"/>
                <w:sz w:val="22"/>
                <w:szCs w:val="22"/>
                <w:lang w:val="en-US" w:eastAsia="zh-CN" w:bidi="ar-SA"/>
              </w:rPr>
            </w:pPr>
            <w:r>
              <w:rPr>
                <w:rFonts w:hint="default" w:ascii="仿宋" w:hAnsi="仿宋" w:eastAsia="仿宋" w:cs="Times New Roman"/>
                <w:b/>
                <w:bCs/>
                <w:kern w:val="2"/>
                <w:sz w:val="22"/>
                <w:szCs w:val="22"/>
                <w:lang w:val="en-US" w:eastAsia="zh-CN" w:bidi="ar-SA"/>
              </w:rPr>
              <w:t>四、其他服务</w:t>
            </w:r>
          </w:p>
          <w:p w14:paraId="02002D95">
            <w:pPr>
              <w:numPr>
                <w:ilvl w:val="0"/>
                <w:numId w:val="0"/>
              </w:numPr>
              <w:spacing w:line="520" w:lineRule="exact"/>
              <w:ind w:left="0" w:leftChars="0" w:firstLine="0" w:firstLineChars="0"/>
              <w:jc w:val="left"/>
              <w:rPr>
                <w:rFonts w:hint="default" w:ascii="仿宋" w:hAnsi="仿宋" w:eastAsia="仿宋" w:cs="Times New Roman"/>
                <w:b/>
                <w:bCs/>
                <w:kern w:val="2"/>
                <w:sz w:val="21"/>
                <w:szCs w:val="21"/>
                <w:lang w:val="en-US" w:eastAsia="zh-CN" w:bidi="ar-SA"/>
              </w:rPr>
            </w:pPr>
            <w:r>
              <w:rPr>
                <w:rFonts w:hint="default" w:ascii="仿宋" w:hAnsi="仿宋" w:eastAsia="仿宋" w:cs="Times New Roman"/>
                <w:b/>
                <w:bCs/>
                <w:kern w:val="2"/>
                <w:sz w:val="22"/>
                <w:szCs w:val="22"/>
                <w:lang w:val="en-US" w:eastAsia="zh-CN" w:bidi="ar-SA"/>
              </w:rPr>
              <w:t>1、满意度调查，一年内不少于四次客户（献血者、血站工作人员）满意度调查。</w:t>
            </w:r>
          </w:p>
        </w:tc>
      </w:tr>
    </w:tbl>
    <w:p w14:paraId="5BB36F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00172A27"/>
    <w:rsid w:val="02271D8A"/>
    <w:rsid w:val="066E1B38"/>
    <w:rsid w:val="0B995089"/>
    <w:rsid w:val="0DA47749"/>
    <w:rsid w:val="131A0FF3"/>
    <w:rsid w:val="150444E4"/>
    <w:rsid w:val="25927A20"/>
    <w:rsid w:val="31741628"/>
    <w:rsid w:val="429C278D"/>
    <w:rsid w:val="4E12542A"/>
    <w:rsid w:val="5AD52A21"/>
    <w:rsid w:val="606D06D2"/>
    <w:rsid w:val="6E931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qFormat/>
    <w:uiPriority w:val="0"/>
    <w:pPr>
      <w:autoSpaceDE w:val="0"/>
      <w:autoSpaceDN w:val="0"/>
      <w:adjustRightInd w:val="0"/>
      <w:spacing w:after="120"/>
      <w:jc w:val="left"/>
    </w:pPr>
    <w:rPr>
      <w:rFonts w:ascii="宋体"/>
      <w:kern w:val="0"/>
      <w:sz w:val="34"/>
      <w:szCs w:val="20"/>
    </w:rPr>
  </w:style>
  <w:style w:type="paragraph" w:styleId="5">
    <w:name w:val="Plain Text"/>
    <w:basedOn w:val="1"/>
    <w:next w:val="4"/>
    <w:unhideWhenUsed/>
    <w:qFormat/>
    <w:uiPriority w:val="0"/>
    <w:rPr>
      <w:rFonts w:ascii="宋体" w:hAnsi="Courier New" w:eastAsia="宋体" w:cs="Times New Roman"/>
      <w:szCs w:val="2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1675</Words>
  <Characters>1700</Characters>
  <Lines>0</Lines>
  <Paragraphs>0</Paragraphs>
  <TotalTime>12</TotalTime>
  <ScaleCrop>false</ScaleCrop>
  <LinksUpToDate>false</LinksUpToDate>
  <CharactersWithSpaces>1700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2023-02-09T02:46:00Z</dcterms:created>
  <dc:creator>WPS</dc:creator>
  <cp:lastModifiedBy>后勤科</cp:lastModifiedBy>
  <cp:lastPrinted>2026-02-11T03:13:21Z</cp:lastPrinted>
  <dcterms:modified xsi:type="dcterms:W3CDTF">2026-02-11T03:13:49Z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CDC666DC90FA4CC087D62910A11D6EAE</vt:lpwstr>
  </property>
  <property fmtid="{D5CDD505-2E9C-101B-9397-08002B2CF9AE}" pid="4" name="KSOTemplateDocerSaveRecord">
    <vt:lpwstr>eyJoZGlkIjoiZTU0NmZlZTBlMTVkMWYxMWZkNTg0YjI3MjU5ZTk1MjciLCJ1c2VySWQiOiIyMzU4NTIwMjYifQ==</vt:lpwstr>
  </property>
</Properties>
</file>