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E24ABF">
      <w:pPr>
        <w:spacing w:line="240" w:lineRule="auto"/>
        <w:jc w:val="center"/>
        <w:rPr>
          <w:rFonts w:hint="eastAsia" w:ascii="方正小标宋简体" w:hAnsi="方正小标宋简体" w:eastAsia="方正小标宋简体" w:cs="方正小标宋简体"/>
          <w:b w:val="0"/>
          <w:bCs w:val="0"/>
          <w:sz w:val="32"/>
          <w:szCs w:val="32"/>
        </w:rPr>
      </w:pPr>
      <w:r>
        <w:rPr>
          <w:rFonts w:hint="eastAsia" w:ascii="方正小标宋简体" w:hAnsi="方正小标宋简体" w:eastAsia="方正小标宋简体" w:cs="方正小标宋简体"/>
          <w:b w:val="0"/>
          <w:bCs w:val="0"/>
          <w:sz w:val="32"/>
          <w:szCs w:val="32"/>
        </w:rPr>
        <w:t>南宁中心血站</w:t>
      </w:r>
      <w:bookmarkStart w:id="0" w:name="_GoBack"/>
      <w:bookmarkEnd w:id="0"/>
      <w:r>
        <w:rPr>
          <w:rFonts w:hint="eastAsia" w:ascii="方正小标宋简体" w:hAnsi="方正小标宋简体" w:eastAsia="方正小标宋简体" w:cs="方正小标宋简体"/>
          <w:b w:val="0"/>
          <w:bCs w:val="0"/>
          <w:sz w:val="32"/>
          <w:szCs w:val="32"/>
          <w:lang w:val="en-US" w:eastAsia="zh-CN"/>
        </w:rPr>
        <w:t>无偿献血主题活动服务</w:t>
      </w:r>
      <w:r>
        <w:rPr>
          <w:rFonts w:hint="eastAsia" w:ascii="方正小标宋简体" w:hAnsi="方正小标宋简体" w:eastAsia="方正小标宋简体" w:cs="方正小标宋简体"/>
          <w:b w:val="0"/>
          <w:bCs w:val="0"/>
          <w:sz w:val="32"/>
          <w:szCs w:val="32"/>
        </w:rPr>
        <w:t>采购项目基本情况及需求</w:t>
      </w:r>
    </w:p>
    <w:tbl>
      <w:tblPr>
        <w:tblStyle w:val="6"/>
        <w:tblpPr w:leftFromText="180" w:rightFromText="180" w:vertAnchor="text" w:horzAnchor="page" w:tblpXSpec="center" w:tblpY="173"/>
        <w:tblOverlap w:val="never"/>
        <w:tblW w:w="88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2"/>
        <w:gridCol w:w="840"/>
        <w:gridCol w:w="915"/>
        <w:gridCol w:w="6450"/>
      </w:tblGrid>
      <w:tr w14:paraId="4EF4B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652" w:type="dxa"/>
            <w:vAlign w:val="center"/>
          </w:tcPr>
          <w:p w14:paraId="5CA5E19E">
            <w:pPr>
              <w:spacing w:line="240" w:lineRule="auto"/>
              <w:jc w:val="center"/>
              <w:rPr>
                <w:rFonts w:ascii="仿宋" w:hAnsi="仿宋" w:eastAsia="仿宋" w:cs="Times New Roman"/>
                <w:b/>
                <w:bCs/>
                <w:color w:val="auto"/>
                <w:sz w:val="21"/>
                <w:szCs w:val="21"/>
              </w:rPr>
            </w:pPr>
            <w:r>
              <w:rPr>
                <w:rFonts w:hint="eastAsia" w:ascii="仿宋" w:hAnsi="仿宋" w:eastAsia="仿宋" w:cs="Times New Roman"/>
                <w:b/>
                <w:bCs/>
                <w:color w:val="auto"/>
                <w:sz w:val="21"/>
                <w:szCs w:val="21"/>
              </w:rPr>
              <w:t>序号</w:t>
            </w:r>
          </w:p>
        </w:tc>
        <w:tc>
          <w:tcPr>
            <w:tcW w:w="840" w:type="dxa"/>
            <w:vAlign w:val="center"/>
          </w:tcPr>
          <w:p w14:paraId="3BAB3A33">
            <w:pPr>
              <w:spacing w:line="240" w:lineRule="auto"/>
              <w:jc w:val="center"/>
              <w:rPr>
                <w:rFonts w:ascii="仿宋" w:hAnsi="仿宋" w:eastAsia="仿宋" w:cs="Times New Roman"/>
                <w:b/>
                <w:bCs/>
                <w:color w:val="auto"/>
                <w:sz w:val="21"/>
                <w:szCs w:val="21"/>
              </w:rPr>
            </w:pPr>
            <w:r>
              <w:rPr>
                <w:rFonts w:hint="eastAsia" w:ascii="仿宋" w:hAnsi="仿宋" w:eastAsia="仿宋" w:cs="Times New Roman"/>
                <w:b/>
                <w:bCs/>
                <w:color w:val="auto"/>
                <w:sz w:val="21"/>
                <w:szCs w:val="21"/>
              </w:rPr>
              <w:t>名称</w:t>
            </w:r>
          </w:p>
        </w:tc>
        <w:tc>
          <w:tcPr>
            <w:tcW w:w="915" w:type="dxa"/>
            <w:vAlign w:val="center"/>
          </w:tcPr>
          <w:p w14:paraId="7BAF29C1">
            <w:pPr>
              <w:spacing w:line="240" w:lineRule="auto"/>
              <w:jc w:val="center"/>
              <w:rPr>
                <w:rFonts w:hint="eastAsia" w:ascii="仿宋" w:hAnsi="仿宋" w:eastAsia="仿宋" w:cs="Times New Roman"/>
                <w:b/>
                <w:bCs/>
                <w:color w:val="auto"/>
                <w:sz w:val="21"/>
                <w:szCs w:val="21"/>
                <w:lang w:eastAsia="zh-CN"/>
              </w:rPr>
            </w:pPr>
            <w:r>
              <w:rPr>
                <w:rFonts w:hint="eastAsia" w:ascii="仿宋" w:hAnsi="仿宋" w:eastAsia="仿宋" w:cs="Times New Roman"/>
                <w:b/>
                <w:bCs/>
                <w:color w:val="auto"/>
                <w:sz w:val="21"/>
                <w:szCs w:val="21"/>
              </w:rPr>
              <w:t>预算</w:t>
            </w:r>
          </w:p>
        </w:tc>
        <w:tc>
          <w:tcPr>
            <w:tcW w:w="6450" w:type="dxa"/>
            <w:vAlign w:val="center"/>
          </w:tcPr>
          <w:p w14:paraId="049B9B70">
            <w:pPr>
              <w:spacing w:line="240" w:lineRule="auto"/>
              <w:jc w:val="center"/>
              <w:rPr>
                <w:rFonts w:ascii="仿宋" w:hAnsi="仿宋" w:eastAsia="仿宋" w:cs="Times New Roman"/>
                <w:b/>
                <w:bCs/>
                <w:color w:val="auto"/>
                <w:sz w:val="21"/>
                <w:szCs w:val="21"/>
              </w:rPr>
            </w:pPr>
            <w:r>
              <w:rPr>
                <w:rFonts w:hint="eastAsia" w:ascii="仿宋" w:hAnsi="仿宋" w:eastAsia="仿宋" w:cs="Times New Roman"/>
                <w:b/>
                <w:bCs/>
                <w:color w:val="auto"/>
                <w:sz w:val="21"/>
                <w:szCs w:val="21"/>
              </w:rPr>
              <w:t>基本情况及需求</w:t>
            </w:r>
          </w:p>
        </w:tc>
      </w:tr>
      <w:tr w14:paraId="33755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8" w:hRule="atLeast"/>
          <w:jc w:val="center"/>
        </w:trPr>
        <w:tc>
          <w:tcPr>
            <w:tcW w:w="652" w:type="dxa"/>
            <w:vAlign w:val="center"/>
          </w:tcPr>
          <w:p w14:paraId="27FCF83D">
            <w:pPr>
              <w:spacing w:line="240" w:lineRule="auto"/>
              <w:jc w:val="center"/>
              <w:rPr>
                <w:rFonts w:hint="eastAsia" w:ascii="仿宋" w:hAnsi="仿宋" w:eastAsia="仿宋" w:cs="Times New Roman"/>
                <w:b w:val="0"/>
                <w:bCs w:val="0"/>
                <w:color w:val="auto"/>
                <w:szCs w:val="21"/>
                <w:lang w:val="en-US" w:eastAsia="zh-CN"/>
              </w:rPr>
            </w:pPr>
            <w:r>
              <w:rPr>
                <w:rFonts w:hint="eastAsia" w:ascii="仿宋" w:hAnsi="仿宋" w:eastAsia="仿宋" w:cs="Times New Roman"/>
                <w:b w:val="0"/>
                <w:bCs w:val="0"/>
                <w:color w:val="auto"/>
                <w:szCs w:val="21"/>
                <w:lang w:val="en-US" w:eastAsia="zh-CN"/>
              </w:rPr>
              <w:t>1</w:t>
            </w:r>
          </w:p>
        </w:tc>
        <w:tc>
          <w:tcPr>
            <w:tcW w:w="840" w:type="dxa"/>
            <w:vAlign w:val="center"/>
          </w:tcPr>
          <w:p w14:paraId="5CC6834B">
            <w:pPr>
              <w:spacing w:line="240" w:lineRule="auto"/>
              <w:jc w:val="center"/>
              <w:rPr>
                <w:rFonts w:hint="eastAsia" w:ascii="仿宋" w:hAnsi="仿宋" w:eastAsia="仿宋" w:cs="Times New Roman"/>
                <w:b w:val="0"/>
                <w:bCs w:val="0"/>
                <w:color w:val="auto"/>
                <w:szCs w:val="21"/>
                <w:lang w:val="en-US" w:eastAsia="zh-CN"/>
              </w:rPr>
            </w:pPr>
            <w:r>
              <w:rPr>
                <w:rFonts w:hint="eastAsia" w:ascii="仿宋" w:hAnsi="仿宋" w:eastAsia="仿宋" w:cs="Times New Roman"/>
                <w:b w:val="0"/>
                <w:bCs w:val="0"/>
                <w:color w:val="auto"/>
                <w:szCs w:val="21"/>
                <w:lang w:val="en-US" w:eastAsia="zh-CN"/>
              </w:rPr>
              <w:t>南宁中心血站2026-2027年度献血宣传系列主题活动服务</w:t>
            </w:r>
          </w:p>
        </w:tc>
        <w:tc>
          <w:tcPr>
            <w:tcW w:w="915" w:type="dxa"/>
            <w:vAlign w:val="center"/>
          </w:tcPr>
          <w:p w14:paraId="370B7E2A">
            <w:pPr>
              <w:spacing w:line="240" w:lineRule="auto"/>
              <w:jc w:val="center"/>
              <w:rPr>
                <w:rFonts w:hint="default" w:ascii="仿宋" w:hAnsi="仿宋" w:eastAsia="仿宋" w:cs="Times New Roman"/>
                <w:b w:val="0"/>
                <w:bCs w:val="0"/>
                <w:color w:val="auto"/>
                <w:szCs w:val="21"/>
                <w:lang w:val="en-US" w:eastAsia="zh-CN"/>
              </w:rPr>
            </w:pPr>
            <w:r>
              <w:rPr>
                <w:rFonts w:hint="eastAsia" w:ascii="仿宋" w:hAnsi="仿宋" w:eastAsia="仿宋" w:cs="Times New Roman"/>
                <w:b w:val="0"/>
                <w:bCs w:val="0"/>
                <w:color w:val="auto"/>
                <w:szCs w:val="21"/>
                <w:lang w:val="en-US" w:eastAsia="zh-CN"/>
              </w:rPr>
              <w:t>41万元</w:t>
            </w:r>
          </w:p>
        </w:tc>
        <w:tc>
          <w:tcPr>
            <w:tcW w:w="6450" w:type="dxa"/>
            <w:vAlign w:val="center"/>
          </w:tcPr>
          <w:p w14:paraId="7CA7F156">
            <w:pPr>
              <w:numPr>
                <w:ilvl w:val="0"/>
                <w:numId w:val="0"/>
              </w:numPr>
              <w:spacing w:line="240" w:lineRule="auto"/>
              <w:jc w:val="left"/>
              <w:rPr>
                <w:rFonts w:hint="default" w:ascii="仿宋" w:hAnsi="仿宋" w:eastAsia="仿宋" w:cs="Times New Roman"/>
                <w:b w:val="0"/>
                <w:bCs w:val="0"/>
                <w:color w:val="auto"/>
                <w:szCs w:val="21"/>
                <w:lang w:val="en-US" w:eastAsia="zh-CN"/>
              </w:rPr>
            </w:pPr>
            <w:r>
              <w:rPr>
                <w:rFonts w:hint="default" w:ascii="仿宋" w:hAnsi="仿宋" w:eastAsia="仿宋" w:cs="Times New Roman"/>
                <w:b w:val="0"/>
                <w:bCs w:val="0"/>
                <w:color w:val="auto"/>
                <w:szCs w:val="21"/>
                <w:lang w:val="en-US" w:eastAsia="zh-CN"/>
              </w:rPr>
              <w:t>一、项目概况</w:t>
            </w:r>
          </w:p>
          <w:p w14:paraId="03795110">
            <w:pPr>
              <w:numPr>
                <w:ilvl w:val="0"/>
                <w:numId w:val="0"/>
              </w:numPr>
              <w:spacing w:line="240" w:lineRule="auto"/>
              <w:jc w:val="left"/>
              <w:rPr>
                <w:rFonts w:hint="default" w:ascii="仿宋" w:hAnsi="仿宋" w:eastAsia="仿宋" w:cs="Times New Roman"/>
                <w:b w:val="0"/>
                <w:bCs w:val="0"/>
                <w:color w:val="auto"/>
                <w:szCs w:val="21"/>
                <w:lang w:val="en-US" w:eastAsia="zh-CN"/>
              </w:rPr>
            </w:pPr>
            <w:r>
              <w:rPr>
                <w:rFonts w:hint="default" w:ascii="仿宋" w:hAnsi="仿宋" w:eastAsia="仿宋" w:cs="Times New Roman"/>
                <w:b w:val="0"/>
                <w:bCs w:val="0"/>
                <w:color w:val="auto"/>
                <w:szCs w:val="21"/>
                <w:lang w:val="en-US" w:eastAsia="zh-CN"/>
              </w:rPr>
              <w:t>全年度开展活动不少于13场次，具体活动类型及内容根据采购人需求而定。</w:t>
            </w:r>
          </w:p>
          <w:p w14:paraId="7EA3E55A">
            <w:pPr>
              <w:numPr>
                <w:ilvl w:val="0"/>
                <w:numId w:val="0"/>
              </w:numPr>
              <w:spacing w:line="240" w:lineRule="auto"/>
              <w:jc w:val="left"/>
              <w:rPr>
                <w:rFonts w:hint="default" w:ascii="仿宋" w:hAnsi="仿宋" w:eastAsia="仿宋" w:cs="Times New Roman"/>
                <w:b w:val="0"/>
                <w:bCs w:val="0"/>
                <w:color w:val="auto"/>
                <w:szCs w:val="21"/>
                <w:lang w:val="en-US" w:eastAsia="zh-CN"/>
              </w:rPr>
            </w:pPr>
            <w:r>
              <w:rPr>
                <w:rFonts w:hint="default" w:ascii="仿宋" w:hAnsi="仿宋" w:eastAsia="仿宋" w:cs="Times New Roman"/>
                <w:b w:val="0"/>
                <w:bCs w:val="0"/>
                <w:color w:val="auto"/>
                <w:szCs w:val="21"/>
                <w:lang w:val="en-US" w:eastAsia="zh-CN"/>
              </w:rPr>
              <w:t>1.品牌活动，如：医务人员献血季活动、公务员献血季活动等，包含活动策划设计执行、活动物料、场地布置等。计划开展2场。</w:t>
            </w:r>
          </w:p>
          <w:p w14:paraId="78290DBC">
            <w:pPr>
              <w:numPr>
                <w:ilvl w:val="0"/>
                <w:numId w:val="0"/>
              </w:numPr>
              <w:spacing w:line="240" w:lineRule="auto"/>
              <w:jc w:val="left"/>
              <w:rPr>
                <w:rFonts w:hint="default" w:ascii="仿宋" w:hAnsi="仿宋" w:eastAsia="仿宋" w:cs="Times New Roman"/>
                <w:b w:val="0"/>
                <w:bCs w:val="0"/>
                <w:color w:val="auto"/>
                <w:szCs w:val="21"/>
                <w:lang w:val="en-US" w:eastAsia="zh-CN"/>
              </w:rPr>
            </w:pPr>
            <w:r>
              <w:rPr>
                <w:rFonts w:hint="default" w:ascii="仿宋" w:hAnsi="仿宋" w:eastAsia="仿宋" w:cs="Times New Roman"/>
                <w:b w:val="0"/>
                <w:bCs w:val="0"/>
                <w:color w:val="auto"/>
                <w:szCs w:val="21"/>
                <w:lang w:val="en-US" w:eastAsia="zh-CN"/>
              </w:rPr>
              <w:t>2.大型活动：每场活动参加人数不少于100人，根据活动需求，提供活动报名或评选通道、活动物料、评委嘉宾邀请、组织执行等相关服务，费用包含根据活动所产生的相关费用，如策划设计执行、奖品、证书、会务费、劳务费、邮寄费、宣传物料、活动道具、通道搭建、参与人员保险等，计划开展4场。</w:t>
            </w:r>
          </w:p>
          <w:p w14:paraId="04A78817">
            <w:pPr>
              <w:numPr>
                <w:ilvl w:val="0"/>
                <w:numId w:val="0"/>
              </w:numPr>
              <w:spacing w:line="240" w:lineRule="auto"/>
              <w:jc w:val="left"/>
              <w:rPr>
                <w:rFonts w:hint="default" w:ascii="仿宋" w:hAnsi="仿宋" w:eastAsia="仿宋" w:cs="Times New Roman"/>
                <w:b w:val="0"/>
                <w:bCs w:val="0"/>
                <w:color w:val="auto"/>
                <w:szCs w:val="21"/>
                <w:lang w:val="en-US" w:eastAsia="zh-CN"/>
              </w:rPr>
            </w:pPr>
            <w:r>
              <w:rPr>
                <w:rFonts w:hint="default" w:ascii="仿宋" w:hAnsi="仿宋" w:eastAsia="仿宋" w:cs="Times New Roman"/>
                <w:b w:val="0"/>
                <w:bCs w:val="0"/>
                <w:color w:val="auto"/>
                <w:szCs w:val="21"/>
                <w:lang w:val="en-US" w:eastAsia="zh-CN"/>
              </w:rPr>
              <w:t>3.启动仪式，包含策划设计执行、活动物料、场地布置等，计划开展4场。</w:t>
            </w:r>
          </w:p>
          <w:p w14:paraId="0AF6EF0C">
            <w:pPr>
              <w:numPr>
                <w:ilvl w:val="0"/>
                <w:numId w:val="0"/>
              </w:numPr>
              <w:spacing w:line="240" w:lineRule="auto"/>
              <w:jc w:val="left"/>
              <w:rPr>
                <w:rFonts w:hint="default" w:ascii="仿宋" w:hAnsi="仿宋" w:eastAsia="仿宋" w:cs="Times New Roman"/>
                <w:b w:val="0"/>
                <w:bCs w:val="0"/>
                <w:color w:val="auto"/>
                <w:szCs w:val="21"/>
                <w:lang w:val="en-US" w:eastAsia="zh-CN"/>
              </w:rPr>
            </w:pPr>
            <w:r>
              <w:rPr>
                <w:rFonts w:hint="default" w:ascii="仿宋" w:hAnsi="仿宋" w:eastAsia="仿宋" w:cs="Times New Roman"/>
                <w:b w:val="0"/>
                <w:bCs w:val="0"/>
                <w:color w:val="auto"/>
                <w:szCs w:val="21"/>
                <w:lang w:val="en-US" w:eastAsia="zh-CN"/>
              </w:rPr>
              <w:t>二、项目要求</w:t>
            </w:r>
          </w:p>
          <w:p w14:paraId="7F7C3679">
            <w:pPr>
              <w:numPr>
                <w:ilvl w:val="0"/>
                <w:numId w:val="0"/>
              </w:numPr>
              <w:spacing w:line="240" w:lineRule="auto"/>
              <w:jc w:val="left"/>
              <w:rPr>
                <w:rFonts w:hint="default" w:ascii="仿宋" w:hAnsi="仿宋" w:eastAsia="仿宋" w:cs="Times New Roman"/>
                <w:b w:val="0"/>
                <w:bCs w:val="0"/>
                <w:color w:val="auto"/>
                <w:szCs w:val="21"/>
                <w:lang w:val="en-US" w:eastAsia="zh-CN"/>
              </w:rPr>
            </w:pPr>
            <w:r>
              <w:rPr>
                <w:rFonts w:hint="default" w:ascii="仿宋" w:hAnsi="仿宋" w:eastAsia="仿宋" w:cs="Times New Roman"/>
                <w:b w:val="0"/>
                <w:bCs w:val="0"/>
                <w:color w:val="auto"/>
                <w:szCs w:val="21"/>
                <w:lang w:val="en-US" w:eastAsia="zh-CN"/>
              </w:rPr>
              <w:t>1.项目需要做好全年度计划，安排1名总负责人，提前与采购人沟通每场活动具体执行方案及每场活动费用预算，每场次活动根据规模安排充足的执行人员，活动现场拍照存档。</w:t>
            </w:r>
          </w:p>
          <w:p w14:paraId="58632CFB">
            <w:pPr>
              <w:numPr>
                <w:ilvl w:val="0"/>
                <w:numId w:val="0"/>
              </w:numPr>
              <w:spacing w:line="240" w:lineRule="auto"/>
              <w:jc w:val="left"/>
              <w:rPr>
                <w:rFonts w:hint="default" w:ascii="仿宋" w:hAnsi="仿宋" w:eastAsia="仿宋" w:cs="Times New Roman"/>
                <w:b w:val="0"/>
                <w:bCs w:val="0"/>
                <w:color w:val="auto"/>
                <w:szCs w:val="21"/>
                <w:lang w:val="en-US" w:eastAsia="zh-CN"/>
              </w:rPr>
            </w:pPr>
            <w:r>
              <w:rPr>
                <w:rFonts w:hint="default" w:ascii="仿宋" w:hAnsi="仿宋" w:eastAsia="仿宋" w:cs="Times New Roman"/>
                <w:b w:val="0"/>
                <w:bCs w:val="0"/>
                <w:color w:val="auto"/>
                <w:szCs w:val="21"/>
                <w:lang w:val="en-US" w:eastAsia="zh-CN"/>
              </w:rPr>
              <w:t>2.服务内容包括：提供活动方案、活动场地落实、现场氛围营造、活动报名及评选通道、活动前中后期执行、物料制作设计、活动物料运输安装拆卸、购买相应物资（如活动道具、氛围布置物料、活动奖品等）、整理活动材料等。</w:t>
            </w:r>
          </w:p>
          <w:p w14:paraId="552628C5">
            <w:pPr>
              <w:numPr>
                <w:ilvl w:val="0"/>
                <w:numId w:val="0"/>
              </w:numPr>
              <w:spacing w:line="240" w:lineRule="auto"/>
              <w:jc w:val="left"/>
              <w:rPr>
                <w:rFonts w:hint="default" w:ascii="仿宋" w:hAnsi="仿宋" w:eastAsia="仿宋" w:cs="Times New Roman"/>
                <w:b w:val="0"/>
                <w:bCs w:val="0"/>
                <w:color w:val="auto"/>
                <w:szCs w:val="21"/>
                <w:lang w:val="en-US" w:eastAsia="zh-CN"/>
              </w:rPr>
            </w:pPr>
            <w:r>
              <w:rPr>
                <w:rFonts w:hint="default" w:ascii="仿宋" w:hAnsi="仿宋" w:eastAsia="仿宋" w:cs="Times New Roman"/>
                <w:b w:val="0"/>
                <w:bCs w:val="0"/>
                <w:color w:val="auto"/>
                <w:szCs w:val="21"/>
                <w:lang w:val="en-US" w:eastAsia="zh-CN"/>
              </w:rPr>
              <w:t>3.每场活动规格及预算以采购人需求为准，需要有具体的活动预算，根据预算进行，预算价不高于市场价。</w:t>
            </w:r>
          </w:p>
        </w:tc>
      </w:tr>
      <w:tr w14:paraId="780E3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52" w:type="dxa"/>
            <w:vAlign w:val="center"/>
          </w:tcPr>
          <w:p w14:paraId="0A4E045E">
            <w:pPr>
              <w:spacing w:line="240" w:lineRule="auto"/>
              <w:jc w:val="center"/>
              <w:rPr>
                <w:rFonts w:hint="default" w:ascii="仿宋" w:hAnsi="仿宋" w:eastAsia="仿宋" w:cs="Times New Roman"/>
                <w:b w:val="0"/>
                <w:bCs w:val="0"/>
                <w:color w:val="auto"/>
                <w:szCs w:val="21"/>
                <w:lang w:val="en-US" w:eastAsia="zh-CN"/>
              </w:rPr>
            </w:pPr>
            <w:r>
              <w:rPr>
                <w:rFonts w:hint="eastAsia" w:ascii="仿宋" w:hAnsi="仿宋" w:eastAsia="仿宋" w:cs="Times New Roman"/>
                <w:b w:val="0"/>
                <w:bCs w:val="0"/>
                <w:color w:val="auto"/>
                <w:szCs w:val="21"/>
                <w:lang w:val="en-US" w:eastAsia="zh-CN"/>
              </w:rPr>
              <w:t>2</w:t>
            </w:r>
          </w:p>
        </w:tc>
        <w:tc>
          <w:tcPr>
            <w:tcW w:w="840" w:type="dxa"/>
            <w:vAlign w:val="center"/>
          </w:tcPr>
          <w:p w14:paraId="5989A3F8">
            <w:pPr>
              <w:tabs>
                <w:tab w:val="left" w:pos="298"/>
              </w:tabs>
              <w:spacing w:line="240" w:lineRule="auto"/>
              <w:jc w:val="center"/>
              <w:rPr>
                <w:rFonts w:hint="default" w:ascii="仿宋" w:hAnsi="仿宋" w:eastAsia="仿宋" w:cs="Times New Roman"/>
                <w:b w:val="0"/>
                <w:bCs w:val="0"/>
                <w:color w:val="auto"/>
                <w:szCs w:val="21"/>
                <w:lang w:val="en-US" w:eastAsia="zh-CN"/>
              </w:rPr>
            </w:pPr>
            <w:r>
              <w:rPr>
                <w:rFonts w:hint="default" w:ascii="仿宋" w:hAnsi="仿宋" w:eastAsia="仿宋" w:cs="Times New Roman"/>
                <w:b w:val="0"/>
                <w:bCs w:val="0"/>
                <w:color w:val="auto"/>
                <w:szCs w:val="21"/>
                <w:lang w:val="en-US" w:eastAsia="zh-CN"/>
              </w:rPr>
              <w:t>南宁中心血站捐血屋系列主题献血活动服务</w:t>
            </w:r>
          </w:p>
        </w:tc>
        <w:tc>
          <w:tcPr>
            <w:tcW w:w="915" w:type="dxa"/>
            <w:vAlign w:val="center"/>
          </w:tcPr>
          <w:p w14:paraId="1BF97BAD">
            <w:pPr>
              <w:spacing w:line="240" w:lineRule="auto"/>
              <w:jc w:val="center"/>
              <w:rPr>
                <w:rFonts w:hint="default" w:ascii="仿宋" w:hAnsi="仿宋" w:eastAsia="仿宋" w:cs="Times New Roman"/>
                <w:b w:val="0"/>
                <w:bCs w:val="0"/>
                <w:color w:val="auto"/>
                <w:szCs w:val="21"/>
                <w:lang w:val="en-US" w:eastAsia="zh-CN"/>
              </w:rPr>
            </w:pPr>
            <w:r>
              <w:rPr>
                <w:rFonts w:hint="eastAsia" w:ascii="仿宋" w:hAnsi="仿宋" w:eastAsia="仿宋" w:cs="Times New Roman"/>
                <w:b w:val="0"/>
                <w:bCs w:val="0"/>
                <w:color w:val="auto"/>
                <w:szCs w:val="21"/>
                <w:lang w:val="en-US" w:eastAsia="zh-CN"/>
              </w:rPr>
              <w:t>54.5万元</w:t>
            </w:r>
          </w:p>
        </w:tc>
        <w:tc>
          <w:tcPr>
            <w:tcW w:w="6450" w:type="dxa"/>
            <w:vAlign w:val="center"/>
          </w:tcPr>
          <w:p w14:paraId="3364EBF3">
            <w:pPr>
              <w:numPr>
                <w:ilvl w:val="0"/>
                <w:numId w:val="0"/>
              </w:numPr>
              <w:spacing w:line="240" w:lineRule="auto"/>
              <w:jc w:val="left"/>
              <w:rPr>
                <w:rFonts w:hint="default" w:ascii="仿宋" w:hAnsi="仿宋" w:eastAsia="仿宋" w:cs="Times New Roman"/>
                <w:b w:val="0"/>
                <w:bCs w:val="0"/>
                <w:color w:val="auto"/>
                <w:szCs w:val="21"/>
                <w:lang w:val="en-US" w:eastAsia="zh-CN"/>
              </w:rPr>
            </w:pPr>
            <w:r>
              <w:rPr>
                <w:rFonts w:hint="default" w:ascii="仿宋" w:hAnsi="仿宋" w:eastAsia="仿宋" w:cs="Times New Roman"/>
                <w:b w:val="0"/>
                <w:bCs w:val="0"/>
                <w:color w:val="auto"/>
                <w:szCs w:val="21"/>
                <w:lang w:val="en-US" w:eastAsia="zh-CN"/>
              </w:rPr>
              <w:t>1、捐血屋周年：共11场，每场包括活动策划、宣传物料、活动道具、周年礼品等，宾阳、上林、马山、隆安捐血屋1.5万元每场，4场共6万元；横州、武鸣、江南、航洋、火炬每场2.5万元，5场共12.5万元；医科大2万元；朝阳捐血屋3万元。合计23.5万元。</w:t>
            </w:r>
          </w:p>
          <w:p w14:paraId="69B3D902">
            <w:pPr>
              <w:numPr>
                <w:ilvl w:val="0"/>
                <w:numId w:val="0"/>
              </w:numPr>
              <w:spacing w:line="240" w:lineRule="auto"/>
              <w:jc w:val="left"/>
              <w:rPr>
                <w:rFonts w:hint="default" w:ascii="仿宋" w:hAnsi="仿宋" w:eastAsia="仿宋" w:cs="Times New Roman"/>
                <w:b w:val="0"/>
                <w:bCs w:val="0"/>
                <w:color w:val="auto"/>
                <w:szCs w:val="21"/>
                <w:lang w:val="en-US" w:eastAsia="zh-CN"/>
              </w:rPr>
            </w:pPr>
            <w:r>
              <w:rPr>
                <w:rFonts w:hint="default" w:ascii="仿宋" w:hAnsi="仿宋" w:eastAsia="仿宋" w:cs="Times New Roman"/>
                <w:b w:val="0"/>
                <w:bCs w:val="0"/>
                <w:color w:val="auto"/>
                <w:szCs w:val="21"/>
                <w:lang w:val="en-US" w:eastAsia="zh-CN"/>
              </w:rPr>
              <w:t xml:space="preserve">2、其他临时街头活动：如元旦、情人节、妇女节、三月三、520、儿童节、端午节、七夕等主题活动。宣传物料、活动道具、策划执行、小宣传品等，每场预计1万元，计划开展8场，合计8万元。 </w:t>
            </w:r>
          </w:p>
          <w:p w14:paraId="2581682C">
            <w:pPr>
              <w:numPr>
                <w:ilvl w:val="0"/>
                <w:numId w:val="0"/>
              </w:numPr>
              <w:spacing w:line="240" w:lineRule="auto"/>
              <w:jc w:val="left"/>
              <w:rPr>
                <w:rFonts w:hint="default" w:ascii="仿宋" w:hAnsi="仿宋" w:eastAsia="仿宋" w:cs="Times New Roman"/>
                <w:b w:val="0"/>
                <w:bCs w:val="0"/>
                <w:color w:val="auto"/>
                <w:szCs w:val="21"/>
                <w:lang w:val="en-US" w:eastAsia="zh-CN"/>
              </w:rPr>
            </w:pPr>
            <w:r>
              <w:rPr>
                <w:rFonts w:hint="default" w:ascii="仿宋" w:hAnsi="仿宋" w:eastAsia="仿宋" w:cs="Times New Roman"/>
                <w:b w:val="0"/>
                <w:bCs w:val="0"/>
                <w:color w:val="auto"/>
                <w:szCs w:val="21"/>
                <w:lang w:val="en-US" w:eastAsia="zh-CN"/>
              </w:rPr>
              <w:t>3、市区年度献血者感恩回馈活动2场，每场3万元，共6万元。区县6场（上林、马山、宾阳、武鸣、横州、隆安各1场），每场5000元，共3万元。该项合计9万元。</w:t>
            </w:r>
          </w:p>
          <w:p w14:paraId="19608582">
            <w:pPr>
              <w:numPr>
                <w:ilvl w:val="0"/>
                <w:numId w:val="0"/>
              </w:numPr>
              <w:spacing w:line="240" w:lineRule="auto"/>
              <w:jc w:val="left"/>
              <w:rPr>
                <w:rFonts w:hint="default" w:ascii="仿宋" w:hAnsi="仿宋" w:eastAsia="仿宋" w:cs="Times New Roman"/>
                <w:b w:val="0"/>
                <w:bCs w:val="0"/>
                <w:color w:val="auto"/>
                <w:szCs w:val="21"/>
                <w:lang w:val="en-US" w:eastAsia="zh-CN"/>
              </w:rPr>
            </w:pPr>
            <w:r>
              <w:rPr>
                <w:rFonts w:hint="default" w:ascii="仿宋" w:hAnsi="仿宋" w:eastAsia="仿宋" w:cs="Times New Roman"/>
                <w:b w:val="0"/>
                <w:bCs w:val="0"/>
                <w:color w:val="auto"/>
                <w:szCs w:val="21"/>
                <w:lang w:val="en-US" w:eastAsia="zh-CN"/>
              </w:rPr>
              <w:t>4、捐血屋街头宣传活动：16个血屋全年街头宣传活动所需物料、礼品预算，朝阳、江南、航洋、火炬、横州、武鸣、宾阳各1万元，医科大、南棉、埌东、青秀、上林、马山、隆安、黎塘、十医院各5千元，共11.5万元。</w:t>
            </w:r>
          </w:p>
          <w:p w14:paraId="6781750B">
            <w:pPr>
              <w:numPr>
                <w:ilvl w:val="0"/>
                <w:numId w:val="0"/>
              </w:numPr>
              <w:spacing w:line="240" w:lineRule="auto"/>
              <w:jc w:val="left"/>
              <w:rPr>
                <w:rFonts w:hint="default" w:ascii="仿宋" w:hAnsi="仿宋" w:eastAsia="仿宋" w:cs="Times New Roman"/>
                <w:b w:val="0"/>
                <w:bCs w:val="0"/>
                <w:color w:val="auto"/>
                <w:szCs w:val="21"/>
                <w:lang w:val="en-US" w:eastAsia="zh-CN"/>
              </w:rPr>
            </w:pPr>
            <w:r>
              <w:rPr>
                <w:rFonts w:hint="default" w:ascii="仿宋" w:hAnsi="仿宋" w:eastAsia="仿宋" w:cs="Times New Roman"/>
                <w:b w:val="0"/>
                <w:bCs w:val="0"/>
                <w:color w:val="auto"/>
                <w:szCs w:val="21"/>
                <w:lang w:val="en-US" w:eastAsia="zh-CN"/>
              </w:rPr>
              <w:t xml:space="preserve">5、稀有献血者活动，预计参与人数100人。含策划执行、场地、氛围营造、餐食、宣传品等，约2.5万元。               </w:t>
            </w:r>
          </w:p>
          <w:p w14:paraId="67F8ABF4">
            <w:pPr>
              <w:numPr>
                <w:ilvl w:val="0"/>
                <w:numId w:val="0"/>
              </w:numPr>
              <w:spacing w:line="240" w:lineRule="auto"/>
              <w:jc w:val="left"/>
              <w:rPr>
                <w:rFonts w:hint="default" w:ascii="仿宋" w:hAnsi="仿宋" w:eastAsia="仿宋" w:cs="Times New Roman"/>
                <w:b w:val="0"/>
                <w:bCs w:val="0"/>
                <w:color w:val="auto"/>
                <w:szCs w:val="21"/>
                <w:lang w:val="en-US" w:eastAsia="zh-CN"/>
              </w:rPr>
            </w:pPr>
            <w:r>
              <w:rPr>
                <w:rFonts w:hint="default" w:ascii="仿宋" w:hAnsi="仿宋" w:eastAsia="仿宋" w:cs="Times New Roman"/>
                <w:b w:val="0"/>
                <w:bCs w:val="0"/>
                <w:color w:val="auto"/>
                <w:szCs w:val="21"/>
                <w:lang w:val="en-US" w:eastAsia="zh-CN"/>
              </w:rPr>
              <w:t>相关要求：服务内容含活动策划、物料设计及制作、物料运输、提供活动道具、现场宣传物资、现场氛围营造、现场执行、现场拍照、协助宣传、活动物资物品等，结合节假日、周年庆等时间段，并根据活动计划，在捐血屋搭建相关氛围营造，开展主题活动；策划案需要做好全年活动计划，每场活动至少提前四周提供活动策划及执行方案并根据每场活动性质及规模做好预算费用，每场费用根据不同主题活动预算费用而定，需要有具体的活动预算且不高于市场价，每场活动规格以采购人需求为准；中标人需要安排1名固定人员作为活动负责人对接统筹活动，及时响应采购人提出的需求和问题，并提出解决方案；组织不少于3人的固定人员作为活动执行团队，能根据采购人的需求设计和制作相应的活动物料，了解无偿献血相关知识和宣传招募技巧，依据方案实施的每一次活动，必须有足够的人员参加现场的组织和协调活动。该项目属于跨年度项目，届时将根据实际开展次数及费用支付。</w:t>
            </w:r>
          </w:p>
        </w:tc>
      </w:tr>
      <w:tr w14:paraId="4F220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652" w:type="dxa"/>
            <w:vAlign w:val="center"/>
          </w:tcPr>
          <w:p w14:paraId="17F34E77">
            <w:pPr>
              <w:spacing w:line="240" w:lineRule="auto"/>
              <w:jc w:val="center"/>
              <w:rPr>
                <w:rFonts w:hint="default" w:ascii="仿宋" w:hAnsi="仿宋" w:eastAsia="仿宋" w:cs="Times New Roman"/>
                <w:b w:val="0"/>
                <w:bCs w:val="0"/>
                <w:color w:val="auto"/>
                <w:szCs w:val="21"/>
                <w:lang w:val="en-US" w:eastAsia="zh-CN"/>
              </w:rPr>
            </w:pPr>
            <w:r>
              <w:rPr>
                <w:rFonts w:hint="eastAsia" w:ascii="仿宋" w:hAnsi="仿宋" w:eastAsia="仿宋" w:cs="Times New Roman"/>
                <w:b w:val="0"/>
                <w:bCs w:val="0"/>
                <w:color w:val="auto"/>
                <w:szCs w:val="21"/>
                <w:lang w:val="en-US" w:eastAsia="zh-CN"/>
              </w:rPr>
              <w:t>3</w:t>
            </w:r>
          </w:p>
        </w:tc>
        <w:tc>
          <w:tcPr>
            <w:tcW w:w="840" w:type="dxa"/>
            <w:vAlign w:val="center"/>
          </w:tcPr>
          <w:p w14:paraId="78CC025A">
            <w:pPr>
              <w:spacing w:line="240" w:lineRule="auto"/>
              <w:jc w:val="center"/>
              <w:rPr>
                <w:rFonts w:hint="default" w:ascii="仿宋" w:hAnsi="仿宋" w:eastAsia="仿宋" w:cs="Times New Roman"/>
                <w:b w:val="0"/>
                <w:bCs w:val="0"/>
                <w:color w:val="auto"/>
                <w:szCs w:val="21"/>
                <w:lang w:val="en-US" w:eastAsia="zh-CN"/>
              </w:rPr>
            </w:pPr>
            <w:r>
              <w:rPr>
                <w:rFonts w:hint="default" w:ascii="仿宋" w:hAnsi="仿宋" w:eastAsia="仿宋" w:cs="Times New Roman"/>
                <w:b w:val="0"/>
                <w:bCs w:val="0"/>
                <w:color w:val="auto"/>
                <w:szCs w:val="21"/>
                <w:lang w:val="en-US" w:eastAsia="zh-CN"/>
              </w:rPr>
              <w:t>南宁中心血站节假日街头流动点（采血车）主题献血活动服务</w:t>
            </w:r>
          </w:p>
        </w:tc>
        <w:tc>
          <w:tcPr>
            <w:tcW w:w="915" w:type="dxa"/>
            <w:vAlign w:val="center"/>
          </w:tcPr>
          <w:p w14:paraId="35936629">
            <w:pPr>
              <w:spacing w:line="240" w:lineRule="auto"/>
              <w:jc w:val="center"/>
              <w:rPr>
                <w:rFonts w:hint="default" w:ascii="仿宋" w:hAnsi="仿宋" w:eastAsia="仿宋" w:cs="Times New Roman"/>
                <w:b w:val="0"/>
                <w:bCs w:val="0"/>
                <w:color w:val="auto"/>
                <w:szCs w:val="21"/>
                <w:lang w:val="en-US" w:eastAsia="zh-CN"/>
              </w:rPr>
            </w:pPr>
            <w:r>
              <w:rPr>
                <w:rFonts w:hint="eastAsia" w:ascii="仿宋" w:hAnsi="仿宋" w:eastAsia="仿宋" w:cs="Times New Roman"/>
                <w:b w:val="0"/>
                <w:bCs w:val="0"/>
                <w:color w:val="auto"/>
                <w:szCs w:val="21"/>
                <w:lang w:val="en-US" w:eastAsia="zh-CN"/>
              </w:rPr>
              <w:t>32万元</w:t>
            </w:r>
          </w:p>
        </w:tc>
        <w:tc>
          <w:tcPr>
            <w:tcW w:w="6450" w:type="dxa"/>
            <w:vAlign w:val="center"/>
          </w:tcPr>
          <w:p w14:paraId="4330A8F7">
            <w:pPr>
              <w:numPr>
                <w:ilvl w:val="0"/>
                <w:numId w:val="0"/>
              </w:numPr>
              <w:spacing w:line="240" w:lineRule="auto"/>
              <w:ind w:left="0" w:leftChars="0" w:firstLine="0" w:firstLineChars="0"/>
              <w:jc w:val="left"/>
              <w:rPr>
                <w:rFonts w:hint="default" w:ascii="仿宋" w:hAnsi="仿宋" w:eastAsia="仿宋" w:cs="Times New Roman"/>
                <w:b w:val="0"/>
                <w:bCs w:val="0"/>
                <w:color w:val="auto"/>
                <w:szCs w:val="21"/>
                <w:lang w:val="en-US" w:eastAsia="zh-CN"/>
              </w:rPr>
            </w:pPr>
            <w:r>
              <w:rPr>
                <w:rFonts w:hint="default" w:ascii="仿宋" w:hAnsi="仿宋" w:eastAsia="仿宋" w:cs="Times New Roman"/>
                <w:b w:val="0"/>
                <w:bCs w:val="0"/>
                <w:color w:val="auto"/>
                <w:szCs w:val="21"/>
                <w:lang w:val="en-US" w:eastAsia="zh-CN"/>
              </w:rPr>
              <w:t>逢元旦、三月三、七一、中秋、七夕、端午等共7个主题活动，街头流动点（采血车）开展节日主题活动，每次活动6辆车。包含活动前期策划和方案拟定、提供场地、场地布置氛围营造及所需物料和活动礼品、活动前中后对接执行等。旨在加强无偿献血及其相关知识的宣传和理念，营造采血活动现场氛围（车内和车下）。</w:t>
            </w:r>
          </w:p>
        </w:tc>
      </w:tr>
      <w:tr w14:paraId="651A4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52" w:type="dxa"/>
            <w:vAlign w:val="center"/>
          </w:tcPr>
          <w:p w14:paraId="1ACC8DDA">
            <w:pPr>
              <w:spacing w:line="240" w:lineRule="auto"/>
              <w:jc w:val="center"/>
              <w:rPr>
                <w:rFonts w:hint="default" w:ascii="仿宋" w:hAnsi="仿宋" w:eastAsia="仿宋" w:cs="Times New Roman"/>
                <w:b w:val="0"/>
                <w:bCs w:val="0"/>
                <w:color w:val="auto"/>
                <w:szCs w:val="21"/>
                <w:lang w:val="en-US" w:eastAsia="zh-CN"/>
              </w:rPr>
            </w:pPr>
            <w:r>
              <w:rPr>
                <w:rFonts w:hint="eastAsia" w:ascii="仿宋" w:hAnsi="仿宋" w:eastAsia="仿宋" w:cs="Times New Roman"/>
                <w:b w:val="0"/>
                <w:bCs w:val="0"/>
                <w:color w:val="auto"/>
                <w:szCs w:val="21"/>
                <w:lang w:val="en-US" w:eastAsia="zh-CN"/>
              </w:rPr>
              <w:t>4</w:t>
            </w:r>
          </w:p>
        </w:tc>
        <w:tc>
          <w:tcPr>
            <w:tcW w:w="840" w:type="dxa"/>
            <w:vAlign w:val="center"/>
          </w:tcPr>
          <w:p w14:paraId="6D741F4D">
            <w:pPr>
              <w:spacing w:line="240" w:lineRule="auto"/>
              <w:jc w:val="center"/>
              <w:rPr>
                <w:rFonts w:hint="eastAsia" w:ascii="仿宋" w:hAnsi="仿宋" w:eastAsia="仿宋" w:cs="Times New Roman"/>
                <w:b w:val="0"/>
                <w:bCs w:val="0"/>
                <w:color w:val="auto"/>
                <w:szCs w:val="21"/>
                <w:lang w:val="en-US" w:eastAsia="zh-CN"/>
              </w:rPr>
            </w:pPr>
            <w:r>
              <w:rPr>
                <w:rFonts w:hint="eastAsia" w:ascii="仿宋" w:hAnsi="仿宋" w:eastAsia="仿宋" w:cs="Times New Roman"/>
                <w:b w:val="0"/>
                <w:bCs w:val="0"/>
                <w:color w:val="auto"/>
                <w:szCs w:val="21"/>
                <w:lang w:val="en-US" w:eastAsia="zh-CN"/>
              </w:rPr>
              <w:t>南宁中心血站团体献血、联谊活动服务</w:t>
            </w:r>
          </w:p>
        </w:tc>
        <w:tc>
          <w:tcPr>
            <w:tcW w:w="915" w:type="dxa"/>
            <w:vAlign w:val="center"/>
          </w:tcPr>
          <w:p w14:paraId="07F84905">
            <w:pPr>
              <w:spacing w:line="240" w:lineRule="auto"/>
              <w:jc w:val="center"/>
              <w:rPr>
                <w:rFonts w:hint="eastAsia" w:ascii="仿宋" w:hAnsi="仿宋" w:eastAsia="仿宋" w:cs="Times New Roman"/>
                <w:b w:val="0"/>
                <w:bCs w:val="0"/>
                <w:color w:val="auto"/>
                <w:szCs w:val="21"/>
                <w:lang w:val="en-US" w:eastAsia="zh-CN"/>
              </w:rPr>
            </w:pPr>
            <w:r>
              <w:rPr>
                <w:rFonts w:hint="eastAsia" w:ascii="仿宋" w:hAnsi="仿宋" w:eastAsia="仿宋" w:cs="Times New Roman"/>
                <w:b w:val="0"/>
                <w:bCs w:val="0"/>
                <w:color w:val="auto"/>
                <w:szCs w:val="21"/>
                <w:lang w:val="en-US" w:eastAsia="zh-CN"/>
              </w:rPr>
              <w:t>28.754万元</w:t>
            </w:r>
          </w:p>
        </w:tc>
        <w:tc>
          <w:tcPr>
            <w:tcW w:w="6450" w:type="dxa"/>
            <w:vAlign w:val="center"/>
          </w:tcPr>
          <w:p w14:paraId="593FB1AC">
            <w:pPr>
              <w:numPr>
                <w:ilvl w:val="0"/>
                <w:numId w:val="0"/>
              </w:numPr>
              <w:spacing w:line="240" w:lineRule="auto"/>
              <w:ind w:left="0" w:leftChars="0" w:firstLine="0" w:firstLineChars="0"/>
              <w:jc w:val="left"/>
              <w:rPr>
                <w:rFonts w:hint="default" w:ascii="仿宋" w:hAnsi="仿宋" w:eastAsia="仿宋" w:cs="Times New Roman"/>
                <w:b w:val="0"/>
                <w:bCs w:val="0"/>
                <w:color w:val="auto"/>
                <w:szCs w:val="21"/>
                <w:lang w:val="en-US" w:eastAsia="zh-CN"/>
              </w:rPr>
            </w:pPr>
            <w:r>
              <w:rPr>
                <w:rFonts w:hint="default" w:ascii="仿宋" w:hAnsi="仿宋" w:eastAsia="仿宋" w:cs="Times New Roman"/>
                <w:b w:val="0"/>
                <w:bCs w:val="0"/>
                <w:color w:val="auto"/>
                <w:szCs w:val="21"/>
                <w:lang w:val="en-US" w:eastAsia="zh-CN"/>
              </w:rPr>
              <w:t>1、县区联谊交流会、培训会及拓展活动1场。40人，包含活动前期策划和方案拟定、提供场地、场地布置氛围营造及所需物料和活动礼品、活动前中后对接执行等。旨在加强血站和县区的交流和联动，为做好无偿献血的宣传和血液采集工作出谋划策，促进献血知识和理念的传播，提升工作成效。预算1.5万元。</w:t>
            </w:r>
          </w:p>
          <w:p w14:paraId="628C1A86">
            <w:pPr>
              <w:numPr>
                <w:ilvl w:val="0"/>
                <w:numId w:val="0"/>
              </w:numPr>
              <w:spacing w:line="240" w:lineRule="auto"/>
              <w:ind w:left="0" w:leftChars="0" w:firstLine="0" w:firstLineChars="0"/>
              <w:jc w:val="left"/>
              <w:rPr>
                <w:rFonts w:hint="default" w:ascii="仿宋" w:hAnsi="仿宋" w:eastAsia="仿宋" w:cs="Times New Roman"/>
                <w:b w:val="0"/>
                <w:bCs w:val="0"/>
                <w:color w:val="auto"/>
                <w:szCs w:val="21"/>
                <w:lang w:val="en-US" w:eastAsia="zh-CN"/>
              </w:rPr>
            </w:pPr>
            <w:r>
              <w:rPr>
                <w:rFonts w:hint="default" w:ascii="仿宋" w:hAnsi="仿宋" w:eastAsia="仿宋" w:cs="Times New Roman"/>
                <w:b w:val="0"/>
                <w:bCs w:val="0"/>
                <w:color w:val="auto"/>
                <w:szCs w:val="21"/>
                <w:lang w:val="en-US" w:eastAsia="zh-CN"/>
              </w:rPr>
              <w:t>2、团体主题献血活动启动仪式：工商联、青年文明号、团区委共3场。包含活动前期策划和方案拟定、提供场地、场地布置氛围营造及所需物料和活动礼品、活动前中后对接执行等。预算3万元。</w:t>
            </w:r>
          </w:p>
          <w:p w14:paraId="3B0CA594">
            <w:pPr>
              <w:numPr>
                <w:ilvl w:val="0"/>
                <w:numId w:val="0"/>
              </w:numPr>
              <w:spacing w:line="240" w:lineRule="auto"/>
              <w:ind w:left="0" w:leftChars="0" w:firstLine="0" w:firstLineChars="0"/>
              <w:jc w:val="left"/>
              <w:rPr>
                <w:rFonts w:hint="default" w:ascii="仿宋" w:hAnsi="仿宋" w:eastAsia="仿宋" w:cs="Times New Roman"/>
                <w:b w:val="0"/>
                <w:bCs w:val="0"/>
                <w:color w:val="auto"/>
                <w:szCs w:val="21"/>
                <w:lang w:val="en-US" w:eastAsia="zh-CN"/>
              </w:rPr>
            </w:pPr>
            <w:r>
              <w:rPr>
                <w:rFonts w:hint="default" w:ascii="仿宋" w:hAnsi="仿宋" w:eastAsia="仿宋" w:cs="Times New Roman"/>
                <w:b w:val="0"/>
                <w:bCs w:val="0"/>
                <w:color w:val="auto"/>
                <w:szCs w:val="21"/>
                <w:lang w:val="en-US" w:eastAsia="zh-CN"/>
              </w:rPr>
              <w:t>3、企事业联系人联谊交流1场，50人。包含活动前期策划和方案拟定、提供场地、场地布置氛围营造及所需物料和活动礼品、活动前中后对接执行等。旨在加强血站和各企事业单位的交流和联动，为做好无偿献血的宣传和血液采集工作出谋划策，促进献血知识和理念的传播，提升工作成效。预算2.254万元。</w:t>
            </w:r>
          </w:p>
          <w:p w14:paraId="329687FF">
            <w:pPr>
              <w:numPr>
                <w:ilvl w:val="0"/>
                <w:numId w:val="0"/>
              </w:numPr>
              <w:spacing w:line="240" w:lineRule="auto"/>
              <w:ind w:left="0" w:leftChars="0" w:firstLine="0" w:firstLineChars="0"/>
              <w:jc w:val="left"/>
              <w:rPr>
                <w:rFonts w:hint="default" w:ascii="仿宋" w:hAnsi="仿宋" w:eastAsia="仿宋" w:cs="Times New Roman"/>
                <w:b w:val="0"/>
                <w:bCs w:val="0"/>
                <w:color w:val="auto"/>
                <w:szCs w:val="21"/>
                <w:lang w:val="en-US" w:eastAsia="zh-CN"/>
              </w:rPr>
            </w:pPr>
            <w:r>
              <w:rPr>
                <w:rFonts w:hint="default" w:ascii="仿宋" w:hAnsi="仿宋" w:eastAsia="仿宋" w:cs="Times New Roman"/>
                <w:b w:val="0"/>
                <w:bCs w:val="0"/>
                <w:color w:val="auto"/>
                <w:szCs w:val="21"/>
                <w:lang w:val="en-US" w:eastAsia="zh-CN"/>
              </w:rPr>
              <w:t>4、15场，每场20人，各单位联系人交流。包含活动前期策划和方案拟定、提供场地、场地布置氛围营造及所需物料和活动礼品、活动前中后对接执行等。旨在加强血站和各单位的交流和联动，为做好无偿献血的宣传和献血服务工作出谋划策，促进献血知识和理念的传播，提升工作成效。预算15万元。</w:t>
            </w:r>
          </w:p>
          <w:p w14:paraId="669D307D">
            <w:pPr>
              <w:numPr>
                <w:ilvl w:val="0"/>
                <w:numId w:val="0"/>
              </w:numPr>
              <w:spacing w:line="240" w:lineRule="auto"/>
              <w:ind w:left="0" w:leftChars="0" w:firstLine="0" w:firstLineChars="0"/>
              <w:jc w:val="left"/>
              <w:rPr>
                <w:rFonts w:hint="default" w:ascii="仿宋" w:hAnsi="仿宋" w:eastAsia="仿宋" w:cs="Times New Roman"/>
                <w:b w:val="0"/>
                <w:bCs w:val="0"/>
                <w:color w:val="auto"/>
                <w:szCs w:val="21"/>
                <w:lang w:val="en-US" w:eastAsia="zh-CN"/>
              </w:rPr>
            </w:pPr>
            <w:r>
              <w:rPr>
                <w:rFonts w:hint="default" w:ascii="仿宋" w:hAnsi="仿宋" w:eastAsia="仿宋" w:cs="Times New Roman"/>
                <w:b w:val="0"/>
                <w:bCs w:val="0"/>
                <w:color w:val="auto"/>
                <w:szCs w:val="21"/>
                <w:lang w:val="en-US" w:eastAsia="zh-CN"/>
              </w:rPr>
              <w:t>5、共2场，老师和学生各一场。老师场约60人，学生场约140人。包含活动前期策划和方案拟定、提供场地、场地布置氛围营造及所需物料和活动礼品、活动前中后对接执行等。旨在加强血站和各单位的交流和联动，为做好高校无偿献血的宣传和献血服务工作出谋划策，促进献血知识和理念的传播，提升高校采血工作成效。预算7万元。</w:t>
            </w:r>
          </w:p>
        </w:tc>
      </w:tr>
      <w:tr w14:paraId="447B9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52" w:type="dxa"/>
            <w:vAlign w:val="center"/>
          </w:tcPr>
          <w:p w14:paraId="1601DEF9">
            <w:pPr>
              <w:spacing w:line="240" w:lineRule="auto"/>
              <w:jc w:val="center"/>
              <w:rPr>
                <w:rFonts w:hint="default" w:ascii="仿宋" w:hAnsi="仿宋" w:eastAsia="仿宋" w:cs="Times New Roman"/>
                <w:b w:val="0"/>
                <w:bCs w:val="0"/>
                <w:color w:val="auto"/>
                <w:szCs w:val="21"/>
                <w:lang w:val="en-US" w:eastAsia="zh-CN"/>
              </w:rPr>
            </w:pPr>
            <w:r>
              <w:rPr>
                <w:rFonts w:hint="eastAsia" w:ascii="仿宋" w:hAnsi="仿宋" w:eastAsia="仿宋" w:cs="Times New Roman"/>
                <w:b w:val="0"/>
                <w:bCs w:val="0"/>
                <w:color w:val="auto"/>
                <w:szCs w:val="21"/>
                <w:lang w:val="en-US" w:eastAsia="zh-CN"/>
              </w:rPr>
              <w:t>5</w:t>
            </w:r>
          </w:p>
        </w:tc>
        <w:tc>
          <w:tcPr>
            <w:tcW w:w="840" w:type="dxa"/>
            <w:vAlign w:val="center"/>
          </w:tcPr>
          <w:p w14:paraId="4D138E07">
            <w:pPr>
              <w:spacing w:line="240" w:lineRule="auto"/>
              <w:jc w:val="center"/>
              <w:rPr>
                <w:rFonts w:hint="default" w:ascii="仿宋" w:hAnsi="仿宋" w:eastAsia="仿宋" w:cs="Times New Roman"/>
                <w:b w:val="0"/>
                <w:bCs w:val="0"/>
                <w:color w:val="auto"/>
                <w:szCs w:val="21"/>
                <w:lang w:val="en-US" w:eastAsia="zh-CN"/>
              </w:rPr>
            </w:pPr>
            <w:r>
              <w:rPr>
                <w:rFonts w:hint="default" w:ascii="仿宋" w:hAnsi="仿宋" w:eastAsia="仿宋" w:cs="Times New Roman"/>
                <w:b w:val="0"/>
                <w:bCs w:val="0"/>
                <w:color w:val="auto"/>
                <w:szCs w:val="21"/>
                <w:lang w:val="en-US" w:eastAsia="zh-CN"/>
              </w:rPr>
              <w:t>南宁中心血站高校献血活动服务</w:t>
            </w:r>
          </w:p>
        </w:tc>
        <w:tc>
          <w:tcPr>
            <w:tcW w:w="915" w:type="dxa"/>
            <w:vAlign w:val="center"/>
          </w:tcPr>
          <w:p w14:paraId="371F276E">
            <w:pPr>
              <w:spacing w:line="240" w:lineRule="auto"/>
              <w:jc w:val="center"/>
              <w:rPr>
                <w:rFonts w:hint="default" w:ascii="仿宋" w:hAnsi="仿宋" w:eastAsia="仿宋" w:cs="Times New Roman"/>
                <w:b w:val="0"/>
                <w:bCs w:val="0"/>
                <w:color w:val="auto"/>
                <w:szCs w:val="21"/>
                <w:lang w:val="en-US" w:eastAsia="zh-CN"/>
              </w:rPr>
            </w:pPr>
            <w:r>
              <w:rPr>
                <w:rFonts w:hint="eastAsia" w:ascii="仿宋" w:hAnsi="仿宋" w:eastAsia="仿宋" w:cs="Times New Roman"/>
                <w:b w:val="0"/>
                <w:bCs w:val="0"/>
                <w:color w:val="auto"/>
                <w:szCs w:val="21"/>
                <w:lang w:val="en-US" w:eastAsia="zh-CN"/>
              </w:rPr>
              <w:t>32万元</w:t>
            </w:r>
          </w:p>
        </w:tc>
        <w:tc>
          <w:tcPr>
            <w:tcW w:w="6450" w:type="dxa"/>
            <w:vAlign w:val="center"/>
          </w:tcPr>
          <w:p w14:paraId="4648A198">
            <w:pPr>
              <w:numPr>
                <w:ilvl w:val="0"/>
                <w:numId w:val="0"/>
              </w:numPr>
              <w:spacing w:line="240" w:lineRule="auto"/>
              <w:ind w:left="0" w:leftChars="0" w:firstLine="0" w:firstLineChars="0"/>
              <w:jc w:val="left"/>
              <w:rPr>
                <w:rFonts w:hint="default" w:ascii="仿宋" w:hAnsi="仿宋" w:eastAsia="仿宋" w:cs="Times New Roman"/>
                <w:b w:val="0"/>
                <w:bCs w:val="0"/>
                <w:color w:val="auto"/>
                <w:szCs w:val="21"/>
                <w:lang w:val="en-US" w:eastAsia="zh-CN"/>
              </w:rPr>
            </w:pPr>
            <w:r>
              <w:rPr>
                <w:rFonts w:hint="default" w:ascii="仿宋" w:hAnsi="仿宋" w:eastAsia="仿宋" w:cs="Times New Roman"/>
                <w:b w:val="0"/>
                <w:bCs w:val="0"/>
                <w:color w:val="auto"/>
                <w:szCs w:val="21"/>
                <w:lang w:val="en-US" w:eastAsia="zh-CN"/>
              </w:rPr>
              <w:t>在南宁市各大高校开展集体献血活动30场。包含活动前期不同学校的不同的策划和方案的拟定、前期线上线下预热；活动过程场地布置氛围营造及所需物料、活动礼品；活动过程现场进行宣传和招募，呼吁师生参与献血活动等。旨在提升献血活动现场的热烈氛围、吸引广大师生关注、围观和参与献血，提升和扩大校园献血活动的知晓率和覆盖面。</w:t>
            </w:r>
          </w:p>
        </w:tc>
      </w:tr>
      <w:tr w14:paraId="41E9D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652" w:type="dxa"/>
            <w:vAlign w:val="center"/>
          </w:tcPr>
          <w:p w14:paraId="193C2EC6">
            <w:pPr>
              <w:spacing w:line="240" w:lineRule="auto"/>
              <w:jc w:val="center"/>
              <w:rPr>
                <w:rFonts w:hint="default" w:ascii="仿宋" w:hAnsi="仿宋" w:eastAsia="仿宋" w:cs="Times New Roman"/>
                <w:b w:val="0"/>
                <w:bCs w:val="0"/>
                <w:color w:val="auto"/>
                <w:kern w:val="2"/>
                <w:sz w:val="21"/>
                <w:szCs w:val="21"/>
                <w:lang w:val="en-US" w:eastAsia="zh-CN" w:bidi="ar-SA"/>
              </w:rPr>
            </w:pPr>
            <w:r>
              <w:rPr>
                <w:rFonts w:hint="eastAsia" w:ascii="仿宋" w:hAnsi="仿宋" w:eastAsia="仿宋" w:cs="Times New Roman"/>
                <w:b w:val="0"/>
                <w:bCs w:val="0"/>
                <w:color w:val="auto"/>
                <w:kern w:val="2"/>
                <w:sz w:val="21"/>
                <w:szCs w:val="21"/>
                <w:lang w:val="en-US" w:eastAsia="zh-CN" w:bidi="ar-SA"/>
              </w:rPr>
              <w:t>6</w:t>
            </w:r>
          </w:p>
        </w:tc>
        <w:tc>
          <w:tcPr>
            <w:tcW w:w="840" w:type="dxa"/>
            <w:vAlign w:val="center"/>
          </w:tcPr>
          <w:p w14:paraId="4A24D739">
            <w:pPr>
              <w:spacing w:line="240" w:lineRule="auto"/>
              <w:jc w:val="center"/>
              <w:rPr>
                <w:rFonts w:hint="default" w:ascii="仿宋" w:hAnsi="仿宋" w:eastAsia="仿宋" w:cs="Times New Roman"/>
                <w:b w:val="0"/>
                <w:bCs w:val="0"/>
                <w:color w:val="auto"/>
                <w:kern w:val="2"/>
                <w:sz w:val="21"/>
                <w:szCs w:val="21"/>
                <w:lang w:val="en-US" w:eastAsia="zh-CN" w:bidi="ar-SA"/>
              </w:rPr>
            </w:pPr>
            <w:r>
              <w:rPr>
                <w:rFonts w:hint="default" w:ascii="仿宋" w:hAnsi="仿宋" w:eastAsia="仿宋" w:cs="Times New Roman"/>
                <w:b w:val="0"/>
                <w:bCs w:val="0"/>
                <w:color w:val="auto"/>
                <w:kern w:val="2"/>
                <w:sz w:val="21"/>
                <w:szCs w:val="21"/>
                <w:lang w:val="en-US" w:eastAsia="zh-CN" w:bidi="ar-SA"/>
              </w:rPr>
              <w:t>南宁中心血站2026年-2027年成分献血者联谊活动服务</w:t>
            </w:r>
          </w:p>
        </w:tc>
        <w:tc>
          <w:tcPr>
            <w:tcW w:w="915" w:type="dxa"/>
            <w:vAlign w:val="center"/>
          </w:tcPr>
          <w:p w14:paraId="1367227D">
            <w:pPr>
              <w:spacing w:line="240" w:lineRule="auto"/>
              <w:jc w:val="center"/>
              <w:rPr>
                <w:rFonts w:hint="default" w:ascii="仿宋" w:hAnsi="仿宋" w:eastAsia="仿宋" w:cs="Times New Roman"/>
                <w:b w:val="0"/>
                <w:bCs w:val="0"/>
                <w:color w:val="auto"/>
                <w:kern w:val="2"/>
                <w:sz w:val="21"/>
                <w:szCs w:val="21"/>
                <w:lang w:val="en-US" w:eastAsia="zh-CN" w:bidi="ar-SA"/>
              </w:rPr>
            </w:pPr>
            <w:r>
              <w:rPr>
                <w:rFonts w:hint="eastAsia" w:ascii="仿宋" w:hAnsi="仿宋" w:eastAsia="仿宋" w:cs="Times New Roman"/>
                <w:b w:val="0"/>
                <w:bCs w:val="0"/>
                <w:color w:val="auto"/>
                <w:kern w:val="2"/>
                <w:sz w:val="21"/>
                <w:szCs w:val="21"/>
                <w:lang w:val="en-US" w:eastAsia="zh-CN" w:bidi="ar-SA"/>
              </w:rPr>
              <w:t>20</w:t>
            </w:r>
            <w:r>
              <w:rPr>
                <w:rFonts w:hint="eastAsia" w:ascii="仿宋" w:hAnsi="仿宋" w:eastAsia="仿宋" w:cs="Times New Roman"/>
                <w:b w:val="0"/>
                <w:bCs w:val="0"/>
                <w:color w:val="auto"/>
                <w:szCs w:val="21"/>
                <w:lang w:val="en-US" w:eastAsia="zh-CN"/>
              </w:rPr>
              <w:t>万元</w:t>
            </w:r>
          </w:p>
        </w:tc>
        <w:tc>
          <w:tcPr>
            <w:tcW w:w="6450" w:type="dxa"/>
            <w:vAlign w:val="center"/>
          </w:tcPr>
          <w:p w14:paraId="4F82ED79">
            <w:pPr>
              <w:numPr>
                <w:ilvl w:val="0"/>
                <w:numId w:val="0"/>
              </w:numPr>
              <w:spacing w:line="240" w:lineRule="auto"/>
              <w:ind w:left="0" w:leftChars="0" w:firstLine="0" w:firstLineChars="0"/>
              <w:jc w:val="left"/>
              <w:rPr>
                <w:rFonts w:hint="default" w:ascii="仿宋" w:hAnsi="仿宋" w:eastAsia="仿宋" w:cs="Times New Roman"/>
                <w:b w:val="0"/>
                <w:bCs w:val="0"/>
                <w:color w:val="auto"/>
                <w:kern w:val="2"/>
                <w:sz w:val="21"/>
                <w:szCs w:val="21"/>
                <w:lang w:val="en-US" w:eastAsia="zh-CN" w:bidi="ar-SA"/>
              </w:rPr>
            </w:pPr>
            <w:r>
              <w:rPr>
                <w:rFonts w:hint="default" w:ascii="仿宋" w:hAnsi="仿宋" w:eastAsia="仿宋" w:cs="Times New Roman"/>
                <w:b w:val="0"/>
                <w:bCs w:val="0"/>
                <w:color w:val="auto"/>
                <w:kern w:val="2"/>
                <w:sz w:val="21"/>
                <w:szCs w:val="21"/>
                <w:lang w:val="en-US" w:eastAsia="zh-CN" w:bidi="ar-SA"/>
              </w:rPr>
              <w:t>一、项目内容</w:t>
            </w:r>
          </w:p>
          <w:p w14:paraId="08938392">
            <w:pPr>
              <w:numPr>
                <w:ilvl w:val="0"/>
                <w:numId w:val="0"/>
              </w:numPr>
              <w:spacing w:line="240" w:lineRule="auto"/>
              <w:ind w:left="0" w:leftChars="0" w:firstLine="0" w:firstLineChars="0"/>
              <w:jc w:val="left"/>
              <w:rPr>
                <w:rFonts w:hint="default" w:ascii="仿宋" w:hAnsi="仿宋" w:eastAsia="仿宋" w:cs="Times New Roman"/>
                <w:b w:val="0"/>
                <w:bCs w:val="0"/>
                <w:color w:val="auto"/>
                <w:kern w:val="2"/>
                <w:sz w:val="21"/>
                <w:szCs w:val="21"/>
                <w:lang w:val="en-US" w:eastAsia="zh-CN" w:bidi="ar-SA"/>
              </w:rPr>
            </w:pPr>
            <w:r>
              <w:rPr>
                <w:rFonts w:hint="default" w:ascii="仿宋" w:hAnsi="仿宋" w:eastAsia="仿宋" w:cs="Times New Roman"/>
                <w:b w:val="0"/>
                <w:bCs w:val="0"/>
                <w:color w:val="auto"/>
                <w:kern w:val="2"/>
                <w:sz w:val="21"/>
                <w:szCs w:val="21"/>
                <w:lang w:val="en-US" w:eastAsia="zh-CN" w:bidi="ar-SA"/>
              </w:rPr>
              <w:t>1.结合捐血屋、南宁各市、县、区周边等场所，根据采购人需求选定的活动时间和活动地点，全年开展不少于6场献血者主题献血活动，参与人数不少于1000人次，根据热点主题、节气或当下热点时事、捐血屋人群、特点等策划活动，根据每场活动大小及规模现场执行人员不少于3-6人。</w:t>
            </w:r>
          </w:p>
          <w:p w14:paraId="4F8F7584">
            <w:pPr>
              <w:numPr>
                <w:ilvl w:val="0"/>
                <w:numId w:val="0"/>
              </w:numPr>
              <w:spacing w:line="240" w:lineRule="auto"/>
              <w:ind w:left="0" w:leftChars="0" w:firstLine="0" w:firstLineChars="0"/>
              <w:jc w:val="left"/>
              <w:rPr>
                <w:rFonts w:hint="default" w:ascii="仿宋" w:hAnsi="仿宋" w:eastAsia="仿宋" w:cs="Times New Roman"/>
                <w:b w:val="0"/>
                <w:bCs w:val="0"/>
                <w:color w:val="auto"/>
                <w:kern w:val="2"/>
                <w:sz w:val="21"/>
                <w:szCs w:val="21"/>
                <w:lang w:val="en-US" w:eastAsia="zh-CN" w:bidi="ar-SA"/>
              </w:rPr>
            </w:pPr>
            <w:r>
              <w:rPr>
                <w:rFonts w:hint="default" w:ascii="仿宋" w:hAnsi="仿宋" w:eastAsia="仿宋" w:cs="Times New Roman"/>
                <w:b w:val="0"/>
                <w:bCs w:val="0"/>
                <w:color w:val="auto"/>
                <w:kern w:val="2"/>
                <w:sz w:val="21"/>
                <w:szCs w:val="21"/>
                <w:lang w:val="en-US" w:eastAsia="zh-CN" w:bidi="ar-SA"/>
              </w:rPr>
              <w:t xml:space="preserve">2.大型献血者联谊活动从人文关怀和献血者的兴趣爱好为出发点，拟根据计划开展2场献血者答谢活动，为献血者提供交流平台，感谢献血者的无私奉献，参与人次计划不少于300人。  </w:t>
            </w:r>
          </w:p>
          <w:p w14:paraId="117A8665">
            <w:pPr>
              <w:numPr>
                <w:ilvl w:val="0"/>
                <w:numId w:val="0"/>
              </w:numPr>
              <w:spacing w:line="240" w:lineRule="auto"/>
              <w:ind w:left="0" w:leftChars="0" w:firstLine="0" w:firstLineChars="0"/>
              <w:jc w:val="left"/>
              <w:rPr>
                <w:rFonts w:hint="default" w:ascii="仿宋" w:hAnsi="仿宋" w:eastAsia="仿宋" w:cs="Times New Roman"/>
                <w:b w:val="0"/>
                <w:bCs w:val="0"/>
                <w:color w:val="auto"/>
                <w:kern w:val="2"/>
                <w:sz w:val="21"/>
                <w:szCs w:val="21"/>
                <w:lang w:val="en-US" w:eastAsia="zh-CN" w:bidi="ar-SA"/>
              </w:rPr>
            </w:pPr>
            <w:r>
              <w:rPr>
                <w:rFonts w:hint="default" w:ascii="仿宋" w:hAnsi="仿宋" w:eastAsia="仿宋" w:cs="Times New Roman"/>
                <w:b w:val="0"/>
                <w:bCs w:val="0"/>
                <w:color w:val="auto"/>
                <w:kern w:val="2"/>
                <w:sz w:val="21"/>
                <w:szCs w:val="21"/>
                <w:lang w:val="en-US" w:eastAsia="zh-CN" w:bidi="ar-SA"/>
              </w:rPr>
              <w:t>二、服务要求</w:t>
            </w:r>
          </w:p>
          <w:p w14:paraId="6A7D72FF">
            <w:pPr>
              <w:numPr>
                <w:ilvl w:val="0"/>
                <w:numId w:val="0"/>
              </w:numPr>
              <w:spacing w:line="240" w:lineRule="auto"/>
              <w:ind w:left="0" w:leftChars="0" w:firstLine="0" w:firstLineChars="0"/>
              <w:jc w:val="left"/>
              <w:rPr>
                <w:rFonts w:hint="default" w:ascii="仿宋" w:hAnsi="仿宋" w:eastAsia="仿宋" w:cs="Times New Roman"/>
                <w:b w:val="0"/>
                <w:bCs w:val="0"/>
                <w:color w:val="auto"/>
                <w:kern w:val="2"/>
                <w:sz w:val="21"/>
                <w:szCs w:val="21"/>
                <w:lang w:val="en-US" w:eastAsia="zh-CN" w:bidi="ar-SA"/>
              </w:rPr>
            </w:pPr>
            <w:r>
              <w:rPr>
                <w:rFonts w:hint="default" w:ascii="仿宋" w:hAnsi="仿宋" w:eastAsia="仿宋" w:cs="Times New Roman"/>
                <w:b w:val="0"/>
                <w:bCs w:val="0"/>
                <w:color w:val="auto"/>
                <w:kern w:val="2"/>
                <w:sz w:val="21"/>
                <w:szCs w:val="21"/>
                <w:lang w:val="en-US" w:eastAsia="zh-CN" w:bidi="ar-SA"/>
              </w:rPr>
              <w:t>1.服务采取包干制，含活动策划、物料设计及制作、物料运输、提供活动道具、现场宣传物资、现场氛围营造、现场执行、现场拍照、协助宣传、活动物资物品等，结合节假日、主题活动、捐血屋特点等并根据活动计划，搭建相关氛围营造，开展活动。</w:t>
            </w:r>
          </w:p>
          <w:p w14:paraId="04664A58">
            <w:pPr>
              <w:numPr>
                <w:ilvl w:val="0"/>
                <w:numId w:val="0"/>
              </w:numPr>
              <w:spacing w:line="240" w:lineRule="auto"/>
              <w:ind w:left="0" w:leftChars="0" w:firstLine="0" w:firstLineChars="0"/>
              <w:jc w:val="left"/>
              <w:rPr>
                <w:rFonts w:hint="default" w:ascii="仿宋" w:hAnsi="仿宋" w:eastAsia="仿宋" w:cs="Times New Roman"/>
                <w:b w:val="0"/>
                <w:bCs w:val="0"/>
                <w:color w:val="auto"/>
                <w:kern w:val="2"/>
                <w:sz w:val="21"/>
                <w:szCs w:val="21"/>
                <w:lang w:val="en-US" w:eastAsia="zh-CN" w:bidi="ar-SA"/>
              </w:rPr>
            </w:pPr>
            <w:r>
              <w:rPr>
                <w:rFonts w:hint="default" w:ascii="仿宋" w:hAnsi="仿宋" w:eastAsia="仿宋" w:cs="Times New Roman"/>
                <w:b w:val="0"/>
                <w:bCs w:val="0"/>
                <w:color w:val="auto"/>
                <w:kern w:val="2"/>
                <w:sz w:val="21"/>
                <w:szCs w:val="21"/>
                <w:lang w:val="en-US" w:eastAsia="zh-CN" w:bidi="ar-SA"/>
              </w:rPr>
              <w:t>2.策划案需要做好全年活动计划，每场活动至少提前四周提供活动策划及执行方案并根据每场活动性质及规模做好预算费用，每场费用根据不同主题活动预算费用而定，需要有具体的活动预算且不高于市场价，每场活动规格不低于往年标准，以南宁中心血站需求为准。</w:t>
            </w:r>
          </w:p>
          <w:p w14:paraId="4191D65B">
            <w:pPr>
              <w:numPr>
                <w:ilvl w:val="0"/>
                <w:numId w:val="0"/>
              </w:numPr>
              <w:spacing w:line="240" w:lineRule="auto"/>
              <w:ind w:left="0" w:leftChars="0" w:firstLine="0" w:firstLineChars="0"/>
              <w:jc w:val="left"/>
              <w:rPr>
                <w:rFonts w:hint="default" w:ascii="仿宋" w:hAnsi="仿宋" w:eastAsia="仿宋" w:cs="Times New Roman"/>
                <w:b w:val="0"/>
                <w:bCs w:val="0"/>
                <w:color w:val="auto"/>
                <w:kern w:val="2"/>
                <w:sz w:val="21"/>
                <w:szCs w:val="21"/>
                <w:lang w:val="en-US" w:eastAsia="zh-CN" w:bidi="ar-SA"/>
              </w:rPr>
            </w:pPr>
            <w:r>
              <w:rPr>
                <w:rFonts w:hint="default" w:ascii="仿宋" w:hAnsi="仿宋" w:eastAsia="仿宋" w:cs="Times New Roman"/>
                <w:b w:val="0"/>
                <w:bCs w:val="0"/>
                <w:color w:val="auto"/>
                <w:kern w:val="2"/>
                <w:sz w:val="21"/>
                <w:szCs w:val="21"/>
                <w:lang w:val="en-US" w:eastAsia="zh-CN" w:bidi="ar-SA"/>
              </w:rPr>
              <w:t>3.每场活动以实际产生费用结算，且不高于该场活动预算费用，每场活动根据活动方案和执行效果整理完整的活动台账交接至采购人存档，如活动过程有经费调增，需提前与采购人沟通协商，经双方确认后方可调整，并由供应商出具纸质活动费用变更说明交由采购方确认存档。</w:t>
            </w:r>
          </w:p>
        </w:tc>
      </w:tr>
    </w:tbl>
    <w:p w14:paraId="205903D4">
      <w:pPr>
        <w:rPr>
          <w:rFonts w:ascii="仿宋" w:hAnsi="仿宋" w:eastAsia="仿宋" w:cs="Times New Roman"/>
          <w:b/>
          <w:bCs/>
          <w:sz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lmMjI4NmQwNmY3MjAyNTI3NGNlNmZjMGVlYzdkNmQifQ=="/>
  </w:docVars>
  <w:rsids>
    <w:rsidRoot w:val="046279E5"/>
    <w:rsid w:val="02DA1E60"/>
    <w:rsid w:val="037F2305"/>
    <w:rsid w:val="046279E5"/>
    <w:rsid w:val="051E0804"/>
    <w:rsid w:val="05F64C22"/>
    <w:rsid w:val="06905732"/>
    <w:rsid w:val="06AE0819"/>
    <w:rsid w:val="06E908E0"/>
    <w:rsid w:val="080D690E"/>
    <w:rsid w:val="09DC0C8E"/>
    <w:rsid w:val="0BB4198C"/>
    <w:rsid w:val="0D4875E3"/>
    <w:rsid w:val="0D514412"/>
    <w:rsid w:val="0E76520D"/>
    <w:rsid w:val="0F8302F8"/>
    <w:rsid w:val="10066A65"/>
    <w:rsid w:val="10972DC4"/>
    <w:rsid w:val="11AE657A"/>
    <w:rsid w:val="13C67615"/>
    <w:rsid w:val="13D33102"/>
    <w:rsid w:val="17E1374A"/>
    <w:rsid w:val="18700D28"/>
    <w:rsid w:val="19CF45FB"/>
    <w:rsid w:val="1C167AAF"/>
    <w:rsid w:val="1C6E031E"/>
    <w:rsid w:val="1D94371B"/>
    <w:rsid w:val="1E0D6828"/>
    <w:rsid w:val="1F567F03"/>
    <w:rsid w:val="1FF8523C"/>
    <w:rsid w:val="20F56A06"/>
    <w:rsid w:val="22FE6F3F"/>
    <w:rsid w:val="243F378E"/>
    <w:rsid w:val="24F66C50"/>
    <w:rsid w:val="27261F8C"/>
    <w:rsid w:val="28BF27E1"/>
    <w:rsid w:val="2B0136F2"/>
    <w:rsid w:val="2B715282"/>
    <w:rsid w:val="2C7A2954"/>
    <w:rsid w:val="2EA94D33"/>
    <w:rsid w:val="2F1E10E7"/>
    <w:rsid w:val="2F302068"/>
    <w:rsid w:val="30187880"/>
    <w:rsid w:val="31D60066"/>
    <w:rsid w:val="345B262C"/>
    <w:rsid w:val="346159EE"/>
    <w:rsid w:val="35EA2F08"/>
    <w:rsid w:val="3ACD2648"/>
    <w:rsid w:val="3B1D5017"/>
    <w:rsid w:val="3B3F4624"/>
    <w:rsid w:val="3CD016DD"/>
    <w:rsid w:val="3D580050"/>
    <w:rsid w:val="3D6C0E52"/>
    <w:rsid w:val="3DFD29A6"/>
    <w:rsid w:val="3F2B709E"/>
    <w:rsid w:val="3F6F51DD"/>
    <w:rsid w:val="41FA1BF8"/>
    <w:rsid w:val="42132BF1"/>
    <w:rsid w:val="427434C5"/>
    <w:rsid w:val="4576103C"/>
    <w:rsid w:val="4752344F"/>
    <w:rsid w:val="47B46C04"/>
    <w:rsid w:val="49A376C2"/>
    <w:rsid w:val="4A1B465B"/>
    <w:rsid w:val="4B0D60AB"/>
    <w:rsid w:val="4B547B2F"/>
    <w:rsid w:val="4C270ADC"/>
    <w:rsid w:val="4D663FDA"/>
    <w:rsid w:val="4DF27F8A"/>
    <w:rsid w:val="4E775E3E"/>
    <w:rsid w:val="4E9407BC"/>
    <w:rsid w:val="4EAC57F9"/>
    <w:rsid w:val="4F741600"/>
    <w:rsid w:val="4F8C340B"/>
    <w:rsid w:val="50092118"/>
    <w:rsid w:val="50CA4300"/>
    <w:rsid w:val="51CE2237"/>
    <w:rsid w:val="52043EAB"/>
    <w:rsid w:val="52EF57A7"/>
    <w:rsid w:val="537F362C"/>
    <w:rsid w:val="53EC518E"/>
    <w:rsid w:val="54382F0B"/>
    <w:rsid w:val="54CB6F02"/>
    <w:rsid w:val="54EC0FD8"/>
    <w:rsid w:val="56CC7180"/>
    <w:rsid w:val="584449DA"/>
    <w:rsid w:val="5853143B"/>
    <w:rsid w:val="59E06FAB"/>
    <w:rsid w:val="5ACC1E8A"/>
    <w:rsid w:val="5BA67D81"/>
    <w:rsid w:val="5C54080B"/>
    <w:rsid w:val="5C9B4EDB"/>
    <w:rsid w:val="5CAB4516"/>
    <w:rsid w:val="5D5925A3"/>
    <w:rsid w:val="5DCF35BF"/>
    <w:rsid w:val="5DF00BE1"/>
    <w:rsid w:val="61A32485"/>
    <w:rsid w:val="620D0B5A"/>
    <w:rsid w:val="630654EE"/>
    <w:rsid w:val="66212265"/>
    <w:rsid w:val="675E105C"/>
    <w:rsid w:val="67817217"/>
    <w:rsid w:val="67DE260D"/>
    <w:rsid w:val="67F6670F"/>
    <w:rsid w:val="69017E0E"/>
    <w:rsid w:val="6AF40B09"/>
    <w:rsid w:val="6B250CC2"/>
    <w:rsid w:val="6D8A67CF"/>
    <w:rsid w:val="718908B8"/>
    <w:rsid w:val="72B8066E"/>
    <w:rsid w:val="72F804C2"/>
    <w:rsid w:val="74024778"/>
    <w:rsid w:val="75600FE0"/>
    <w:rsid w:val="75B677BB"/>
    <w:rsid w:val="76FC091F"/>
    <w:rsid w:val="770B6EBD"/>
    <w:rsid w:val="779F004E"/>
    <w:rsid w:val="79A11E5C"/>
    <w:rsid w:val="7A861C65"/>
    <w:rsid w:val="7BAE6AB2"/>
    <w:rsid w:val="7C6F1D34"/>
    <w:rsid w:val="7D1B0A50"/>
    <w:rsid w:val="7FE64A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unhideWhenUsed/>
    <w:qFormat/>
    <w:uiPriority w:val="0"/>
    <w:pPr>
      <w:spacing w:after="120"/>
    </w:pPr>
    <w:rPr>
      <w:rFonts w:ascii="Times New Roman" w:hAnsi="Times New Roman"/>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
    <w:name w:val="font31"/>
    <w:basedOn w:val="7"/>
    <w:qFormat/>
    <w:uiPriority w:val="0"/>
    <w:rPr>
      <w:rFonts w:hint="eastAsia" w:ascii="仿宋" w:hAnsi="仿宋" w:eastAsia="仿宋" w:cs="仿宋"/>
      <w:color w:val="000000"/>
      <w:sz w:val="20"/>
      <w:szCs w:val="20"/>
      <w:u w:val="none"/>
    </w:rPr>
  </w:style>
  <w:style w:type="character" w:customStyle="1" w:styleId="9">
    <w:name w:val="font112"/>
    <w:basedOn w:val="7"/>
    <w:qFormat/>
    <w:uiPriority w:val="0"/>
    <w:rPr>
      <w:rFonts w:hint="eastAsia" w:ascii="仿宋" w:hAnsi="仿宋" w:eastAsia="仿宋" w:cs="仿宋"/>
      <w:color w:val="FF0000"/>
      <w:sz w:val="20"/>
      <w:szCs w:val="20"/>
      <w:u w:val="none"/>
    </w:rPr>
  </w:style>
  <w:style w:type="character" w:customStyle="1" w:styleId="10">
    <w:name w:val="font121"/>
    <w:basedOn w:val="7"/>
    <w:qFormat/>
    <w:uiPriority w:val="0"/>
    <w:rPr>
      <w:rFonts w:hint="eastAsia" w:ascii="仿宋" w:hAnsi="仿宋" w:eastAsia="仿宋" w:cs="仿宋"/>
      <w:color w:val="C00000"/>
      <w:sz w:val="20"/>
      <w:szCs w:val="20"/>
      <w:u w:val="none"/>
    </w:rPr>
  </w:style>
  <w:style w:type="character" w:customStyle="1" w:styleId="11">
    <w:name w:val="font131"/>
    <w:basedOn w:val="7"/>
    <w:qFormat/>
    <w:uiPriority w:val="0"/>
    <w:rPr>
      <w:rFonts w:hint="eastAsia" w:ascii="仿宋" w:hAnsi="仿宋" w:eastAsia="仿宋" w:cs="仿宋"/>
      <w:b/>
      <w:bCs/>
      <w:color w:val="0070C0"/>
      <w:sz w:val="20"/>
      <w:szCs w:val="20"/>
      <w:u w:val="none"/>
    </w:rPr>
  </w:style>
  <w:style w:type="character" w:customStyle="1" w:styleId="12">
    <w:name w:val="font61"/>
    <w:basedOn w:val="7"/>
    <w:qFormat/>
    <w:uiPriority w:val="0"/>
    <w:rPr>
      <w:rFonts w:hint="eastAsia" w:ascii="仿宋" w:hAnsi="仿宋" w:eastAsia="仿宋" w:cs="仿宋"/>
      <w:color w:val="000000"/>
      <w:sz w:val="22"/>
      <w:szCs w:val="22"/>
      <w:u w:val="none"/>
    </w:rPr>
  </w:style>
  <w:style w:type="character" w:customStyle="1" w:styleId="13">
    <w:name w:val="font141"/>
    <w:basedOn w:val="7"/>
    <w:qFormat/>
    <w:uiPriority w:val="0"/>
    <w:rPr>
      <w:rFonts w:hint="eastAsia" w:ascii="仿宋" w:hAnsi="仿宋" w:eastAsia="仿宋" w:cs="仿宋"/>
      <w:color w:val="FF0000"/>
      <w:sz w:val="22"/>
      <w:szCs w:val="22"/>
      <w:u w:val="none"/>
    </w:rPr>
  </w:style>
  <w:style w:type="character" w:customStyle="1" w:styleId="14">
    <w:name w:val="font101"/>
    <w:basedOn w:val="7"/>
    <w:qFormat/>
    <w:uiPriority w:val="0"/>
    <w:rPr>
      <w:rFonts w:hint="eastAsia" w:ascii="宋体" w:hAnsi="宋体" w:eastAsia="宋体" w:cs="宋体"/>
      <w:color w:val="000000"/>
      <w:sz w:val="28"/>
      <w:szCs w:val="28"/>
      <w:u w:val="none"/>
    </w:rPr>
  </w:style>
  <w:style w:type="character" w:customStyle="1" w:styleId="15">
    <w:name w:val="font151"/>
    <w:basedOn w:val="7"/>
    <w:qFormat/>
    <w:uiPriority w:val="0"/>
    <w:rPr>
      <w:rFonts w:hint="default" w:ascii="Calibri" w:hAnsi="Calibri" w:cs="Calibri"/>
      <w:color w:val="000000"/>
      <w:sz w:val="28"/>
      <w:szCs w:val="28"/>
      <w:u w:val="none"/>
    </w:rPr>
  </w:style>
  <w:style w:type="character" w:customStyle="1" w:styleId="16">
    <w:name w:val="font91"/>
    <w:basedOn w:val="7"/>
    <w:qFormat/>
    <w:uiPriority w:val="0"/>
    <w:rPr>
      <w:rFonts w:hint="eastAsia" w:ascii="仿宋" w:hAnsi="仿宋" w:eastAsia="仿宋" w:cs="仿宋"/>
      <w:color w:val="000000"/>
      <w:sz w:val="20"/>
      <w:szCs w:val="20"/>
      <w:u w:val="none"/>
    </w:rPr>
  </w:style>
  <w:style w:type="character" w:customStyle="1" w:styleId="17">
    <w:name w:val="font81"/>
    <w:basedOn w:val="7"/>
    <w:qFormat/>
    <w:uiPriority w:val="0"/>
    <w:rPr>
      <w:rFonts w:hint="eastAsia" w:ascii="仿宋" w:hAnsi="仿宋" w:eastAsia="仿宋" w:cs="仿宋"/>
      <w:color w:val="000000"/>
      <w:sz w:val="20"/>
      <w:szCs w:val="20"/>
      <w:u w:val="none"/>
    </w:rPr>
  </w:style>
  <w:style w:type="character" w:customStyle="1" w:styleId="18">
    <w:name w:val="font21"/>
    <w:basedOn w:val="7"/>
    <w:qFormat/>
    <w:uiPriority w:val="0"/>
    <w:rPr>
      <w:rFonts w:hint="eastAsia" w:ascii="仿宋" w:hAnsi="仿宋" w:eastAsia="仿宋" w:cs="仿宋"/>
      <w:color w:val="000000"/>
      <w:sz w:val="20"/>
      <w:szCs w:val="20"/>
      <w:u w:val="none"/>
    </w:rPr>
  </w:style>
  <w:style w:type="character" w:customStyle="1" w:styleId="19">
    <w:name w:val="font71"/>
    <w:basedOn w:val="7"/>
    <w:qFormat/>
    <w:uiPriority w:val="0"/>
    <w:rPr>
      <w:rFonts w:hint="eastAsia" w:ascii="仿宋" w:hAnsi="仿宋" w:eastAsia="仿宋" w:cs="仿宋"/>
      <w:color w:val="FF0000"/>
      <w:sz w:val="20"/>
      <w:szCs w:val="20"/>
      <w:u w:val="none"/>
    </w:rPr>
  </w:style>
  <w:style w:type="character" w:customStyle="1" w:styleId="20">
    <w:name w:val="font51"/>
    <w:basedOn w:val="7"/>
    <w:qFormat/>
    <w:uiPriority w:val="0"/>
    <w:rPr>
      <w:rFonts w:hint="eastAsia" w:ascii="仿宋" w:hAnsi="仿宋" w:eastAsia="仿宋" w:cs="仿宋"/>
      <w:color w:val="000000"/>
      <w:sz w:val="20"/>
      <w:szCs w:val="20"/>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2996</Words>
  <Characters>3086</Characters>
  <Lines>0</Lines>
  <Paragraphs>0</Paragraphs>
  <TotalTime>6</TotalTime>
  <ScaleCrop>false</ScaleCrop>
  <LinksUpToDate>false</LinksUpToDate>
  <CharactersWithSpaces>3104</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2023-01-06T03:45:00Z</dcterms:created>
  <dc:creator>EnHee</dc:creator>
  <cp:lastModifiedBy>EnHee</cp:lastModifiedBy>
  <dcterms:modified xsi:type="dcterms:W3CDTF">2026-02-27T02:24:26Z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9B0727A19A064B78B22B5E0B74B2994B</vt:lpwstr>
  </property>
  <property fmtid="{D5CDD505-2E9C-101B-9397-08002B2CF9AE}" pid="4" name="KSOTemplateDocerSaveRecord">
    <vt:lpwstr>eyJoZGlkIjoiYzlmMjI4NmQwNmY3MjAyNTI3NGNlNmZjMGVlYzdkNmQiLCJ1c2VySWQiOiIzNzYxMjAxMjAifQ==</vt:lpwstr>
  </property>
</Properties>
</file>