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0E79C6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项目名称：南宁中心血站围墙及生态停车场路面修缮工程设计服务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03</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68647C1F">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南宁中心血站围墙及生态停车场路面修缮工程设计服务采购公告</w:t>
      </w:r>
    </w:p>
    <w:p w14:paraId="1C2A765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南宁中心血站按照采购计划，对南宁中心血站围墙及生态停车场路面修缮工程设计服务进行采购，现就该项目邀请具有资质的单位进行响应，采购信息如下：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项目名称：南宁中心血站围墙及生态停车场路面修缮工程设计服务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叁万零肆佰元整（￥30400.00）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叁万零肆佰元整（￥30400.00）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2462FD7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仿宋_GB2312" w:eastAsia="仿宋_GB2312" w:cs="仿宋_GB2312"/>
          <w:b/>
          <w:bCs/>
          <w:color w:val="auto"/>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六、</w:t>
      </w:r>
      <w:r>
        <w:rPr>
          <w:rFonts w:hint="eastAsia" w:ascii="仿宋_GB2312" w:hAnsi="仿宋_GB2312" w:eastAsia="仿宋_GB2312" w:cs="仿宋_GB2312"/>
          <w:b/>
          <w:bCs/>
          <w:color w:val="auto"/>
          <w:kern w:val="0"/>
          <w:sz w:val="32"/>
          <w:szCs w:val="32"/>
          <w:highlight w:val="none"/>
          <w:lang w:val="en-US" w:eastAsia="zh-CN"/>
        </w:rPr>
        <w:t>现场查勘时间及地点：</w:t>
      </w:r>
    </w:p>
    <w:p w14:paraId="7A8F9F8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（一）现场踏勘时间：2026年3月23日10:00时；</w:t>
      </w:r>
    </w:p>
    <w:p w14:paraId="6E4D5D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（二）踏勘地址：南宁中心血站（南宁市科园大道18号）；</w:t>
      </w:r>
    </w:p>
    <w:p w14:paraId="69E861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（三）我站对是否现场踏勘不做强制要求，响应供应商可根据自身情况选择是否现场踏勘；</w:t>
      </w:r>
    </w:p>
    <w:p w14:paraId="3EDAC5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（四）供应商代表持单位授权书（格式自拟）、个人有效身份证原件前往；</w:t>
      </w:r>
    </w:p>
    <w:p w14:paraId="5DEAC2A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（五）为保证踏勘顺利，响应供应商须提前报名，联系人：黄老师，联系电话0771-3213527。</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八、</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w:t>
      </w:r>
      <w:r>
        <w:rPr>
          <w:rFonts w:hint="eastAsia" w:ascii="仿宋_GB2312" w:hAnsi="Courier New" w:eastAsia="仿宋_GB2312" w:cs="Courier New"/>
          <w:color w:val="000000"/>
          <w:kern w:val="0"/>
          <w:sz w:val="32"/>
          <w:szCs w:val="32"/>
          <w:highlight w:val="none"/>
          <w:lang w:val="zh-TW" w:eastAsia="zh-CN" w:bidi="ar-SA"/>
        </w:rPr>
        <w:t>202</w:t>
      </w:r>
      <w:r>
        <w:rPr>
          <w:rFonts w:hint="eastAsia" w:ascii="仿宋_GB2312" w:hAnsi="Courier New" w:eastAsia="仿宋_GB2312" w:cs="Courier New"/>
          <w:color w:val="000000"/>
          <w:kern w:val="0"/>
          <w:sz w:val="32"/>
          <w:szCs w:val="32"/>
          <w:highlight w:val="none"/>
          <w:lang w:val="en-US" w:eastAsia="zh-CN" w:bidi="ar-SA"/>
        </w:rPr>
        <w:t>6</w:t>
      </w:r>
      <w:r>
        <w:rPr>
          <w:rFonts w:hint="eastAsia" w:ascii="仿宋_GB2312" w:hAnsi="Courier New" w:eastAsia="仿宋_GB2312" w:cs="Courier New"/>
          <w:color w:val="000000"/>
          <w:kern w:val="0"/>
          <w:sz w:val="32"/>
          <w:szCs w:val="32"/>
          <w:highlight w:val="none"/>
          <w:lang w:val="zh-TW" w:eastAsia="zh-CN" w:bidi="ar-SA"/>
        </w:rPr>
        <w:t>年</w:t>
      </w:r>
      <w:r>
        <w:rPr>
          <w:rFonts w:hint="eastAsia" w:ascii="仿宋_GB2312" w:hAnsi="Courier New" w:eastAsia="仿宋_GB2312" w:cs="Courier New"/>
          <w:color w:val="000000"/>
          <w:kern w:val="0"/>
          <w:sz w:val="32"/>
          <w:szCs w:val="32"/>
          <w:highlight w:val="none"/>
          <w:lang w:val="en-US" w:eastAsia="zh-CN" w:bidi="ar-SA"/>
        </w:rPr>
        <w:t>4</w:t>
      </w:r>
      <w:r>
        <w:rPr>
          <w:rFonts w:hint="eastAsia" w:ascii="仿宋_GB2312" w:hAnsi="Courier New" w:eastAsia="仿宋_GB2312" w:cs="Courier New"/>
          <w:color w:val="000000"/>
          <w:kern w:val="0"/>
          <w:sz w:val="32"/>
          <w:szCs w:val="32"/>
          <w:highlight w:val="none"/>
          <w:lang w:val="zh-TW" w:eastAsia="zh-CN" w:bidi="ar-SA"/>
        </w:rPr>
        <w:t>月</w:t>
      </w:r>
      <w:r>
        <w:rPr>
          <w:rFonts w:hint="eastAsia" w:ascii="仿宋_GB2312" w:hAnsi="Courier New" w:eastAsia="仿宋_GB2312" w:cs="Courier New"/>
          <w:color w:val="000000"/>
          <w:kern w:val="0"/>
          <w:sz w:val="32"/>
          <w:szCs w:val="32"/>
          <w:highlight w:val="none"/>
          <w:lang w:val="en-US" w:eastAsia="zh-CN" w:bidi="ar-SA"/>
        </w:rPr>
        <w:t>2</w:t>
      </w:r>
      <w:r>
        <w:rPr>
          <w:rFonts w:hint="eastAsia" w:ascii="仿宋_GB2312" w:hAnsi="Courier New" w:eastAsia="仿宋_GB2312" w:cs="Courier New"/>
          <w:color w:val="auto"/>
          <w:kern w:val="0"/>
          <w:sz w:val="32"/>
          <w:szCs w:val="32"/>
          <w:highlight w:val="none"/>
          <w:lang w:val="zh-TW" w:eastAsia="zh-CN" w:bidi="ar-SA"/>
        </w:rPr>
        <w:t>日17</w:t>
      </w:r>
      <w:r>
        <w:rPr>
          <w:rFonts w:hint="eastAsia" w:ascii="仿宋_GB2312" w:hAnsi="Courier New" w:eastAsia="仿宋_GB2312" w:cs="Courier New"/>
          <w:color w:val="auto"/>
          <w:kern w:val="0"/>
          <w:sz w:val="32"/>
          <w:szCs w:val="32"/>
          <w:lang w:val="zh-TW" w:eastAsia="zh-CN" w:bidi="ar-SA"/>
        </w:rPr>
        <w:t>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highlight w:val="none"/>
          <w:lang w:val="en-US" w:eastAsia="zh-CN" w:bidi="ar-SA"/>
        </w:rPr>
        <w:t>17</w:t>
      </w:r>
      <w:bookmarkStart w:id="21" w:name="_GoBack"/>
      <w:bookmarkEnd w:id="21"/>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CF2F88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587"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南宁中心血站围墙及生态停车场路面修缮工程设计服务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1D7BB0DD">
            <w:pPr>
              <w:keepNext w:val="0"/>
              <w:keepLines w:val="0"/>
              <w:pageBreakBefore w:val="0"/>
              <w:widowControl/>
              <w:numPr>
                <w:ilvl w:val="-1"/>
                <w:numId w:val="0"/>
              </w:numPr>
              <w:kinsoku/>
              <w:wordWrap/>
              <w:overflowPunct/>
              <w:topLinePunct w:val="0"/>
              <w:autoSpaceDE/>
              <w:autoSpaceDN/>
              <w:bidi w:val="0"/>
              <w:adjustRightInd/>
              <w:snapToGrid/>
              <w:ind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一、基本情况：</w:t>
            </w:r>
          </w:p>
          <w:p w14:paraId="29B6DD31">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为提升南宁中心血站整体形象，优化停车环境，拟对本站围墙及生态停车场路面进行修缮。项目总投资为79万元，设计费招标控制价为3.04万元，设计范围包括单车棚工程设计、围墙工程设计、沥青道路工程设计。设计周期为合同签订后30天。</w:t>
            </w:r>
          </w:p>
          <w:p w14:paraId="25A30CFD">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二、服务内容及要求：</w:t>
            </w:r>
          </w:p>
          <w:p w14:paraId="75FD97ED">
            <w:pPr>
              <w:keepNext w:val="0"/>
              <w:keepLines w:val="0"/>
              <w:pageBreakBefore w:val="0"/>
              <w:widowControl/>
              <w:numPr>
                <w:ilvl w:val="-1"/>
                <w:numId w:val="0"/>
              </w:numPr>
              <w:kinsoku/>
              <w:wordWrap/>
              <w:overflowPunct/>
              <w:topLinePunct w:val="0"/>
              <w:autoSpaceDE/>
              <w:autoSpaceDN/>
              <w:bidi w:val="0"/>
              <w:adjustRightInd/>
              <w:snapToGrid/>
              <w:ind w:left="0" w:leftChars="0" w:firstLine="422" w:firstLineChars="20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1、</w:t>
            </w:r>
            <w:r>
              <w:rPr>
                <w:rFonts w:hint="eastAsia" w:asciiTheme="minorEastAsia" w:hAnsiTheme="minorEastAsia" w:eastAsiaTheme="minorEastAsia" w:cstheme="minorEastAsia"/>
                <w:b/>
                <w:bCs/>
                <w:sz w:val="21"/>
                <w:szCs w:val="21"/>
                <w:lang w:val="en-US" w:eastAsia="zh-CN"/>
              </w:rPr>
              <w:t>单车棚工程</w:t>
            </w:r>
          </w:p>
          <w:p w14:paraId="2086A12B">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(1)结构要安全稳固，材料须选择耐腐蚀且具有防火性能的材料；</w:t>
            </w:r>
          </w:p>
          <w:p w14:paraId="42EC3788">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(2)根据采购人车辆数量动态设计，预留扩展空间以及满足未来需求；</w:t>
            </w:r>
          </w:p>
          <w:p w14:paraId="26D58599">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(3)须具有安全监控、智能充电、防雨防晒防积水的功能。</w:t>
            </w:r>
          </w:p>
          <w:p w14:paraId="765B3015">
            <w:pPr>
              <w:keepNext w:val="0"/>
              <w:keepLines w:val="0"/>
              <w:pageBreakBefore w:val="0"/>
              <w:widowControl/>
              <w:numPr>
                <w:ilvl w:val="-1"/>
                <w:numId w:val="0"/>
              </w:numPr>
              <w:kinsoku/>
              <w:wordWrap/>
              <w:overflowPunct/>
              <w:topLinePunct w:val="0"/>
              <w:autoSpaceDE/>
              <w:autoSpaceDN/>
              <w:bidi w:val="0"/>
              <w:adjustRightInd/>
              <w:snapToGrid/>
              <w:ind w:left="0" w:leftChars="0" w:firstLine="422" w:firstLineChars="20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2、</w:t>
            </w:r>
            <w:r>
              <w:rPr>
                <w:rFonts w:hint="eastAsia" w:asciiTheme="minorEastAsia" w:hAnsiTheme="minorEastAsia" w:eastAsiaTheme="minorEastAsia" w:cstheme="minorEastAsia"/>
                <w:b/>
                <w:bCs/>
                <w:sz w:val="21"/>
                <w:szCs w:val="21"/>
                <w:lang w:val="en-US" w:eastAsia="zh-CN"/>
              </w:rPr>
              <w:t>基础加固工程</w:t>
            </w:r>
          </w:p>
          <w:p w14:paraId="21C24BBD">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(1)围墙设计需要综合考虑功能性、安全性、美观性以及环境协调。围墙须高强度、耐风化、抗腐蚀、防水防渗漏；</w:t>
            </w:r>
          </w:p>
          <w:p w14:paraId="56FCF800">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(2)预留监控点位，视频监控覆盖无死角。</w:t>
            </w:r>
          </w:p>
          <w:p w14:paraId="07DF44BE">
            <w:pPr>
              <w:keepNext w:val="0"/>
              <w:keepLines w:val="0"/>
              <w:pageBreakBefore w:val="0"/>
              <w:widowControl/>
              <w:numPr>
                <w:ilvl w:val="-1"/>
                <w:numId w:val="0"/>
              </w:numPr>
              <w:kinsoku/>
              <w:wordWrap/>
              <w:overflowPunct/>
              <w:topLinePunct w:val="0"/>
              <w:autoSpaceDE/>
              <w:autoSpaceDN/>
              <w:bidi w:val="0"/>
              <w:adjustRightInd/>
              <w:snapToGrid/>
              <w:ind w:left="0" w:leftChars="0" w:firstLine="422" w:firstLineChars="20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3、</w:t>
            </w:r>
            <w:r>
              <w:rPr>
                <w:rFonts w:hint="eastAsia" w:asciiTheme="minorEastAsia" w:hAnsiTheme="minorEastAsia" w:eastAsiaTheme="minorEastAsia" w:cstheme="minorEastAsia"/>
                <w:b/>
                <w:bCs/>
                <w:sz w:val="21"/>
                <w:szCs w:val="21"/>
                <w:lang w:val="en-US" w:eastAsia="zh-CN"/>
              </w:rPr>
              <w:t>建筑装饰工程</w:t>
            </w:r>
          </w:p>
          <w:p w14:paraId="358F59CE">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(1)符合现行行业规范与国家标准；</w:t>
            </w:r>
          </w:p>
          <w:p w14:paraId="62A5DB9A">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(2)兼顾安全性、耐久性与经济性；</w:t>
            </w:r>
          </w:p>
          <w:p w14:paraId="094B5AFC">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(3)具有抗滑、抗裂，防水漂、排水等性能，整体强度符合相关行业标准。</w:t>
            </w:r>
          </w:p>
          <w:p w14:paraId="653CF800">
            <w:pPr>
              <w:keepNext w:val="0"/>
              <w:keepLines w:val="0"/>
              <w:pageBreakBefore w:val="0"/>
              <w:widowControl/>
              <w:numPr>
                <w:ilvl w:val="-1"/>
                <w:numId w:val="0"/>
              </w:numPr>
              <w:kinsoku/>
              <w:wordWrap/>
              <w:overflowPunct/>
              <w:topLinePunct w:val="0"/>
              <w:autoSpaceDE/>
              <w:autoSpaceDN/>
              <w:bidi w:val="0"/>
              <w:adjustRightInd/>
              <w:snapToGrid/>
              <w:ind w:leftChars="0"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三、其他要求：</w:t>
            </w:r>
          </w:p>
          <w:p w14:paraId="06FE92E7">
            <w:pPr>
              <w:bidi w:val="0"/>
              <w:ind w:firstLine="420" w:firstLineChars="200"/>
              <w:rPr>
                <w:rFonts w:hint="eastAsia" w:ascii="宋体" w:hAnsi="宋体" w:eastAsia="宋体" w:cs="宋体"/>
                <w:color w:val="auto"/>
                <w:szCs w:val="21"/>
                <w:highlight w:val="none"/>
                <w:lang w:val="en-US" w:eastAsia="zh-CN"/>
              </w:rPr>
            </w:pPr>
            <w:r>
              <w:rPr>
                <w:rFonts w:hint="eastAsia" w:asciiTheme="minorEastAsia" w:hAnsiTheme="minorEastAsia" w:eastAsiaTheme="minorEastAsia" w:cstheme="minorEastAsia"/>
                <w:color w:val="auto"/>
                <w:sz w:val="21"/>
                <w:szCs w:val="21"/>
                <w:lang w:val="en-US" w:eastAsia="zh-CN"/>
              </w:rPr>
              <w:t>计成果</w:t>
            </w:r>
            <w:r>
              <w:rPr>
                <w:rFonts w:hint="eastAsia" w:asciiTheme="minorEastAsia" w:hAnsiTheme="minorEastAsia" w:eastAsiaTheme="minorEastAsia" w:cstheme="minorEastAsia"/>
                <w:color w:val="auto"/>
                <w:sz w:val="21"/>
                <w:szCs w:val="21"/>
              </w:rPr>
              <w:t>须包含以下所有专业的全套施工图，深度须满足《建筑工程设计文件编制深度规定》，并能直接用于施工图审查和工程招标：</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1.</w:t>
            </w:r>
            <w:r>
              <w:rPr>
                <w:rStyle w:val="19"/>
                <w:rFonts w:hint="eastAsia" w:asciiTheme="minorEastAsia" w:hAnsiTheme="minorEastAsia" w:eastAsiaTheme="minorEastAsia" w:cstheme="minorEastAsia"/>
                <w:b/>
                <w:bCs/>
                <w:i w:val="0"/>
                <w:iCs w:val="0"/>
                <w:caps w:val="0"/>
                <w:color w:val="auto"/>
                <w:spacing w:val="0"/>
                <w:sz w:val="21"/>
                <w:szCs w:val="21"/>
                <w:shd w:val="clear" w:fill="FFFFFF"/>
              </w:rPr>
              <w:t>建筑专业</w:t>
            </w:r>
            <w:r>
              <w:rPr>
                <w:rFonts w:hint="eastAsia" w:asciiTheme="minorEastAsia" w:hAnsiTheme="minorEastAsia" w:eastAsiaTheme="minorEastAsia" w:cstheme="minorEastAsia"/>
                <w:i w:val="0"/>
                <w:iCs w:val="0"/>
                <w:caps w:val="0"/>
                <w:color w:val="auto"/>
                <w:spacing w:val="0"/>
                <w:sz w:val="21"/>
                <w:szCs w:val="21"/>
                <w:shd w:val="clear" w:fill="FFFFFF"/>
              </w:rPr>
              <w:t>：</w:t>
            </w:r>
            <w:r>
              <w:rPr>
                <w:rFonts w:hint="eastAsia" w:asciiTheme="minorEastAsia" w:hAnsiTheme="minorEastAsia" w:eastAsiaTheme="minorEastAsia" w:cstheme="minorEastAsia"/>
                <w:color w:val="auto"/>
                <w:sz w:val="21"/>
                <w:szCs w:val="21"/>
              </w:rPr>
              <w:t>总图、平面、立面、剖面、详图（含</w:t>
            </w:r>
            <w:r>
              <w:rPr>
                <w:rFonts w:hint="eastAsia" w:asciiTheme="minorEastAsia" w:hAnsiTheme="minorEastAsia" w:eastAsiaTheme="minorEastAsia" w:cstheme="minorEastAsia"/>
                <w:color w:val="auto"/>
                <w:sz w:val="21"/>
                <w:szCs w:val="21"/>
                <w:lang w:val="en-US" w:eastAsia="zh-CN"/>
              </w:rPr>
              <w:t>棚体</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墙体</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材质造型</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2.</w:t>
            </w:r>
            <w:r>
              <w:rPr>
                <w:rStyle w:val="19"/>
                <w:rFonts w:hint="eastAsia" w:asciiTheme="minorEastAsia" w:hAnsiTheme="minorEastAsia" w:eastAsiaTheme="minorEastAsia" w:cstheme="minorEastAsia"/>
                <w:b/>
                <w:bCs/>
                <w:i w:val="0"/>
                <w:iCs w:val="0"/>
                <w:caps w:val="0"/>
                <w:color w:val="auto"/>
                <w:spacing w:val="0"/>
                <w:sz w:val="21"/>
                <w:szCs w:val="21"/>
                <w:shd w:val="clear" w:fill="FFFFFF"/>
              </w:rPr>
              <w:t>结构专业</w:t>
            </w:r>
            <w:r>
              <w:rPr>
                <w:rFonts w:hint="eastAsia" w:asciiTheme="minorEastAsia" w:hAnsiTheme="minorEastAsia" w:eastAsiaTheme="minorEastAsia" w:cstheme="minorEastAsia"/>
                <w:i w:val="0"/>
                <w:iCs w:val="0"/>
                <w:caps w:val="0"/>
                <w:color w:val="auto"/>
                <w:spacing w:val="0"/>
                <w:sz w:val="21"/>
                <w:szCs w:val="21"/>
                <w:shd w:val="clear" w:fill="FFFFFF"/>
              </w:rPr>
              <w:t>：</w:t>
            </w:r>
            <w:r>
              <w:rPr>
                <w:rFonts w:hint="eastAsia" w:asciiTheme="minorEastAsia" w:hAnsiTheme="minorEastAsia" w:eastAsiaTheme="minorEastAsia" w:cstheme="minorEastAsia"/>
                <w:color w:val="auto"/>
                <w:sz w:val="21"/>
                <w:szCs w:val="21"/>
              </w:rPr>
              <w:t>基础、主体结构设计详图及计算书。</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3.</w:t>
            </w:r>
            <w:r>
              <w:rPr>
                <w:rStyle w:val="19"/>
                <w:rFonts w:hint="eastAsia" w:asciiTheme="minorEastAsia" w:hAnsiTheme="minorEastAsia" w:eastAsiaTheme="minorEastAsia" w:cstheme="minorEastAsia"/>
                <w:b/>
                <w:bCs/>
                <w:i w:val="0"/>
                <w:iCs w:val="0"/>
                <w:caps w:val="0"/>
                <w:color w:val="auto"/>
                <w:spacing w:val="0"/>
                <w:sz w:val="21"/>
                <w:szCs w:val="21"/>
                <w:shd w:val="clear" w:fill="FFFFFF"/>
              </w:rPr>
              <w:t>给排水专业</w:t>
            </w:r>
            <w:r>
              <w:rPr>
                <w:rFonts w:hint="eastAsia" w:asciiTheme="minorEastAsia" w:hAnsiTheme="minorEastAsia" w:eastAsiaTheme="minorEastAsia" w:cstheme="minorEastAsia"/>
                <w:i w:val="0"/>
                <w:iCs w:val="0"/>
                <w:caps w:val="0"/>
                <w:color w:val="auto"/>
                <w:spacing w:val="0"/>
                <w:sz w:val="21"/>
                <w:szCs w:val="21"/>
                <w:shd w:val="clear" w:fill="FFFFFF"/>
              </w:rPr>
              <w:t>：</w:t>
            </w:r>
            <w:r>
              <w:rPr>
                <w:rFonts w:hint="eastAsia" w:asciiTheme="minorEastAsia" w:hAnsiTheme="minorEastAsia" w:eastAsiaTheme="minorEastAsia" w:cstheme="minorEastAsia"/>
                <w:color w:val="auto"/>
                <w:sz w:val="21"/>
                <w:szCs w:val="21"/>
              </w:rPr>
              <w:t>排水系统图。</w:t>
            </w:r>
            <w:r>
              <w:rPr>
                <w:rFonts w:hint="eastAsia" w:asciiTheme="minorEastAsia" w:hAnsiTheme="minorEastAsia" w:eastAsiaTheme="minorEastAsia" w:cstheme="minorEastAsia"/>
                <w:i w:val="0"/>
                <w:iCs w:val="0"/>
                <w:caps w:val="0"/>
                <w:color w:val="auto"/>
                <w:spacing w:val="0"/>
                <w:sz w:val="21"/>
                <w:szCs w:val="21"/>
                <w:shd w:val="clear" w:fill="FFFFFF"/>
              </w:rPr>
              <w:br w:type="textWrapping"/>
            </w:r>
            <w:r>
              <w:rPr>
                <w:rFonts w:hint="eastAsia" w:asciiTheme="minorEastAsia" w:hAnsiTheme="minorEastAsia" w:cstheme="minorEastAsia"/>
                <w:i w:val="0"/>
                <w:iCs w:val="0"/>
                <w:caps w:val="0"/>
                <w:color w:val="auto"/>
                <w:spacing w:val="0"/>
                <w:sz w:val="21"/>
                <w:szCs w:val="21"/>
                <w:shd w:val="clear" w:fill="FFFFFF"/>
                <w:lang w:val="en-US" w:eastAsia="zh-CN"/>
              </w:rPr>
              <w:t xml:space="preserve">    </w:t>
            </w: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4.</w:t>
            </w:r>
            <w:r>
              <w:rPr>
                <w:rStyle w:val="19"/>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电气</w:t>
            </w:r>
            <w:r>
              <w:rPr>
                <w:rStyle w:val="19"/>
                <w:rFonts w:hint="eastAsia" w:asciiTheme="minorEastAsia" w:hAnsiTheme="minorEastAsia" w:eastAsiaTheme="minorEastAsia" w:cstheme="minorEastAsia"/>
                <w:b/>
                <w:bCs/>
                <w:i w:val="0"/>
                <w:iCs w:val="0"/>
                <w:caps w:val="0"/>
                <w:color w:val="auto"/>
                <w:spacing w:val="0"/>
                <w:sz w:val="21"/>
                <w:szCs w:val="21"/>
                <w:shd w:val="clear" w:fill="FFFFFF"/>
              </w:rPr>
              <w:t>智能化专业</w:t>
            </w:r>
            <w:r>
              <w:rPr>
                <w:rFonts w:hint="eastAsia" w:asciiTheme="minorEastAsia" w:hAnsiTheme="minorEastAsia" w:eastAsiaTheme="minorEastAsia" w:cstheme="minorEastAsia"/>
                <w:i w:val="0"/>
                <w:iCs w:val="0"/>
                <w:caps w:val="0"/>
                <w:color w:val="auto"/>
                <w:spacing w:val="0"/>
                <w:sz w:val="21"/>
                <w:szCs w:val="21"/>
                <w:shd w:val="clear" w:fill="FFFFFF"/>
              </w:rPr>
              <w:t>：</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
              <w:t>强电、弱电、</w:t>
            </w:r>
            <w:r>
              <w:rPr>
                <w:rFonts w:hint="eastAsia" w:asciiTheme="minorEastAsia" w:hAnsiTheme="minorEastAsia" w:eastAsiaTheme="minorEastAsia" w:cstheme="minorEastAsia"/>
                <w:color w:val="auto"/>
                <w:sz w:val="21"/>
                <w:szCs w:val="21"/>
              </w:rPr>
              <w:t>环境监控等系统图。</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30400.00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1A40A9BD">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一、合同签订期:</w:t>
            </w:r>
            <w:r>
              <w:rPr>
                <w:rFonts w:hint="eastAsia" w:asciiTheme="minorEastAsia" w:hAnsiTheme="minorEastAsia" w:eastAsiaTheme="minorEastAsia" w:cstheme="minorEastAsia"/>
                <w:sz w:val="21"/>
                <w:szCs w:val="21"/>
              </w:rPr>
              <w:t>自采购结果公示结束后10个工作日内。</w:t>
            </w:r>
          </w:p>
          <w:p w14:paraId="0D897A53">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二、</w:t>
            </w:r>
            <w:r>
              <w:rPr>
                <w:rFonts w:hint="eastAsia" w:asciiTheme="minorEastAsia" w:hAnsiTheme="minorEastAsia" w:eastAsiaTheme="minorEastAsia" w:cstheme="minorEastAsia"/>
                <w:b/>
                <w:bCs/>
                <w:sz w:val="21"/>
                <w:szCs w:val="21"/>
                <w:lang w:val="en-US" w:eastAsia="zh-CN"/>
              </w:rPr>
              <w:t>设计服务期限</w:t>
            </w: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sz w:val="21"/>
                <w:szCs w:val="21"/>
              </w:rPr>
              <w:t>自合同签订之日起</w:t>
            </w:r>
            <w:r>
              <w:rPr>
                <w:rFonts w:hint="eastAsia" w:asciiTheme="minorEastAsia" w:hAnsiTheme="minorEastAsia" w:eastAsiaTheme="minorEastAsia" w:cstheme="minorEastAsia"/>
                <w:sz w:val="21"/>
                <w:szCs w:val="21"/>
                <w:lang w:val="en-US" w:eastAsia="zh-CN"/>
              </w:rPr>
              <w:t>30日内完成设计，并交付全部设计成果</w:t>
            </w:r>
            <w:r>
              <w:rPr>
                <w:rFonts w:hint="eastAsia" w:asciiTheme="minorEastAsia" w:hAnsiTheme="minorEastAsia" w:eastAsiaTheme="minorEastAsia" w:cstheme="minorEastAsia"/>
                <w:sz w:val="21"/>
                <w:szCs w:val="21"/>
              </w:rPr>
              <w:t>。</w:t>
            </w:r>
          </w:p>
          <w:p w14:paraId="1536A56A">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三、项目实施地点:</w:t>
            </w:r>
            <w:r>
              <w:rPr>
                <w:rFonts w:hint="eastAsia" w:asciiTheme="minorEastAsia" w:hAnsiTheme="minorEastAsia" w:eastAsiaTheme="minorEastAsia" w:cstheme="minorEastAsia"/>
                <w:sz w:val="21"/>
                <w:szCs w:val="21"/>
                <w:lang w:val="en-US" w:eastAsia="zh-CN"/>
              </w:rPr>
              <w:t>南宁市科园大道18号</w:t>
            </w:r>
            <w:r>
              <w:rPr>
                <w:rFonts w:hint="eastAsia" w:asciiTheme="minorEastAsia" w:hAnsiTheme="minorEastAsia" w:eastAsiaTheme="minorEastAsia" w:cstheme="minorEastAsia"/>
                <w:sz w:val="21"/>
                <w:szCs w:val="21"/>
              </w:rPr>
              <w:t>。</w:t>
            </w:r>
          </w:p>
          <w:p w14:paraId="07BAE0B2">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四、售后服务要求:</w:t>
            </w:r>
          </w:p>
          <w:p w14:paraId="3EBFF85F">
            <w:pP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.处理问题响应时间：接到采购人处理问题通知后，1小时内给出反馈。</w:t>
            </w:r>
            <w:r>
              <w:rPr>
                <w:rFonts w:hint="eastAsia" w:asciiTheme="minorEastAsia" w:hAnsiTheme="minorEastAsia" w:eastAsiaTheme="minorEastAsia" w:cstheme="minorEastAsia"/>
                <w:szCs w:val="21"/>
              </w:rPr>
              <w:t>按采购人要求达到指定现场，到达现场后1天内给出反馈，3天内解决采购人提出的问题。</w:t>
            </w:r>
          </w:p>
          <w:p w14:paraId="24BEBFBA">
            <w:pPr>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五、服务质量要求：</w:t>
            </w:r>
          </w:p>
          <w:p w14:paraId="4FAAC98C">
            <w:pPr>
              <w:keepNext w:val="0"/>
              <w:keepLines w:val="0"/>
              <w:pageBreakBefore w:val="0"/>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i w:val="0"/>
                <w:iCs w:val="0"/>
                <w:caps w:val="0"/>
                <w:color w:val="0F1115"/>
                <w:spacing w:val="0"/>
                <w:sz w:val="21"/>
                <w:szCs w:val="21"/>
                <w:shd w:val="clear" w:fill="FFFFFF"/>
              </w:rPr>
              <w:t>所有设计成果的知识产权归</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采购人</w:t>
            </w:r>
            <w:r>
              <w:rPr>
                <w:rFonts w:hint="eastAsia" w:asciiTheme="minorEastAsia" w:hAnsiTheme="minorEastAsia" w:eastAsiaTheme="minorEastAsia" w:cstheme="minorEastAsia"/>
                <w:i w:val="0"/>
                <w:iCs w:val="0"/>
                <w:caps w:val="0"/>
                <w:color w:val="0F1115"/>
                <w:spacing w:val="0"/>
                <w:sz w:val="21"/>
                <w:szCs w:val="21"/>
                <w:shd w:val="clear" w:fill="FFFFFF"/>
              </w:rPr>
              <w:t>所有，未经</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采购人</w:t>
            </w:r>
            <w:r>
              <w:rPr>
                <w:rFonts w:hint="eastAsia" w:asciiTheme="minorEastAsia" w:hAnsiTheme="minorEastAsia" w:eastAsiaTheme="minorEastAsia" w:cstheme="minorEastAsia"/>
                <w:i w:val="0"/>
                <w:iCs w:val="0"/>
                <w:caps w:val="0"/>
                <w:color w:val="0F1115"/>
                <w:spacing w:val="0"/>
                <w:sz w:val="21"/>
                <w:szCs w:val="21"/>
                <w:shd w:val="clear" w:fill="FFFFFF"/>
              </w:rPr>
              <w:t>许可不得用于其他项目</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sz w:val="21"/>
                <w:szCs w:val="21"/>
              </w:rPr>
              <w:t>如因</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提供的设计成果出现侵权行为造成的经济损失，由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负责解决并承担</w:t>
            </w:r>
            <w:r>
              <w:rPr>
                <w:rFonts w:hint="eastAsia" w:asciiTheme="minorEastAsia" w:hAnsiTheme="minorEastAsia" w:eastAsiaTheme="minorEastAsia" w:cstheme="minorEastAsia"/>
                <w:sz w:val="21"/>
                <w:szCs w:val="21"/>
                <w:lang w:val="en-US" w:eastAsia="zh-CN"/>
              </w:rPr>
              <w:t>相应责任</w:t>
            </w:r>
            <w:r>
              <w:rPr>
                <w:rFonts w:hint="eastAsia" w:asciiTheme="minorEastAsia" w:hAnsiTheme="minorEastAsia" w:eastAsiaTheme="minorEastAsia" w:cstheme="minorEastAsia"/>
                <w:sz w:val="21"/>
                <w:szCs w:val="21"/>
              </w:rPr>
              <w:t>。</w:t>
            </w:r>
          </w:p>
          <w:p w14:paraId="51BB52E8">
            <w:pPr>
              <w:keepNext w:val="0"/>
              <w:keepLines w:val="0"/>
              <w:pageBreakBefore w:val="0"/>
              <w:kinsoku/>
              <w:wordWrap/>
              <w:overflowPunct/>
              <w:topLinePunct w:val="0"/>
              <w:autoSpaceDE/>
              <w:autoSpaceDN/>
              <w:bidi w:val="0"/>
              <w:adjustRightInd/>
              <w:snapToGrid/>
              <w:spacing w:line="28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2.如采购人审核要求对相关设计内容进行修改、调整时，</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成交供应商须</w:t>
            </w:r>
            <w:r>
              <w:rPr>
                <w:rFonts w:hint="eastAsia" w:asciiTheme="minorEastAsia" w:hAnsiTheme="minorEastAsia" w:eastAsiaTheme="minorEastAsia" w:cstheme="minorEastAsia"/>
                <w:color w:val="000000" w:themeColor="text1"/>
                <w:sz w:val="21"/>
                <w:szCs w:val="21"/>
                <w14:textFill>
                  <w14:solidFill>
                    <w14:schemeClr w14:val="tx1"/>
                  </w14:solidFill>
                </w14:textFill>
              </w:rPr>
              <w:t>按采购人的要求进行优化改进，采购人审核通过后方</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可</w:t>
            </w:r>
            <w:r>
              <w:rPr>
                <w:rFonts w:hint="eastAsia" w:asciiTheme="minorEastAsia" w:hAnsiTheme="minorEastAsia" w:eastAsiaTheme="minorEastAsia" w:cstheme="minorEastAsia"/>
                <w:color w:val="000000" w:themeColor="text1"/>
                <w:sz w:val="21"/>
                <w:szCs w:val="21"/>
                <w14:textFill>
                  <w14:solidFill>
                    <w14:schemeClr w14:val="tx1"/>
                  </w14:solidFill>
                </w14:textFill>
              </w:rPr>
              <w:t>定稿，否则引起的经济损失等后果由</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服务过程中</w:t>
            </w:r>
            <w:r>
              <w:rPr>
                <w:rFonts w:hint="eastAsia" w:asciiTheme="minorEastAsia" w:hAnsiTheme="minorEastAsia" w:eastAsiaTheme="minorEastAsia" w:cstheme="minorEastAsia"/>
                <w:sz w:val="21"/>
                <w:szCs w:val="21"/>
                <w:lang w:val="en-US" w:eastAsia="zh-CN"/>
              </w:rPr>
              <w:t>出现由己</w:t>
            </w:r>
            <w:r>
              <w:rPr>
                <w:rFonts w:hint="eastAsia" w:asciiTheme="minorEastAsia" w:hAnsiTheme="minorEastAsia" w:eastAsiaTheme="minorEastAsia" w:cstheme="minorEastAsia"/>
                <w:color w:val="000000" w:themeColor="text1"/>
                <w:sz w:val="21"/>
                <w:szCs w:val="21"/>
                <w14:textFill>
                  <w14:solidFill>
                    <w14:schemeClr w14:val="tx1"/>
                  </w14:solidFill>
                </w14:textFill>
              </w:rPr>
              <w:t>方原因造成的错漏等失误，由</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负责改正，相关费用应由</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自行承担。</w:t>
            </w:r>
            <w:r>
              <w:rPr>
                <w:rFonts w:hint="eastAsia" w:asciiTheme="minorEastAsia" w:hAnsiTheme="minorEastAsia" w:eastAsiaTheme="minorEastAsia" w:cstheme="minorEastAsia"/>
                <w:i w:val="0"/>
                <w:iCs w:val="0"/>
                <w:caps w:val="0"/>
                <w:color w:val="0F1115"/>
                <w:spacing w:val="0"/>
                <w:sz w:val="21"/>
                <w:szCs w:val="21"/>
                <w:shd w:val="clear" w:fill="FFFFFF"/>
              </w:rPr>
              <w:t>若设计过程中发生变更，</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成交供应商</w:t>
            </w:r>
            <w:r>
              <w:rPr>
                <w:rFonts w:hint="eastAsia" w:asciiTheme="minorEastAsia" w:hAnsiTheme="minorEastAsia" w:eastAsiaTheme="minorEastAsia" w:cstheme="minorEastAsia"/>
                <w:i w:val="0"/>
                <w:iCs w:val="0"/>
                <w:caps w:val="0"/>
                <w:color w:val="0F1115"/>
                <w:spacing w:val="0"/>
                <w:sz w:val="21"/>
                <w:szCs w:val="21"/>
                <w:shd w:val="clear" w:fill="FFFFFF"/>
              </w:rPr>
              <w:t>有责任同步更新所有相关图纸、预算及文档，并确保版本一致。</w:t>
            </w:r>
          </w:p>
          <w:p w14:paraId="2B50030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right="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3.成交供应商</w:t>
            </w:r>
            <w:r>
              <w:rPr>
                <w:rFonts w:hint="eastAsia" w:asciiTheme="minorEastAsia" w:hAnsiTheme="minorEastAsia" w:eastAsiaTheme="minorEastAsia" w:cstheme="minorEastAsia"/>
                <w:i w:val="0"/>
                <w:iCs w:val="0"/>
                <w:caps w:val="0"/>
                <w:color w:val="0F1115"/>
                <w:spacing w:val="0"/>
                <w:sz w:val="21"/>
                <w:szCs w:val="21"/>
                <w:shd w:val="clear" w:fill="FFFFFF"/>
              </w:rPr>
              <w:t>有义务根据施工图审查机构的意见，免费修改并重新提交相关设计文件，直至审查通过。</w:t>
            </w:r>
          </w:p>
          <w:p w14:paraId="0D6DACF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right="0"/>
              <w:textAlignment w:val="auto"/>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pP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t>.图纸交付后，成交供应商须提供必要的技术交底和施工配合服务，解决与设计相关的现场技术问题。</w:t>
            </w:r>
          </w:p>
          <w:p w14:paraId="3E5EC4AC">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六、其他要求:</w:t>
            </w:r>
          </w:p>
          <w:p w14:paraId="28507A55">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本项目为总价包干，报价包含：</w:t>
            </w:r>
          </w:p>
          <w:p w14:paraId="55BCFD48">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（1）设计服务的价格；</w:t>
            </w:r>
          </w:p>
          <w:p w14:paraId="35CD42D3">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（2）必要的保险费用和各项税金；</w:t>
            </w:r>
          </w:p>
          <w:p w14:paraId="6B2097D1">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（3）其他包括但不限于技术支持、售后服务等与本项目相关的各项费用。</w:t>
            </w:r>
          </w:p>
          <w:p w14:paraId="4F7531D4">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2.付款方式：签订合同之日起10个工作日内支付50%合同款，项目通过采购人验收后支付剩余的50%合同款（付款前成交供应商须提供等额合规的增值税普通发票给采购人）。</w:t>
            </w:r>
          </w:p>
          <w:p w14:paraId="2C5147A8">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3.成交供应商未按采购公告中《采购项目需求一览表》中的内容提供服务或服</w:t>
            </w:r>
            <w:r>
              <w:rPr>
                <w:rFonts w:hint="eastAsia" w:asciiTheme="minorEastAsia" w:hAnsiTheme="minorEastAsia" w:eastAsiaTheme="minorEastAsia" w:cstheme="minorEastAsia"/>
                <w:color w:val="000000" w:themeColor="text1"/>
                <w:sz w:val="21"/>
                <w:szCs w:val="21"/>
                <w14:textFill>
                  <w14:solidFill>
                    <w14:schemeClr w14:val="tx1"/>
                  </w14:solidFill>
                </w14:textFill>
              </w:rPr>
              <w:t>务未达</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相关</w:t>
            </w:r>
            <w:r>
              <w:rPr>
                <w:rFonts w:hint="eastAsia" w:asciiTheme="minorEastAsia" w:hAnsiTheme="minorEastAsia" w:eastAsiaTheme="minorEastAsia" w:cstheme="minorEastAsia"/>
                <w:color w:val="000000" w:themeColor="text1"/>
                <w:sz w:val="21"/>
                <w:szCs w:val="21"/>
                <w14:textFill>
                  <w14:solidFill>
                    <w14:schemeClr w14:val="tx1"/>
                  </w14:solidFill>
                </w14:textFill>
              </w:rPr>
              <w:t>标准的采购人可解除本合同。</w:t>
            </w:r>
          </w:p>
          <w:p w14:paraId="262977B4">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七、验收条件及标准:</w:t>
            </w:r>
          </w:p>
          <w:p w14:paraId="0C47B213">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本项目所有服务完成后</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且项目施工完成竣工验收后，成交供应商</w:t>
            </w:r>
            <w:r>
              <w:rPr>
                <w:rFonts w:hint="eastAsia" w:asciiTheme="minorEastAsia" w:hAnsiTheme="minorEastAsia" w:eastAsiaTheme="minorEastAsia" w:cstheme="minorEastAsia"/>
                <w:sz w:val="21"/>
                <w:szCs w:val="21"/>
              </w:rPr>
              <w:t>可向采购人提出验收申请。</w:t>
            </w:r>
          </w:p>
          <w:p w14:paraId="27B2FFDE">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八、发生以下情形，采购人有权解除合同：</w:t>
            </w:r>
          </w:p>
          <w:p w14:paraId="56316962">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1.因不可抗拒因素导致无法运营</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5F503DEB">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2.服务情况与合同约定要求偏差较大</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2526573E">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3.服务期间因</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过错对采购人造成不利影响或重大负面舆情的，采购人有权解除合同，扣除服务款项并追究相关责任。</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1"/>
                <w:lang w:val="en-US" w:eastAsia="zh-CN" w:bidi="ar-SA"/>
              </w:rPr>
              <w:t>4.</w:t>
            </w:r>
            <w:r>
              <w:rPr>
                <w:rFonts w:hint="eastAsia" w:asciiTheme="minorEastAsia" w:hAnsiTheme="minorEastAsia" w:eastAsiaTheme="minorEastAsia" w:cstheme="minorEastAsia"/>
                <w:szCs w:val="21"/>
              </w:rPr>
              <w:t>被授权人作为</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的合法代表，在授权范围内负责与采购人对接服务事宜，</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对被授权人在服务期间的履职行为承担全部法律责任</w:t>
            </w:r>
            <w:r>
              <w:rPr>
                <w:rFonts w:hint="eastAsia" w:asciiTheme="minorEastAsia" w:hAnsiTheme="minorEastAsia" w:eastAsiaTheme="minorEastAsia" w:cstheme="minorEastAsia"/>
                <w:kern w:val="2"/>
                <w:sz w:val="21"/>
                <w:szCs w:val="21"/>
                <w:lang w:val="en-US" w:eastAsia="zh-CN" w:bidi="ar-SA"/>
              </w:rPr>
              <w:t>。如出现未经采购人同意，擅自发布不利于采购人利益或产生社会负面影响的信息，由成交供应商负责消除不良影响并承担消除影响的相关费用和责任，采购人可根据实际情况相应扣除服务费用，并且追究相关责任。</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7CECD18F">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3F747C2C">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2F8C64C">
      <w:pPr>
        <w:spacing w:line="360" w:lineRule="exact"/>
        <w:ind w:firstLine="413" w:firstLineChars="196"/>
        <w:rPr>
          <w:rFonts w:hint="eastAsia" w:ascii="宋体" w:hAnsi="宋体"/>
          <w:b/>
          <w:bCs/>
          <w:color w:val="auto"/>
          <w:kern w:val="0"/>
          <w:szCs w:val="21"/>
          <w:highlight w:val="none"/>
        </w:rPr>
      </w:pPr>
    </w:p>
    <w:p w14:paraId="162D0B82">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3C4DEE4E">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1EF662B">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3727442D">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53939E9C">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0075315B">
      <w:pPr>
        <w:spacing w:line="360" w:lineRule="exact"/>
        <w:ind w:firstLine="420" w:firstLineChars="200"/>
        <w:outlineLvl w:val="0"/>
        <w:rPr>
          <w:rFonts w:hint="eastAsia" w:ascii="宋体" w:hAnsi="宋体"/>
          <w:color w:val="auto"/>
          <w:kern w:val="0"/>
          <w:szCs w:val="21"/>
          <w:highlight w:val="none"/>
        </w:rPr>
      </w:pPr>
      <w:bookmarkStart w:id="0" w:name="_Toc31553"/>
      <w:bookmarkStart w:id="1" w:name="_Toc24280"/>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6CCB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10EB2D1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3A954420">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5FEFDB49">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62C0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527" w:type="dxa"/>
            <w:noWrap w:val="0"/>
            <w:vAlign w:val="center"/>
          </w:tcPr>
          <w:p w14:paraId="16120493">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2ADE3340">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520FEBF5">
            <w:pPr>
              <w:adjustRightInd w:val="0"/>
              <w:spacing w:line="400" w:lineRule="exact"/>
              <w:jc w:val="center"/>
              <w:textAlignment w:val="baseline"/>
              <w:rPr>
                <w:rFonts w:hint="eastAsia" w:eastAsiaTheme="minorEastAsia"/>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满分30分</w:t>
            </w:r>
            <w:r>
              <w:rPr>
                <w:rFonts w:hint="eastAsia" w:ascii="宋体" w:hAnsi="宋体" w:cs="宋体"/>
                <w:b/>
                <w:color w:val="auto"/>
                <w:szCs w:val="21"/>
                <w:highlight w:val="none"/>
                <w:lang w:eastAsia="zh-CN"/>
              </w:rPr>
              <w:t>）</w:t>
            </w:r>
          </w:p>
        </w:tc>
        <w:tc>
          <w:tcPr>
            <w:tcW w:w="6016" w:type="dxa"/>
            <w:noWrap w:val="0"/>
            <w:vAlign w:val="center"/>
          </w:tcPr>
          <w:p w14:paraId="479BA420">
            <w:pPr>
              <w:numPr>
                <w:ilvl w:val="-1"/>
                <w:numId w:val="0"/>
              </w:numPr>
              <w:spacing w:line="40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kern w:val="2"/>
                <w:sz w:val="21"/>
                <w:szCs w:val="21"/>
                <w:lang w:val="en-US" w:eastAsia="zh-CN" w:bidi="ar-SA"/>
              </w:rPr>
              <w:t>1.</w:t>
            </w:r>
            <w:r>
              <w:rPr>
                <w:rFonts w:hint="eastAsia" w:asciiTheme="minorEastAsia" w:hAnsiTheme="minorEastAsia" w:eastAsiaTheme="minorEastAsia" w:cstheme="minorEastAsia"/>
                <w:color w:val="auto"/>
                <w:szCs w:val="21"/>
                <w:highlight w:val="none"/>
              </w:rPr>
              <w:t>评标基准价为满足</w:t>
            </w:r>
            <w:r>
              <w:rPr>
                <w:rFonts w:hint="eastAsia" w:asciiTheme="minorEastAsia" w:hAnsiTheme="minorEastAsia" w:eastAsiaTheme="minorEastAsia" w:cstheme="minorEastAsia"/>
                <w:color w:val="auto"/>
                <w:szCs w:val="21"/>
                <w:highlight w:val="none"/>
                <w:lang w:val="en-US" w:eastAsia="zh-CN"/>
              </w:rPr>
              <w:t>采购文件</w:t>
            </w:r>
            <w:r>
              <w:rPr>
                <w:rFonts w:hint="eastAsia" w:asciiTheme="minorEastAsia" w:hAnsiTheme="minorEastAsia" w:eastAsiaTheme="minorEastAsia" w:cstheme="minorEastAsia"/>
                <w:color w:val="auto"/>
                <w:szCs w:val="21"/>
                <w:highlight w:val="none"/>
              </w:rPr>
              <w:t>要求且通过符合性审查的</w:t>
            </w:r>
            <w:r>
              <w:rPr>
                <w:rFonts w:hint="eastAsia" w:asciiTheme="minorEastAsia" w:hAnsiTheme="minorEastAsia" w:eastAsiaTheme="minorEastAsia" w:cstheme="minorEastAsia"/>
                <w:b w:val="0"/>
                <w:bCs w:val="0"/>
                <w:color w:val="auto"/>
                <w:szCs w:val="21"/>
                <w:highlight w:val="none"/>
              </w:rPr>
              <w:t>最低</w:t>
            </w:r>
            <w:r>
              <w:rPr>
                <w:rFonts w:hint="eastAsia" w:asciiTheme="minorEastAsia" w:hAnsiTheme="minorEastAsia" w:eastAsiaTheme="minorEastAsia" w:cstheme="minorEastAsia"/>
                <w:color w:val="auto"/>
                <w:szCs w:val="21"/>
                <w:highlight w:val="none"/>
              </w:rPr>
              <w:t>有效</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报价。</w:t>
            </w:r>
          </w:p>
          <w:p w14:paraId="1CB7B2E9">
            <w:pPr>
              <w:spacing w:line="400" w:lineRule="exact"/>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sz w:val="21"/>
                <w:szCs w:val="21"/>
                <w:lang w:val="en-US" w:eastAsia="zh-CN"/>
              </w:rPr>
              <w:t>响应</w:t>
            </w:r>
            <w:r>
              <w:rPr>
                <w:rFonts w:hint="eastAsia" w:asciiTheme="minorEastAsia" w:hAnsiTheme="minorEastAsia" w:eastAsiaTheme="minorEastAsia" w:cstheme="minorEastAsia"/>
                <w:sz w:val="21"/>
                <w:szCs w:val="21"/>
              </w:rPr>
              <w:t>报价超过</w:t>
            </w:r>
            <w:r>
              <w:rPr>
                <w:rFonts w:hint="eastAsia" w:asciiTheme="minorEastAsia" w:hAnsiTheme="minorEastAsia" w:eastAsiaTheme="minorEastAsia" w:cstheme="minorEastAsia"/>
                <w:sz w:val="21"/>
                <w:szCs w:val="21"/>
                <w:lang w:val="en-US" w:eastAsia="zh-CN"/>
              </w:rPr>
              <w:t>项目最高限价</w:t>
            </w:r>
            <w:r>
              <w:rPr>
                <w:rFonts w:hint="eastAsia" w:asciiTheme="minorEastAsia" w:hAnsiTheme="minorEastAsia" w:eastAsiaTheme="minorEastAsia" w:cstheme="minorEastAsia"/>
                <w:sz w:val="21"/>
                <w:szCs w:val="21"/>
              </w:rPr>
              <w:t>的为无效</w:t>
            </w:r>
            <w:r>
              <w:rPr>
                <w:rFonts w:hint="eastAsia" w:asciiTheme="minorEastAsia" w:hAnsiTheme="minorEastAsia" w:eastAsiaTheme="minorEastAsia" w:cstheme="minorEastAsia"/>
                <w:sz w:val="21"/>
                <w:szCs w:val="21"/>
                <w:lang w:val="en-US" w:eastAsia="zh-CN"/>
              </w:rPr>
              <w:t>响应</w:t>
            </w:r>
            <w:r>
              <w:rPr>
                <w:rFonts w:hint="eastAsia" w:asciiTheme="minorEastAsia" w:hAnsiTheme="minorEastAsia" w:eastAsiaTheme="minorEastAsia" w:cstheme="minorEastAsia"/>
                <w:sz w:val="21"/>
                <w:szCs w:val="21"/>
              </w:rPr>
              <w:t>。</w:t>
            </w:r>
          </w:p>
          <w:p w14:paraId="66A92B13">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价格分公式计算：</w:t>
            </w:r>
          </w:p>
          <w:p w14:paraId="6D610E46">
            <w:pPr>
              <w:spacing w:line="400" w:lineRule="exact"/>
              <w:ind w:firstLine="2940" w:firstLineChars="140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评标基准价</w:t>
            </w:r>
          </w:p>
          <w:p w14:paraId="47842690">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供应商价格分＝                           ×</w:t>
            </w:r>
            <w:r>
              <w:rPr>
                <w:rFonts w:hint="eastAsia" w:asciiTheme="minorEastAsia" w:hAnsiTheme="minorEastAsia" w:cstheme="minorEastAsia"/>
                <w:color w:val="auto"/>
                <w:szCs w:val="21"/>
                <w:highlight w:val="none"/>
                <w:lang w:val="en-US" w:eastAsia="zh-CN"/>
              </w:rPr>
              <w:t>30</w:t>
            </w:r>
            <w:r>
              <w:rPr>
                <w:rFonts w:hint="eastAsia" w:asciiTheme="minorEastAsia" w:hAnsiTheme="minorEastAsia" w:eastAsiaTheme="minorEastAsia" w:cstheme="minorEastAsia"/>
                <w:color w:val="auto"/>
                <w:szCs w:val="21"/>
                <w:highlight w:val="none"/>
              </w:rPr>
              <w:t>分</w:t>
            </w:r>
          </w:p>
          <w:p w14:paraId="4FF5BEAF">
            <w:pPr>
              <w:spacing w:line="400" w:lineRule="exact"/>
              <w:ind w:firstLine="2520" w:firstLineChars="1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lang w:val="en-US" w:eastAsia="zh-CN"/>
              </w:rPr>
              <w:t>响应报价</w:t>
            </w:r>
          </w:p>
          <w:p w14:paraId="6CDC35C5">
            <w:pPr>
              <w:spacing w:line="400" w:lineRule="exact"/>
              <w:rPr>
                <w:rFonts w:hint="eastAsia" w:asciiTheme="minorEastAsia" w:hAnsiTheme="minorEastAsia" w:eastAsiaTheme="minorEastAsia" w:cstheme="minorEastAsia"/>
                <w:bCs/>
                <w:color w:val="auto"/>
                <w:szCs w:val="21"/>
                <w:highlight w:val="none"/>
              </w:rPr>
            </w:pPr>
          </w:p>
          <w:p w14:paraId="75473157">
            <w:pPr>
              <w:spacing w:line="400" w:lineRule="exact"/>
            </w:pPr>
            <w:r>
              <w:rPr>
                <w:rFonts w:hint="eastAsia" w:asciiTheme="minorEastAsia" w:hAnsiTheme="minorEastAsia" w:eastAsiaTheme="minorEastAsia" w:cstheme="minorEastAsia"/>
                <w:bCs/>
                <w:color w:val="auto"/>
                <w:szCs w:val="21"/>
                <w:highlight w:val="none"/>
              </w:rPr>
              <w:t>注：</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小组应当将其作为无效</w:t>
            </w:r>
            <w:r>
              <w:rPr>
                <w:rFonts w:hint="eastAsia" w:asciiTheme="minorEastAsia" w:hAnsiTheme="minorEastAsia" w:eastAsiaTheme="minorEastAsia" w:cstheme="minorEastAsia"/>
                <w:bCs/>
                <w:color w:val="auto"/>
                <w:szCs w:val="21"/>
                <w:highlight w:val="none"/>
                <w:lang w:val="en-US" w:eastAsia="zh-CN"/>
              </w:rPr>
              <w:t>响应</w:t>
            </w:r>
            <w:r>
              <w:rPr>
                <w:rFonts w:hint="eastAsia" w:asciiTheme="minorEastAsia" w:hAnsiTheme="minorEastAsia" w:eastAsiaTheme="minorEastAsia" w:cstheme="minorEastAsia"/>
                <w:bCs/>
                <w:color w:val="auto"/>
                <w:szCs w:val="21"/>
                <w:highlight w:val="none"/>
              </w:rPr>
              <w:t>处理。</w:t>
            </w:r>
          </w:p>
        </w:tc>
      </w:tr>
      <w:tr w14:paraId="4360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27" w:type="dxa"/>
            <w:noWrap w:val="0"/>
            <w:vAlign w:val="center"/>
          </w:tcPr>
          <w:p w14:paraId="3A5C5FAE">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noWrap w:val="0"/>
            <w:vAlign w:val="center"/>
          </w:tcPr>
          <w:p w14:paraId="02ABCF5A">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4E5E52F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noWrap w:val="0"/>
            <w:vAlign w:val="center"/>
          </w:tcPr>
          <w:p w14:paraId="789942C0">
            <w:pPr>
              <w:jc w:val="center"/>
              <w:rPr>
                <w:rFonts w:hint="eastAsia" w:ascii="宋体" w:hAnsi="宋体" w:eastAsia="宋体" w:cs="宋体"/>
                <w:b/>
                <w:color w:val="auto"/>
                <w:szCs w:val="21"/>
                <w:highlight w:val="none"/>
                <w:lang w:eastAsia="zh-CN"/>
              </w:rPr>
            </w:pPr>
            <w:r>
              <w:rPr>
                <w:rStyle w:val="19"/>
                <w:rFonts w:hint="eastAsia" w:ascii="Segoe UI" w:hAnsi="Segoe UI" w:eastAsia="宋体" w:cs="Segoe UI"/>
                <w:b/>
                <w:bCs/>
                <w:i w:val="0"/>
                <w:iCs w:val="0"/>
                <w:caps w:val="0"/>
                <w:color w:val="0F1115"/>
                <w:spacing w:val="0"/>
                <w:sz w:val="22"/>
                <w:szCs w:val="22"/>
                <w:shd w:val="clear" w:fill="FFFFFF"/>
                <w:lang w:val="en-US" w:eastAsia="zh-CN"/>
              </w:rPr>
              <w:t>对项目理解、</w:t>
            </w:r>
            <w:r>
              <w:rPr>
                <w:rStyle w:val="19"/>
                <w:rFonts w:hint="eastAsia" w:ascii="Segoe UI" w:hAnsi="Segoe UI" w:eastAsia="Segoe UI" w:cs="Segoe UI"/>
                <w:b/>
                <w:bCs/>
                <w:i w:val="0"/>
                <w:iCs w:val="0"/>
                <w:caps w:val="0"/>
                <w:color w:val="0F1115"/>
                <w:spacing w:val="0"/>
                <w:sz w:val="22"/>
                <w:szCs w:val="22"/>
                <w:shd w:val="clear" w:fill="FFFFFF"/>
              </w:rPr>
              <w:t>项目和方案</w:t>
            </w:r>
            <w:r>
              <w:rPr>
                <w:rStyle w:val="19"/>
                <w:rFonts w:hint="eastAsia" w:ascii="Segoe UI" w:hAnsi="Segoe UI" w:eastAsia="宋体" w:cs="Segoe UI"/>
                <w:b/>
                <w:bCs/>
                <w:i w:val="0"/>
                <w:iCs w:val="0"/>
                <w:caps w:val="0"/>
                <w:color w:val="0F1115"/>
                <w:spacing w:val="0"/>
                <w:sz w:val="22"/>
                <w:szCs w:val="22"/>
                <w:shd w:val="clear" w:fill="FFFFFF"/>
                <w:lang w:eastAsia="zh-CN"/>
              </w:rPr>
              <w:t>（</w:t>
            </w:r>
            <w:r>
              <w:rPr>
                <w:rStyle w:val="19"/>
                <w:rFonts w:hint="eastAsia" w:ascii="Segoe UI" w:hAnsi="Segoe UI" w:eastAsia="宋体" w:cs="Segoe UI"/>
                <w:b/>
                <w:bCs/>
                <w:i w:val="0"/>
                <w:iCs w:val="0"/>
                <w:caps w:val="0"/>
                <w:color w:val="0F1115"/>
                <w:spacing w:val="0"/>
                <w:sz w:val="22"/>
                <w:szCs w:val="22"/>
                <w:shd w:val="clear" w:fill="FFFFFF"/>
                <w:lang w:val="en-US" w:eastAsia="zh-CN"/>
              </w:rPr>
              <w:t>满36分</w:t>
            </w:r>
            <w:r>
              <w:rPr>
                <w:rStyle w:val="19"/>
                <w:rFonts w:hint="eastAsia" w:ascii="Segoe UI" w:hAnsi="Segoe UI" w:eastAsia="宋体" w:cs="Segoe UI"/>
                <w:b/>
                <w:bCs/>
                <w:i w:val="0"/>
                <w:iCs w:val="0"/>
                <w:caps w:val="0"/>
                <w:color w:val="0F1115"/>
                <w:spacing w:val="0"/>
                <w:sz w:val="22"/>
                <w:szCs w:val="22"/>
                <w:shd w:val="clear" w:fill="FFFFFF"/>
                <w:lang w:eastAsia="zh-CN"/>
              </w:rPr>
              <w:t>）</w:t>
            </w:r>
          </w:p>
        </w:tc>
        <w:tc>
          <w:tcPr>
            <w:tcW w:w="6016" w:type="dxa"/>
            <w:noWrap w:val="0"/>
            <w:vAlign w:val="center"/>
          </w:tcPr>
          <w:p w14:paraId="6926355B">
            <w:pPr>
              <w:pStyle w:val="10"/>
              <w:rPr>
                <w:rFonts w:hint="eastAsia" w:asciiTheme="minorEastAsia" w:hAnsiTheme="minorEastAsia" w:eastAsiaTheme="minorEastAsia" w:cstheme="minorEastAsia"/>
                <w:sz w:val="21"/>
                <w:szCs w:val="21"/>
                <w:lang w:val="en-US" w:eastAsia="zh-CN"/>
              </w:rPr>
            </w:pPr>
          </w:p>
          <w:p w14:paraId="44B9341B">
            <w:pPr>
              <w:pStyle w:val="10"/>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sz w:val="21"/>
                <w:szCs w:val="21"/>
                <w:lang w:val="en-US" w:eastAsia="zh-CN"/>
              </w:rPr>
              <w:t>一档（12分）：</w:t>
            </w:r>
            <w:r>
              <w:rPr>
                <w:rFonts w:hint="eastAsia" w:asciiTheme="minorEastAsia" w:hAnsiTheme="minorEastAsia" w:eastAsiaTheme="minorEastAsia" w:cstheme="minorEastAsia"/>
                <w:bCs/>
                <w:color w:val="auto"/>
                <w:sz w:val="21"/>
                <w:szCs w:val="21"/>
                <w:highlight w:val="none"/>
                <w:lang w:val="en-US" w:eastAsia="zh-CN"/>
              </w:rPr>
              <w:t>响应供应商对项目设计需求基本理解，表述一般，设计方案仅满足单车棚、围墙、沥青道路的功能。</w:t>
            </w:r>
          </w:p>
          <w:p w14:paraId="21B3460E">
            <w:pPr>
              <w:pStyle w:val="10"/>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二挡（24分）：响应供应商对项目设计的需求较为理解，表述较好，设计方案不仅满足单车棚、围墙、沥青道路的功能，还能提出合理化建议，优化实施方案。</w:t>
            </w:r>
          </w:p>
          <w:p w14:paraId="4799A358">
            <w:pPr>
              <w:pStyle w:val="10"/>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三挡（36分）：响应供应商对项目设计的需求全面、深度理解，表述清晰，设计方案满足单车棚、围墙、沥青道路的功能，</w:t>
            </w:r>
            <w:r>
              <w:rPr>
                <w:rFonts w:hint="eastAsia" w:asciiTheme="minorEastAsia" w:hAnsiTheme="minorEastAsia" w:eastAsiaTheme="minorEastAsia" w:cstheme="minorEastAsia"/>
                <w:bCs/>
                <w:color w:val="auto"/>
                <w:sz w:val="21"/>
                <w:szCs w:val="21"/>
                <w:highlight w:val="none"/>
              </w:rPr>
              <w:t>设计理念新颖独特，方案创意突出、风格统一、细节完善，对场地、功能、审美、</w:t>
            </w:r>
            <w:r>
              <w:rPr>
                <w:rFonts w:hint="eastAsia" w:asciiTheme="minorEastAsia" w:hAnsiTheme="minorEastAsia" w:eastAsiaTheme="minorEastAsia" w:cstheme="minorEastAsia"/>
                <w:bCs/>
                <w:color w:val="auto"/>
                <w:sz w:val="21"/>
                <w:szCs w:val="21"/>
                <w:highlight w:val="none"/>
                <w:lang w:val="en-US" w:eastAsia="zh-CN"/>
              </w:rPr>
              <w:t>落地性</w:t>
            </w:r>
            <w:r>
              <w:rPr>
                <w:rFonts w:hint="eastAsia" w:asciiTheme="minorEastAsia" w:hAnsiTheme="minorEastAsia" w:eastAsiaTheme="minorEastAsia" w:cstheme="minorEastAsia"/>
                <w:bCs/>
                <w:color w:val="auto"/>
                <w:sz w:val="21"/>
                <w:szCs w:val="21"/>
                <w:highlight w:val="none"/>
              </w:rPr>
              <w:t>均有充分考虑，整体质量</w:t>
            </w:r>
            <w:r>
              <w:rPr>
                <w:rFonts w:hint="eastAsia" w:asciiTheme="minorEastAsia" w:hAnsiTheme="minorEastAsia" w:eastAsiaTheme="minorEastAsia" w:cstheme="minorEastAsia"/>
                <w:bCs/>
                <w:color w:val="auto"/>
                <w:sz w:val="21"/>
                <w:szCs w:val="21"/>
                <w:highlight w:val="none"/>
                <w:lang w:val="en-US" w:eastAsia="zh-CN"/>
              </w:rPr>
              <w:t>符合要求</w:t>
            </w:r>
            <w:r>
              <w:rPr>
                <w:rFonts w:hint="eastAsia" w:asciiTheme="minorEastAsia" w:hAnsiTheme="minorEastAsia" w:eastAsiaTheme="minorEastAsia" w:cstheme="minorEastAsia"/>
                <w:bCs/>
                <w:color w:val="auto"/>
                <w:sz w:val="21"/>
                <w:szCs w:val="21"/>
                <w:highlight w:val="none"/>
                <w:lang w:eastAsia="zh-CN"/>
              </w:rPr>
              <w:t>。</w:t>
            </w:r>
          </w:p>
          <w:p w14:paraId="7F95B456">
            <w:pPr>
              <w:pStyle w:val="10"/>
              <w:rPr>
                <w:rFonts w:hint="eastAsia" w:ascii="宋体" w:hAnsi="宋体" w:cs="宋体"/>
                <w:color w:val="000000" w:themeColor="text1"/>
                <w:sz w:val="21"/>
                <w:szCs w:val="21"/>
                <w:highlight w:val="none"/>
                <w:lang w:eastAsia="zh-CN"/>
                <w14:textFill>
                  <w14:solidFill>
                    <w14:schemeClr w14:val="tx1"/>
                  </w14:solidFill>
                </w14:textFill>
              </w:rPr>
            </w:pPr>
          </w:p>
          <w:p w14:paraId="4F4AE703">
            <w:pPr>
              <w:pStyle w:val="3"/>
              <w:numPr>
                <w:ilvl w:val="0"/>
                <w:numId w:val="0"/>
              </w:numPr>
              <w:rPr>
                <w:rFonts w:hint="eastAsia"/>
                <w:color w:val="auto"/>
                <w:highlight w:val="none"/>
              </w:rPr>
            </w:pPr>
            <w:r>
              <w:rPr>
                <w:rFonts w:hint="eastAsia"/>
                <w:color w:val="auto"/>
                <w:highlight w:val="none"/>
              </w:rPr>
              <w:t>注：未提供或不满足进档要求不得分。</w:t>
            </w:r>
          </w:p>
          <w:p w14:paraId="36295A74">
            <w:pPr>
              <w:pStyle w:val="10"/>
              <w:rPr>
                <w:rFonts w:hint="eastAsia" w:ascii="宋体" w:hAnsi="宋体" w:cs="宋体"/>
                <w:color w:val="000000" w:themeColor="text1"/>
                <w:sz w:val="21"/>
                <w:szCs w:val="21"/>
                <w:highlight w:val="none"/>
                <w:lang w:val="en-US" w:eastAsia="zh-CN"/>
                <w14:textFill>
                  <w14:solidFill>
                    <w14:schemeClr w14:val="tx1"/>
                  </w14:solidFill>
                </w14:textFill>
              </w:rPr>
            </w:pPr>
          </w:p>
        </w:tc>
      </w:tr>
      <w:tr w14:paraId="3E26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noWrap w:val="0"/>
            <w:vAlign w:val="center"/>
          </w:tcPr>
          <w:p w14:paraId="5B944AD4">
            <w:pPr>
              <w:adjustRightInd w:val="0"/>
              <w:snapToGrid w:val="0"/>
              <w:spacing w:line="400" w:lineRule="exact"/>
              <w:jc w:val="center"/>
              <w:textAlignment w:val="baseline"/>
              <w:rPr>
                <w:rFonts w:hint="eastAsia" w:ascii="宋体" w:hAnsi="宋体" w:cs="宋体"/>
                <w:b/>
                <w:color w:val="auto"/>
                <w:szCs w:val="21"/>
                <w:highlight w:val="none"/>
                <w:lang w:val="en-US" w:eastAsia="zh-CN"/>
              </w:rPr>
            </w:pPr>
          </w:p>
        </w:tc>
        <w:tc>
          <w:tcPr>
            <w:tcW w:w="1065" w:type="dxa"/>
            <w:noWrap w:val="0"/>
            <w:vAlign w:val="center"/>
          </w:tcPr>
          <w:p w14:paraId="4987E57B">
            <w:pPr>
              <w:snapToGrid w:val="0"/>
              <w:spacing w:line="400" w:lineRule="exact"/>
              <w:jc w:val="center"/>
              <w:rPr>
                <w:rFonts w:hint="eastAsia" w:ascii="宋体" w:hAnsi="宋体" w:cs="宋体"/>
                <w:b/>
                <w:color w:val="auto"/>
                <w:spacing w:val="-2"/>
                <w:szCs w:val="21"/>
                <w:highlight w:val="none"/>
              </w:rPr>
            </w:pPr>
          </w:p>
        </w:tc>
        <w:tc>
          <w:tcPr>
            <w:tcW w:w="1758" w:type="dxa"/>
            <w:noWrap w:val="0"/>
            <w:vAlign w:val="center"/>
          </w:tcPr>
          <w:p w14:paraId="24D6687C">
            <w:pPr>
              <w:jc w:val="center"/>
              <w:rPr>
                <w:rStyle w:val="19"/>
                <w:rFonts w:hint="eastAsia" w:ascii="Segoe UI" w:hAnsi="Segoe UI" w:eastAsia="Segoe UI" w:cs="Segoe UI"/>
                <w:b/>
                <w:bCs/>
                <w:i w:val="0"/>
                <w:iCs w:val="0"/>
                <w:caps w:val="0"/>
                <w:color w:val="0F1115"/>
                <w:spacing w:val="0"/>
                <w:sz w:val="22"/>
                <w:szCs w:val="22"/>
                <w:shd w:val="clear" w:fill="FFFFFF"/>
              </w:rPr>
            </w:pPr>
            <w:r>
              <w:rPr>
                <w:rFonts w:hint="eastAsia" w:ascii="宋体" w:hAnsi="宋体" w:eastAsia="宋体" w:cs="宋体"/>
                <w:b/>
                <w:bCs/>
                <w:color w:val="000000" w:themeColor="text1"/>
                <w:sz w:val="21"/>
                <w:szCs w:val="21"/>
                <w:highlight w:val="none"/>
                <w14:textFill>
                  <w14:solidFill>
                    <w14:schemeClr w14:val="tx1"/>
                  </w14:solidFill>
                </w14:textFill>
              </w:rPr>
              <w:t>服务承诺</w:t>
            </w:r>
            <w:r>
              <w:rPr>
                <w:rFonts w:hint="eastAsia" w:ascii="宋体" w:hAnsi="宋体" w:cs="宋体"/>
                <w:b/>
                <w:color w:val="auto"/>
                <w:kern w:val="0"/>
                <w:szCs w:val="21"/>
                <w:highlight w:val="none"/>
                <w:lang w:eastAsia="zh-CN"/>
              </w:rPr>
              <w:t>（</w:t>
            </w:r>
            <w:r>
              <w:rPr>
                <w:rFonts w:hint="eastAsia" w:ascii="宋体" w:hAnsi="宋体" w:cs="宋体"/>
                <w:b/>
                <w:color w:val="auto"/>
                <w:kern w:val="0"/>
                <w:szCs w:val="21"/>
                <w:highlight w:val="none"/>
                <w:lang w:val="en-US" w:eastAsia="zh-CN"/>
              </w:rPr>
              <w:t>满分24分</w:t>
            </w:r>
            <w:r>
              <w:rPr>
                <w:rFonts w:hint="eastAsia" w:ascii="宋体" w:hAnsi="宋体" w:cs="宋体"/>
                <w:b/>
                <w:color w:val="auto"/>
                <w:kern w:val="0"/>
                <w:szCs w:val="21"/>
                <w:highlight w:val="none"/>
                <w:lang w:eastAsia="zh-CN"/>
              </w:rPr>
              <w:t>）</w:t>
            </w:r>
          </w:p>
        </w:tc>
        <w:tc>
          <w:tcPr>
            <w:tcW w:w="6016" w:type="dxa"/>
            <w:noWrap w:val="0"/>
            <w:vAlign w:val="center"/>
          </w:tcPr>
          <w:p w14:paraId="61C65AAC">
            <w:pPr>
              <w:pStyle w:val="10"/>
              <w:rPr>
                <w:rFonts w:hint="eastAsia" w:asciiTheme="minorEastAsia" w:hAnsiTheme="minorEastAsia" w:eastAsiaTheme="minorEastAsia" w:cstheme="minorEastAsia"/>
                <w:sz w:val="21"/>
                <w:szCs w:val="21"/>
                <w:lang w:val="en-US" w:eastAsia="zh-CN"/>
              </w:rPr>
            </w:pPr>
          </w:p>
          <w:p w14:paraId="713DED4C">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z w:val="21"/>
                <w:szCs w:val="21"/>
                <w:lang w:val="en-US" w:eastAsia="zh-CN"/>
              </w:rPr>
              <w:t>一档（8分）：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设计服务承诺内容（服务内容、服务措施、服务响应速度、修改调整承诺、后续服务方案等方面）简单，各项承诺内容不够全面或缺项</w:t>
            </w:r>
            <w:r>
              <w:rPr>
                <w:rFonts w:hint="eastAsia" w:ascii="宋体" w:hAnsi="宋体" w:cs="宋体"/>
                <w:color w:val="000000" w:themeColor="text1"/>
                <w:sz w:val="21"/>
                <w:szCs w:val="21"/>
                <w:highlight w:val="none"/>
                <w:lang w:eastAsia="zh-CN"/>
                <w14:textFill>
                  <w14:solidFill>
                    <w14:schemeClr w14:val="tx1"/>
                  </w14:solidFill>
                </w14:textFill>
              </w:rPr>
              <w:t>；</w:t>
            </w:r>
          </w:p>
          <w:p w14:paraId="24EF488C">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二挡（16分）：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设计服务承诺内容（服务内容、服务措施、服务响应速度、修改调整承诺、后续服务方案等方面）较完整，各项承诺内容基本合理，具有一定针对性，基本满足项目需求</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8728EF2">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三挡（</w:t>
            </w:r>
            <w:r>
              <w:rPr>
                <w:rFonts w:hint="eastAsia" w:ascii="宋体" w:hAnsi="宋体" w:cs="宋体"/>
                <w:color w:val="000000" w:themeColor="text1"/>
                <w:sz w:val="21"/>
                <w:szCs w:val="21"/>
                <w:highlight w:val="none"/>
                <w:lang w:val="en-US" w:eastAsia="zh-CN"/>
                <w14:textFill>
                  <w14:solidFill>
                    <w14:schemeClr w14:val="tx1"/>
                  </w14:solidFill>
                </w14:textFill>
              </w:rPr>
              <w:t>24</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设计服务承诺内容（服务内容、服务措施、服务响应速度、修改调整承诺、后续服务方案等方面）详细，各项承诺内容合理，针对性强，完全满足项目需求，充分为采购人考虑</w:t>
            </w:r>
            <w:r>
              <w:rPr>
                <w:rFonts w:hint="eastAsia" w:ascii="宋体" w:hAnsi="宋体" w:cs="宋体"/>
                <w:color w:val="000000" w:themeColor="text1"/>
                <w:sz w:val="21"/>
                <w:szCs w:val="21"/>
                <w:highlight w:val="none"/>
                <w:lang w:eastAsia="zh-CN"/>
                <w14:textFill>
                  <w14:solidFill>
                    <w14:schemeClr w14:val="tx1"/>
                  </w14:solidFill>
                </w14:textFill>
              </w:rPr>
              <w:t>。</w:t>
            </w:r>
          </w:p>
          <w:p w14:paraId="1A739808">
            <w:pPr>
              <w:pStyle w:val="3"/>
              <w:numPr>
                <w:ilvl w:val="0"/>
                <w:numId w:val="0"/>
              </w:numPr>
              <w:rPr>
                <w:rFonts w:hint="eastAsia"/>
                <w:color w:val="auto"/>
                <w:highlight w:val="none"/>
              </w:rPr>
            </w:pPr>
            <w:r>
              <w:rPr>
                <w:rFonts w:hint="eastAsia"/>
                <w:color w:val="auto"/>
                <w:highlight w:val="none"/>
              </w:rPr>
              <w:t>注：未提供或不满足进档要求不得分。</w:t>
            </w:r>
          </w:p>
          <w:p w14:paraId="21AB3F31">
            <w:pPr>
              <w:pStyle w:val="10"/>
              <w:rPr>
                <w:rFonts w:hint="eastAsia" w:ascii="宋体" w:hAnsi="宋体" w:cs="宋体"/>
                <w:color w:val="000000" w:themeColor="text1"/>
                <w:sz w:val="21"/>
                <w:szCs w:val="21"/>
                <w:highlight w:val="none"/>
                <w:lang w:val="en-US" w:eastAsia="zh-CN"/>
                <w14:textFill>
                  <w14:solidFill>
                    <w14:schemeClr w14:val="tx1"/>
                  </w14:solidFill>
                </w14:textFill>
              </w:rPr>
            </w:pPr>
          </w:p>
        </w:tc>
      </w:tr>
      <w:tr w14:paraId="20D4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noWrap w:val="0"/>
            <w:vAlign w:val="center"/>
          </w:tcPr>
          <w:p w14:paraId="6A5597ED">
            <w:pPr>
              <w:adjustRightInd w:val="0"/>
              <w:snapToGrid w:val="0"/>
              <w:spacing w:line="400" w:lineRule="exact"/>
              <w:jc w:val="center"/>
              <w:textAlignment w:val="baseline"/>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3</w:t>
            </w:r>
          </w:p>
        </w:tc>
        <w:tc>
          <w:tcPr>
            <w:tcW w:w="1065" w:type="dxa"/>
            <w:noWrap w:val="0"/>
            <w:vAlign w:val="center"/>
          </w:tcPr>
          <w:p w14:paraId="6BC774DD">
            <w:pPr>
              <w:snapToGrid w:val="0"/>
              <w:spacing w:line="400" w:lineRule="exact"/>
              <w:jc w:val="center"/>
              <w:rPr>
                <w:rFonts w:hint="eastAsia" w:ascii="宋体" w:hAnsi="宋体" w:cs="宋体" w:eastAsiaTheme="minorEastAsia"/>
                <w:b/>
                <w:color w:val="auto"/>
                <w:spacing w:val="-2"/>
                <w:szCs w:val="21"/>
                <w:highlight w:val="none"/>
                <w:lang w:val="en-US" w:eastAsia="zh-CN"/>
              </w:rPr>
            </w:pPr>
            <w:r>
              <w:rPr>
                <w:rFonts w:hint="eastAsia" w:ascii="宋体" w:hAnsi="宋体" w:cs="宋体"/>
                <w:b/>
                <w:color w:val="auto"/>
                <w:spacing w:val="-2"/>
                <w:szCs w:val="21"/>
                <w:highlight w:val="none"/>
                <w:lang w:val="en-US" w:eastAsia="zh-CN"/>
              </w:rPr>
              <w:t>商务分（满分10分）</w:t>
            </w:r>
          </w:p>
        </w:tc>
        <w:tc>
          <w:tcPr>
            <w:tcW w:w="1758" w:type="dxa"/>
            <w:noWrap w:val="0"/>
            <w:vAlign w:val="center"/>
          </w:tcPr>
          <w:p w14:paraId="74003A3E">
            <w:pPr>
              <w:jc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业绩分（满分10分）</w:t>
            </w:r>
          </w:p>
        </w:tc>
        <w:tc>
          <w:tcPr>
            <w:tcW w:w="6016" w:type="dxa"/>
            <w:noWrap w:val="0"/>
            <w:vAlign w:val="center"/>
          </w:tcPr>
          <w:p w14:paraId="48A76350">
            <w:pPr>
              <w:pStyle w:val="10"/>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响应</w:t>
            </w:r>
            <w:r>
              <w:rPr>
                <w:rFonts w:hint="eastAsia" w:ascii="宋体" w:hAnsi="宋体" w:cs="宋体"/>
                <w:color w:val="000000" w:themeColor="text1"/>
                <w:sz w:val="21"/>
                <w:szCs w:val="21"/>
                <w:highlight w:val="none"/>
                <w14:textFill>
                  <w14:solidFill>
                    <w14:schemeClr w14:val="tx1"/>
                  </w14:solidFill>
                </w14:textFill>
              </w:rPr>
              <w:t>供应商自2023年1月1日以来具有类似项目的业绩相关证明材料（无不良记录，以中标（成交）通知书或签订的合同为准，并能清晰反映项目名称、种类、金额），每有一个业绩项目的得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val="en-US" w:eastAsia="zh-CN"/>
                <w14:textFill>
                  <w14:solidFill>
                    <w14:schemeClr w14:val="tx1"/>
                  </w14:solidFill>
                </w14:textFill>
              </w:rPr>
              <w:t>满分10</w:t>
            </w:r>
            <w:r>
              <w:rPr>
                <w:rFonts w:hint="eastAsia" w:ascii="宋体" w:hAnsi="宋体" w:cs="宋体"/>
                <w:color w:val="000000" w:themeColor="text1"/>
                <w:sz w:val="21"/>
                <w:szCs w:val="21"/>
                <w:highlight w:val="none"/>
                <w14:textFill>
                  <w14:solidFill>
                    <w14:schemeClr w14:val="tx1"/>
                  </w14:solidFill>
                </w14:textFill>
              </w:rPr>
              <w:t>分。</w:t>
            </w:r>
          </w:p>
        </w:tc>
      </w:tr>
      <w:tr w14:paraId="09DE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536F1602">
            <w:pPr>
              <w:pStyle w:val="7"/>
              <w:snapToGrid w:val="0"/>
              <w:spacing w:line="400" w:lineRule="exact"/>
              <w:rPr>
                <w:rFonts w:hint="default" w:hAnsi="宋体" w:eastAsia="宋体" w:cs="宋体"/>
                <w:b/>
                <w:bCs/>
                <w:color w:val="auto"/>
                <w:sz w:val="21"/>
                <w:highlight w:val="none"/>
                <w:lang w:val="en-US" w:eastAsia="zh-CN"/>
              </w:rPr>
            </w:pPr>
            <w:r>
              <w:rPr>
                <w:rFonts w:hint="eastAsia" w:hAnsi="宋体" w:cs="宋体"/>
                <w:b/>
                <w:bCs/>
                <w:color w:val="auto"/>
                <w:sz w:val="21"/>
                <w:highlight w:val="none"/>
              </w:rPr>
              <w:t>总得分=</w:t>
            </w:r>
            <w:r>
              <w:rPr>
                <w:rFonts w:hint="eastAsia" w:hAnsi="宋体" w:cs="宋体"/>
                <w:b/>
                <w:bCs/>
                <w:color w:val="auto"/>
                <w:sz w:val="21"/>
                <w:highlight w:val="none"/>
                <w:lang w:val="en-US" w:eastAsia="zh-CN"/>
              </w:rPr>
              <w:t>1+2+3</w:t>
            </w:r>
          </w:p>
        </w:tc>
      </w:tr>
    </w:tbl>
    <w:p w14:paraId="68845806">
      <w:pPr>
        <w:spacing w:line="360" w:lineRule="exact"/>
        <w:outlineLvl w:val="9"/>
        <w:rPr>
          <w:rFonts w:ascii="宋体" w:hAnsi="宋体"/>
          <w:color w:val="auto"/>
          <w:kern w:val="0"/>
          <w:szCs w:val="21"/>
          <w:highlight w:val="none"/>
        </w:rPr>
      </w:pPr>
    </w:p>
    <w:p w14:paraId="5529445E">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324CB57">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98654BC">
      <w:pPr>
        <w:bidi w:val="0"/>
        <w:ind w:firstLine="420" w:firstLineChars="200"/>
        <w:rPr>
          <w:rFonts w:hint="eastAsia"/>
          <w:lang w:val="en-US" w:eastAsia="zh-CN"/>
        </w:rPr>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34E5382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F7887D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5805BA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97DA71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73D443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9EA584A">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南宁中心血站围墙及生态停车场路面修缮工程设计服务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792"/>
        <w:gridCol w:w="1793"/>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5E2F59C3">
            <w:pPr>
              <w:pStyle w:val="7"/>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数量（项）</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①</w:t>
            </w:r>
          </w:p>
        </w:tc>
        <w:tc>
          <w:tcPr>
            <w:tcW w:w="1792" w:type="dxa"/>
            <w:noWrap w:val="0"/>
            <w:vAlign w:val="center"/>
          </w:tcPr>
          <w:p w14:paraId="5EF0A315">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单价（元）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②</w:t>
            </w:r>
          </w:p>
        </w:tc>
        <w:tc>
          <w:tcPr>
            <w:tcW w:w="1793" w:type="dxa"/>
            <w:noWrap w:val="0"/>
            <w:vAlign w:val="center"/>
          </w:tcPr>
          <w:p w14:paraId="5FC45C21">
            <w:pPr>
              <w:pStyle w:val="7"/>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单项合价（元）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sz w:val="21"/>
                <w:szCs w:val="21"/>
              </w:rPr>
              <w:t>南宁中心血站围墙及生态停车场路面修缮工程设计服务</w:t>
            </w:r>
          </w:p>
        </w:tc>
        <w:tc>
          <w:tcPr>
            <w:tcW w:w="1440" w:type="dxa"/>
            <w:noWrap w:val="0"/>
            <w:vAlign w:val="center"/>
          </w:tcPr>
          <w:p w14:paraId="545DEFD9">
            <w:pPr>
              <w:pStyle w:val="7"/>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w:t>
            </w:r>
          </w:p>
        </w:tc>
        <w:tc>
          <w:tcPr>
            <w:tcW w:w="1792" w:type="dxa"/>
            <w:noWrap w:val="0"/>
            <w:vAlign w:val="center"/>
          </w:tcPr>
          <w:p w14:paraId="2B91DFC1">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793" w:type="dxa"/>
            <w:noWrap w:val="0"/>
            <w:vAlign w:val="center"/>
          </w:tcPr>
          <w:p w14:paraId="5DAC5E1F">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84" w:type="dxa"/>
            <w:noWrap w:val="0"/>
            <w:vAlign w:val="center"/>
          </w:tcPr>
          <w:p w14:paraId="045A02FD">
            <w:pPr>
              <w:pStyle w:val="7"/>
              <w:jc w:val="center"/>
              <w:rPr>
                <w:rFonts w:hint="eastAsia" w:asciiTheme="minorEastAsia" w:hAnsiTheme="minorEastAsia" w:eastAsiaTheme="minorEastAsia" w:cstheme="minorEastAsia"/>
                <w:kern w:val="0"/>
                <w:sz w:val="21"/>
                <w:szCs w:val="21"/>
                <w:lang w:val="en-US" w:eastAsia="zh-CN"/>
              </w:rPr>
            </w:pP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450F525F">
            <w:pPr>
              <w:bidi w:val="0"/>
              <w:rPr>
                <w:rFonts w:hint="default"/>
                <w:lang w:val="en-US"/>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w:t>
            </w:r>
            <w:r>
              <w:rPr>
                <w:rFonts w:hint="eastAsia" w:cs="Times New Roman" w:asciiTheme="minorEastAsia" w:hAnsiTheme="minorEastAsia"/>
                <w:b/>
                <w:color w:val="FF0000"/>
                <w:sz w:val="21"/>
                <w:szCs w:val="21"/>
                <w:lang w:val="en-US" w:eastAsia="zh-CN"/>
              </w:rPr>
              <w:t>30400</w:t>
            </w:r>
            <w:r>
              <w:rPr>
                <w:rFonts w:hint="eastAsia" w:cs="Times New Roman" w:asciiTheme="minorEastAsia" w:hAnsiTheme="minorEastAsia" w:eastAsiaTheme="minorEastAsia"/>
                <w:b/>
                <w:color w:val="FF0000"/>
                <w:sz w:val="21"/>
                <w:szCs w:val="21"/>
                <w:lang w:val="en-US" w:eastAsia="zh-CN"/>
              </w:rPr>
              <w:t>.00元）。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63D20B6">
      <w:pPr>
        <w:rPr>
          <w:rFonts w:hint="eastAsia" w:ascii="仿宋" w:hAnsi="仿宋" w:eastAsia="仿宋"/>
          <w:color w:val="auto"/>
          <w:sz w:val="30"/>
          <w:szCs w:val="30"/>
        </w:rPr>
      </w:pPr>
    </w:p>
    <w:p w14:paraId="13ADA456">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南宁中心血站围墙及生态停车场路面修缮工程设计服务</w:t>
            </w:r>
          </w:p>
        </w:tc>
        <w:tc>
          <w:tcPr>
            <w:tcW w:w="3433" w:type="dxa"/>
            <w:vAlign w:val="center"/>
          </w:tcPr>
          <w:p w14:paraId="0F1C440C">
            <w:pPr>
              <w:keepNext w:val="0"/>
              <w:keepLines w:val="0"/>
              <w:pageBreakBefore w:val="0"/>
              <w:widowControl/>
              <w:numPr>
                <w:ilvl w:val="-1"/>
                <w:numId w:val="0"/>
              </w:numPr>
              <w:kinsoku/>
              <w:wordWrap/>
              <w:overflowPunct/>
              <w:topLinePunct w:val="0"/>
              <w:autoSpaceDE/>
              <w:autoSpaceDN/>
              <w:bidi w:val="0"/>
              <w:adjustRightInd/>
              <w:snapToGrid/>
              <w:ind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一、基本情况：</w:t>
            </w:r>
          </w:p>
          <w:p w14:paraId="2DEE8258">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为提升南宁中心血站整体形象，优化停车环境，拟对本站围墙及生态停车场路面进行修缮。项目总投资为79万元，设计费招标控制价为3.04万元，设计范围包括单车棚工程设计、围墙工程设计、沥青道路工程设计。设计周期为合同签订后30天。</w:t>
            </w:r>
          </w:p>
          <w:p w14:paraId="093DCCD4">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二、服务内容及要求：</w:t>
            </w:r>
          </w:p>
          <w:p w14:paraId="744B3800">
            <w:pPr>
              <w:keepNext w:val="0"/>
              <w:keepLines w:val="0"/>
              <w:pageBreakBefore w:val="0"/>
              <w:widowControl/>
              <w:numPr>
                <w:ilvl w:val="-1"/>
                <w:numId w:val="0"/>
              </w:numPr>
              <w:kinsoku/>
              <w:wordWrap/>
              <w:overflowPunct/>
              <w:topLinePunct w:val="0"/>
              <w:autoSpaceDE/>
              <w:autoSpaceDN/>
              <w:bidi w:val="0"/>
              <w:adjustRightInd/>
              <w:snapToGrid/>
              <w:ind w:left="0" w:leftChars="0" w:firstLine="422" w:firstLineChars="20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1、</w:t>
            </w:r>
            <w:r>
              <w:rPr>
                <w:rFonts w:hint="eastAsia" w:asciiTheme="minorEastAsia" w:hAnsiTheme="minorEastAsia" w:eastAsiaTheme="minorEastAsia" w:cstheme="minorEastAsia"/>
                <w:b/>
                <w:bCs/>
                <w:sz w:val="21"/>
                <w:szCs w:val="21"/>
                <w:lang w:val="en-US" w:eastAsia="zh-CN"/>
              </w:rPr>
              <w:t>单车棚工程</w:t>
            </w:r>
          </w:p>
          <w:p w14:paraId="3B8015C0">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(1)结构要安全稳固，材料须选择耐腐蚀且具有防火性能的材料；</w:t>
            </w:r>
          </w:p>
          <w:p w14:paraId="6E2A5705">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(2)根据采购人车辆数量动态设计，预留扩展空间以及满足未来需求；</w:t>
            </w:r>
          </w:p>
          <w:p w14:paraId="436FCCC9">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(3)须具有安全监控、智能充电、防雨防晒防积水的功能。</w:t>
            </w:r>
          </w:p>
          <w:p w14:paraId="0BA8E8FB">
            <w:pPr>
              <w:keepNext w:val="0"/>
              <w:keepLines w:val="0"/>
              <w:pageBreakBefore w:val="0"/>
              <w:widowControl/>
              <w:numPr>
                <w:ilvl w:val="-1"/>
                <w:numId w:val="0"/>
              </w:numPr>
              <w:kinsoku/>
              <w:wordWrap/>
              <w:overflowPunct/>
              <w:topLinePunct w:val="0"/>
              <w:autoSpaceDE/>
              <w:autoSpaceDN/>
              <w:bidi w:val="0"/>
              <w:adjustRightInd/>
              <w:snapToGrid/>
              <w:ind w:left="0" w:leftChars="0" w:firstLine="422" w:firstLineChars="20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2、</w:t>
            </w:r>
            <w:r>
              <w:rPr>
                <w:rFonts w:hint="eastAsia" w:asciiTheme="minorEastAsia" w:hAnsiTheme="minorEastAsia" w:eastAsiaTheme="minorEastAsia" w:cstheme="minorEastAsia"/>
                <w:b/>
                <w:bCs/>
                <w:sz w:val="21"/>
                <w:szCs w:val="21"/>
                <w:lang w:val="en-US" w:eastAsia="zh-CN"/>
              </w:rPr>
              <w:t>基础加固工程</w:t>
            </w:r>
          </w:p>
          <w:p w14:paraId="2CA0C619">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(1)围墙设计需要综合考虑功能性、安全性、美观性以及环境协调。围墙须高强度、耐风化、抗腐蚀、防水防渗漏；</w:t>
            </w:r>
          </w:p>
          <w:p w14:paraId="2FB79910">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(2)预留监控点位，视频监控覆盖无死角。</w:t>
            </w:r>
          </w:p>
          <w:p w14:paraId="01611FA3">
            <w:pPr>
              <w:keepNext w:val="0"/>
              <w:keepLines w:val="0"/>
              <w:pageBreakBefore w:val="0"/>
              <w:widowControl/>
              <w:numPr>
                <w:ilvl w:val="-1"/>
                <w:numId w:val="0"/>
              </w:numPr>
              <w:kinsoku/>
              <w:wordWrap/>
              <w:overflowPunct/>
              <w:topLinePunct w:val="0"/>
              <w:autoSpaceDE/>
              <w:autoSpaceDN/>
              <w:bidi w:val="0"/>
              <w:adjustRightInd/>
              <w:snapToGrid/>
              <w:ind w:left="0" w:leftChars="0" w:firstLine="422" w:firstLineChars="20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3、</w:t>
            </w:r>
            <w:r>
              <w:rPr>
                <w:rFonts w:hint="eastAsia" w:asciiTheme="minorEastAsia" w:hAnsiTheme="minorEastAsia" w:eastAsiaTheme="minorEastAsia" w:cstheme="minorEastAsia"/>
                <w:b/>
                <w:bCs/>
                <w:sz w:val="21"/>
                <w:szCs w:val="21"/>
                <w:lang w:val="en-US" w:eastAsia="zh-CN"/>
              </w:rPr>
              <w:t>建筑装饰工程</w:t>
            </w:r>
          </w:p>
          <w:p w14:paraId="0653865A">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(1)符合现行行业规范与国家标准；</w:t>
            </w:r>
          </w:p>
          <w:p w14:paraId="3D6B2986">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(2)兼顾安全性、耐久性与经济性；</w:t>
            </w:r>
          </w:p>
          <w:p w14:paraId="6CC702E7">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(3)具有抗滑、抗裂，防水漂、排水等性能，整体强度符合相关行业标准。</w:t>
            </w:r>
          </w:p>
          <w:p w14:paraId="373E3A70">
            <w:pPr>
              <w:keepNext w:val="0"/>
              <w:keepLines w:val="0"/>
              <w:pageBreakBefore w:val="0"/>
              <w:widowControl/>
              <w:numPr>
                <w:ilvl w:val="-1"/>
                <w:numId w:val="0"/>
              </w:numPr>
              <w:kinsoku/>
              <w:wordWrap/>
              <w:overflowPunct/>
              <w:topLinePunct w:val="0"/>
              <w:autoSpaceDE/>
              <w:autoSpaceDN/>
              <w:bidi w:val="0"/>
              <w:adjustRightInd/>
              <w:snapToGrid/>
              <w:ind w:leftChars="0"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三、其他要求：</w:t>
            </w:r>
          </w:p>
          <w:p w14:paraId="78877366">
            <w:pPr>
              <w:bidi w:val="0"/>
              <w:ind w:firstLine="420" w:firstLineChars="200"/>
              <w:rPr>
                <w:rFonts w:hint="eastAsia"/>
                <w:lang w:val="en-US" w:eastAsia="zh-CN"/>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color w:val="auto"/>
                <w:sz w:val="21"/>
                <w:szCs w:val="21"/>
                <w:lang w:val="en-US" w:eastAsia="zh-CN"/>
              </w:rPr>
              <w:t>计成果</w:t>
            </w:r>
            <w:r>
              <w:rPr>
                <w:rFonts w:hint="eastAsia" w:asciiTheme="minorEastAsia" w:hAnsiTheme="minorEastAsia" w:eastAsiaTheme="minorEastAsia" w:cstheme="minorEastAsia"/>
                <w:color w:val="auto"/>
                <w:sz w:val="21"/>
                <w:szCs w:val="21"/>
              </w:rPr>
              <w:t>须包含以下所有专业的全套施工图，深度须满足《建筑工程设计文件编制深度规定》，并能直接用于施工图审查和工程招标：</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1.</w:t>
            </w:r>
            <w:r>
              <w:rPr>
                <w:rStyle w:val="19"/>
                <w:rFonts w:hint="eastAsia" w:asciiTheme="minorEastAsia" w:hAnsiTheme="minorEastAsia" w:eastAsiaTheme="minorEastAsia" w:cstheme="minorEastAsia"/>
                <w:b/>
                <w:bCs/>
                <w:i w:val="0"/>
                <w:iCs w:val="0"/>
                <w:caps w:val="0"/>
                <w:color w:val="auto"/>
                <w:spacing w:val="0"/>
                <w:sz w:val="21"/>
                <w:szCs w:val="21"/>
                <w:shd w:val="clear" w:fill="FFFFFF"/>
              </w:rPr>
              <w:t>建筑专业</w:t>
            </w:r>
            <w:r>
              <w:rPr>
                <w:rFonts w:hint="eastAsia" w:asciiTheme="minorEastAsia" w:hAnsiTheme="minorEastAsia" w:eastAsiaTheme="minorEastAsia" w:cstheme="minorEastAsia"/>
                <w:i w:val="0"/>
                <w:iCs w:val="0"/>
                <w:caps w:val="0"/>
                <w:color w:val="auto"/>
                <w:spacing w:val="0"/>
                <w:sz w:val="21"/>
                <w:szCs w:val="21"/>
                <w:shd w:val="clear" w:fill="FFFFFF"/>
              </w:rPr>
              <w:t>：</w:t>
            </w:r>
            <w:r>
              <w:rPr>
                <w:rFonts w:hint="eastAsia" w:asciiTheme="minorEastAsia" w:hAnsiTheme="minorEastAsia" w:eastAsiaTheme="minorEastAsia" w:cstheme="minorEastAsia"/>
                <w:color w:val="auto"/>
                <w:sz w:val="21"/>
                <w:szCs w:val="21"/>
              </w:rPr>
              <w:t>总图、平面、立面、剖面、详图（含</w:t>
            </w:r>
            <w:r>
              <w:rPr>
                <w:rFonts w:hint="eastAsia" w:asciiTheme="minorEastAsia" w:hAnsiTheme="minorEastAsia" w:eastAsiaTheme="minorEastAsia" w:cstheme="minorEastAsia"/>
                <w:color w:val="auto"/>
                <w:sz w:val="21"/>
                <w:szCs w:val="21"/>
                <w:lang w:val="en-US" w:eastAsia="zh-CN"/>
              </w:rPr>
              <w:t>棚体</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墙体</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材质造型</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2.</w:t>
            </w:r>
            <w:r>
              <w:rPr>
                <w:rStyle w:val="19"/>
                <w:rFonts w:hint="eastAsia" w:asciiTheme="minorEastAsia" w:hAnsiTheme="minorEastAsia" w:eastAsiaTheme="minorEastAsia" w:cstheme="minorEastAsia"/>
                <w:b/>
                <w:bCs/>
                <w:i w:val="0"/>
                <w:iCs w:val="0"/>
                <w:caps w:val="0"/>
                <w:color w:val="auto"/>
                <w:spacing w:val="0"/>
                <w:sz w:val="21"/>
                <w:szCs w:val="21"/>
                <w:shd w:val="clear" w:fill="FFFFFF"/>
              </w:rPr>
              <w:t>结构专业</w:t>
            </w:r>
            <w:r>
              <w:rPr>
                <w:rFonts w:hint="eastAsia" w:asciiTheme="minorEastAsia" w:hAnsiTheme="minorEastAsia" w:eastAsiaTheme="minorEastAsia" w:cstheme="minorEastAsia"/>
                <w:i w:val="0"/>
                <w:iCs w:val="0"/>
                <w:caps w:val="0"/>
                <w:color w:val="auto"/>
                <w:spacing w:val="0"/>
                <w:sz w:val="21"/>
                <w:szCs w:val="21"/>
                <w:shd w:val="clear" w:fill="FFFFFF"/>
              </w:rPr>
              <w:t>：</w:t>
            </w:r>
            <w:r>
              <w:rPr>
                <w:rFonts w:hint="eastAsia" w:asciiTheme="minorEastAsia" w:hAnsiTheme="minorEastAsia" w:eastAsiaTheme="minorEastAsia" w:cstheme="minorEastAsia"/>
                <w:color w:val="auto"/>
                <w:sz w:val="21"/>
                <w:szCs w:val="21"/>
              </w:rPr>
              <w:t>基础、主体结构设计详图及计算书。</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3.</w:t>
            </w:r>
            <w:r>
              <w:rPr>
                <w:rStyle w:val="19"/>
                <w:rFonts w:hint="eastAsia" w:asciiTheme="minorEastAsia" w:hAnsiTheme="minorEastAsia" w:eastAsiaTheme="minorEastAsia" w:cstheme="minorEastAsia"/>
                <w:b/>
                <w:bCs/>
                <w:i w:val="0"/>
                <w:iCs w:val="0"/>
                <w:caps w:val="0"/>
                <w:color w:val="auto"/>
                <w:spacing w:val="0"/>
                <w:sz w:val="21"/>
                <w:szCs w:val="21"/>
                <w:shd w:val="clear" w:fill="FFFFFF"/>
              </w:rPr>
              <w:t>给排水专业</w:t>
            </w:r>
            <w:r>
              <w:rPr>
                <w:rFonts w:hint="eastAsia" w:asciiTheme="minorEastAsia" w:hAnsiTheme="minorEastAsia" w:eastAsiaTheme="minorEastAsia" w:cstheme="minorEastAsia"/>
                <w:i w:val="0"/>
                <w:iCs w:val="0"/>
                <w:caps w:val="0"/>
                <w:color w:val="auto"/>
                <w:spacing w:val="0"/>
                <w:sz w:val="21"/>
                <w:szCs w:val="21"/>
                <w:shd w:val="clear" w:fill="FFFFFF"/>
              </w:rPr>
              <w:t>：</w:t>
            </w:r>
            <w:r>
              <w:rPr>
                <w:rFonts w:hint="eastAsia" w:asciiTheme="minorEastAsia" w:hAnsiTheme="minorEastAsia" w:eastAsiaTheme="minorEastAsia" w:cstheme="minorEastAsia"/>
                <w:color w:val="auto"/>
                <w:sz w:val="21"/>
                <w:szCs w:val="21"/>
              </w:rPr>
              <w:t>排水系统图。</w:t>
            </w:r>
            <w:r>
              <w:rPr>
                <w:rFonts w:hint="eastAsia" w:asciiTheme="minorEastAsia" w:hAnsiTheme="minorEastAsia" w:eastAsiaTheme="minorEastAsia" w:cstheme="minorEastAsia"/>
                <w:i w:val="0"/>
                <w:iCs w:val="0"/>
                <w:caps w:val="0"/>
                <w:color w:val="auto"/>
                <w:spacing w:val="0"/>
                <w:sz w:val="21"/>
                <w:szCs w:val="21"/>
                <w:shd w:val="clear" w:fill="FFFFFF"/>
              </w:rPr>
              <w:br w:type="textWrapping"/>
            </w:r>
            <w:r>
              <w:rPr>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4.</w:t>
            </w:r>
            <w:r>
              <w:rPr>
                <w:rStyle w:val="19"/>
                <w:rFonts w:hint="eastAsia" w:asciiTheme="minorEastAsia" w:hAnsiTheme="minorEastAsia" w:eastAsiaTheme="minorEastAsia" w:cstheme="minorEastAsia"/>
                <w:b/>
                <w:bCs/>
                <w:i w:val="0"/>
                <w:iCs w:val="0"/>
                <w:caps w:val="0"/>
                <w:color w:val="auto"/>
                <w:spacing w:val="0"/>
                <w:sz w:val="21"/>
                <w:szCs w:val="21"/>
                <w:shd w:val="clear" w:fill="FFFFFF"/>
                <w:lang w:val="en-US" w:eastAsia="zh-CN"/>
              </w:rPr>
              <w:t>电气</w:t>
            </w:r>
            <w:r>
              <w:rPr>
                <w:rStyle w:val="19"/>
                <w:rFonts w:hint="eastAsia" w:asciiTheme="minorEastAsia" w:hAnsiTheme="minorEastAsia" w:eastAsiaTheme="minorEastAsia" w:cstheme="minorEastAsia"/>
                <w:b/>
                <w:bCs/>
                <w:i w:val="0"/>
                <w:iCs w:val="0"/>
                <w:caps w:val="0"/>
                <w:color w:val="auto"/>
                <w:spacing w:val="0"/>
                <w:sz w:val="21"/>
                <w:szCs w:val="21"/>
                <w:shd w:val="clear" w:fill="FFFFFF"/>
              </w:rPr>
              <w:t>智能化专业</w:t>
            </w:r>
            <w:r>
              <w:rPr>
                <w:rFonts w:hint="eastAsia" w:asciiTheme="minorEastAsia" w:hAnsiTheme="minorEastAsia" w:eastAsiaTheme="minorEastAsia" w:cstheme="minorEastAsia"/>
                <w:i w:val="0"/>
                <w:iCs w:val="0"/>
                <w:caps w:val="0"/>
                <w:color w:val="auto"/>
                <w:spacing w:val="0"/>
                <w:sz w:val="21"/>
                <w:szCs w:val="21"/>
                <w:shd w:val="clear" w:fill="FFFFFF"/>
              </w:rPr>
              <w:t>：</w:t>
            </w:r>
            <w:r>
              <w:rPr>
                <w:rFonts w:hint="eastAsia" w:asciiTheme="minorEastAsia" w:hAnsiTheme="minorEastAsia" w:eastAsiaTheme="minorEastAsia" w:cstheme="minorEastAsia"/>
                <w:i w:val="0"/>
                <w:iCs w:val="0"/>
                <w:caps w:val="0"/>
                <w:color w:val="auto"/>
                <w:spacing w:val="0"/>
                <w:sz w:val="21"/>
                <w:szCs w:val="21"/>
                <w:shd w:val="clear" w:fill="FFFFFF"/>
                <w:lang w:val="en-US" w:eastAsia="zh-CN"/>
              </w:rPr>
              <w:t>强电、弱电、</w:t>
            </w:r>
            <w:r>
              <w:rPr>
                <w:rFonts w:hint="eastAsia" w:asciiTheme="minorEastAsia" w:hAnsiTheme="minorEastAsia" w:eastAsiaTheme="minorEastAsia" w:cstheme="minorEastAsia"/>
                <w:color w:val="auto"/>
                <w:sz w:val="21"/>
                <w:szCs w:val="21"/>
              </w:rPr>
              <w:t>环境监控等系统图。</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南宁中心血站围墙及生态停车场路面修缮工程设计服务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3" w:name="_Toc521096352"/>
      <w:bookmarkStart w:id="4" w:name="_Toc460253713"/>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56918567">
            <w:pPr>
              <w:keepNext w:val="0"/>
              <w:keepLines w:val="0"/>
              <w:widowControl w:val="0"/>
              <w:numPr>
                <w:ilvl w:val="0"/>
                <w:numId w:val="0"/>
              </w:numPr>
              <w:suppressLineNumbers w:val="0"/>
              <w:spacing w:before="0" w:beforeAutospacing="0" w:after="0" w:afterAutospacing="0" w:line="276" w:lineRule="auto"/>
              <w:ind w:leftChars="0" w:right="0" w:rightChars="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lang w:val="en-US" w:eastAsia="zh-CN"/>
              </w:rPr>
              <w:t>合同签订期</w:t>
            </w:r>
            <w:r>
              <w:rPr>
                <w:rFonts w:hint="eastAsia" w:asciiTheme="minorEastAsia" w:hAnsiTheme="minorEastAsia" w:cstheme="minorEastAsia"/>
                <w:b/>
                <w:bCs/>
                <w:lang w:val="en-US" w:eastAsia="zh-CN"/>
              </w:rPr>
              <w:t>：</w:t>
            </w:r>
            <w:r>
              <w:rPr>
                <w:rFonts w:hint="eastAsia" w:asciiTheme="minorEastAsia" w:hAnsiTheme="minorEastAsia" w:eastAsiaTheme="minorEastAsia" w:cstheme="minorEastAsia"/>
                <w:b w:val="0"/>
                <w:bCs w:val="0"/>
                <w:lang w:val="en-US" w:eastAsia="zh-CN"/>
              </w:rPr>
              <w:t>自采购结果公示结束后10个工作日内。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E42F0D1">
            <w:pPr>
              <w:bidi w:val="0"/>
              <w:rPr>
                <w:rFonts w:hint="eastAsia" w:asciiTheme="minorEastAsia" w:hAnsiTheme="minorEastAsia" w:eastAsiaTheme="minorEastAsia" w:cstheme="minorEastAsia"/>
                <w:color w:val="auto"/>
                <w:kern w:val="2"/>
                <w:szCs w:val="21"/>
                <w:lang w:val="en-US" w:eastAsia="zh-CN" w:bidi="ar-SA"/>
              </w:rPr>
            </w:pPr>
            <w:r>
              <w:rPr>
                <w:rFonts w:hint="eastAsia"/>
                <w:b/>
                <w:bCs/>
                <w:lang w:val="en-US" w:eastAsia="zh-CN"/>
              </w:rPr>
              <w:t>设计服务期限：</w:t>
            </w:r>
            <w:r>
              <w:rPr>
                <w:rFonts w:hint="eastAsia"/>
              </w:rPr>
              <w:t>自合同签订之日起</w:t>
            </w:r>
            <w:r>
              <w:rPr>
                <w:rFonts w:hint="eastAsia"/>
                <w:lang w:val="en-US" w:eastAsia="zh-CN"/>
              </w:rPr>
              <w:t>30日内完成设计，并交付全部设计成果</w:t>
            </w:r>
            <w:r>
              <w:rPr>
                <w:rFonts w:hint="eastAsia"/>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Theme="minorEastAsia" w:hAnsiTheme="minorEastAsia" w:eastAsiaTheme="minorEastAsia" w:cstheme="minorEastAsia"/>
                <w:b/>
                <w:bCs/>
                <w:sz w:val="21"/>
                <w:szCs w:val="21"/>
              </w:rPr>
              <w:t>项目实施地点:</w:t>
            </w:r>
            <w:r>
              <w:rPr>
                <w:rFonts w:hint="eastAsia" w:asciiTheme="minorEastAsia" w:hAnsiTheme="minorEastAsia" w:eastAsiaTheme="minorEastAsia" w:cstheme="minorEastAsia"/>
                <w:sz w:val="21"/>
                <w:szCs w:val="21"/>
                <w:lang w:val="en-US" w:eastAsia="zh-CN"/>
              </w:rPr>
              <w:t>南宁市科园大道18号</w:t>
            </w:r>
            <w:r>
              <w:rPr>
                <w:rFonts w:hint="eastAsia" w:asciiTheme="minorEastAsia" w:hAnsiTheme="minorEastAsia" w:eastAsiaTheme="minorEastAsia" w:cstheme="minorEastAsia"/>
                <w:sz w:val="21"/>
                <w:szCs w:val="21"/>
              </w:rPr>
              <w:t>。</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14A1EA4A">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售后服务要求:</w:t>
            </w:r>
          </w:p>
          <w:p w14:paraId="5DD63A6A">
            <w:pPr>
              <w:pStyle w:val="3"/>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.处理问题响应时间：接到采购人处理问题通知后，1小时内给出反馈。</w:t>
            </w:r>
            <w:r>
              <w:rPr>
                <w:rFonts w:hint="eastAsia" w:asciiTheme="minorEastAsia" w:hAnsiTheme="minorEastAsia" w:eastAsiaTheme="minorEastAsia" w:cstheme="minorEastAsia"/>
                <w:sz w:val="21"/>
                <w:szCs w:val="21"/>
                <w:lang w:val="en-US" w:eastAsia="zh-CN"/>
              </w:rPr>
              <w:t>按采购人要求达到指定现场，</w:t>
            </w:r>
            <w:r>
              <w:rPr>
                <w:rFonts w:hint="eastAsia"/>
                <w:lang w:val="en-US" w:eastAsia="zh-CN"/>
              </w:rPr>
              <w:t>到达现场后1天内给出反馈，3天内解决采购人提出的问题。</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1304F345">
            <w:pPr>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服务质量要求：</w:t>
            </w:r>
          </w:p>
          <w:p w14:paraId="708B1D5B">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1.所有设计成果的知识产权归</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所有，未经</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许可不得用于其他项目</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如因</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提供的设计成果出现侵权行为造成的经济损失，由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负责解决并承担</w:t>
            </w:r>
            <w:r>
              <w:rPr>
                <w:rFonts w:hint="eastAsia" w:asciiTheme="minorEastAsia" w:hAnsiTheme="minorEastAsia" w:eastAsiaTheme="minorEastAsia" w:cstheme="minorEastAsia"/>
                <w:sz w:val="21"/>
                <w:szCs w:val="21"/>
                <w:lang w:val="en-US" w:eastAsia="zh-CN"/>
              </w:rPr>
              <w:t>相应责任</w:t>
            </w:r>
            <w:r>
              <w:rPr>
                <w:rFonts w:hint="eastAsia" w:asciiTheme="minorEastAsia" w:hAnsiTheme="minorEastAsia" w:eastAsiaTheme="minorEastAsia" w:cstheme="minorEastAsia"/>
                <w:sz w:val="21"/>
                <w:szCs w:val="21"/>
              </w:rPr>
              <w:t>。</w:t>
            </w:r>
          </w:p>
          <w:p w14:paraId="25E4B73A">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2.如采购人审核要求对相关设计内容进行修改、调整时，</w:t>
            </w:r>
            <w:r>
              <w:rPr>
                <w:rFonts w:hint="eastAsia" w:asciiTheme="minorEastAsia" w:hAnsiTheme="minorEastAsia" w:eastAsiaTheme="minorEastAsia" w:cstheme="minorEastAsia"/>
                <w:sz w:val="21"/>
                <w:szCs w:val="21"/>
                <w:lang w:val="en-US" w:eastAsia="zh-CN"/>
              </w:rPr>
              <w:t>成交供应商须</w:t>
            </w:r>
            <w:r>
              <w:rPr>
                <w:rFonts w:hint="eastAsia" w:asciiTheme="minorEastAsia" w:hAnsiTheme="minorEastAsia" w:eastAsiaTheme="minorEastAsia" w:cstheme="minorEastAsia"/>
                <w:sz w:val="21"/>
                <w:szCs w:val="21"/>
              </w:rPr>
              <w:t>按采购人的要求进行优化改进，采购人审核通过后方</w:t>
            </w:r>
            <w:r>
              <w:rPr>
                <w:rFonts w:hint="eastAsia" w:asciiTheme="minorEastAsia" w:hAnsiTheme="minorEastAsia" w:eastAsiaTheme="minorEastAsia" w:cstheme="minorEastAsia"/>
                <w:sz w:val="21"/>
                <w:szCs w:val="21"/>
                <w:lang w:val="en-US" w:eastAsia="zh-CN"/>
              </w:rPr>
              <w:t>可</w:t>
            </w:r>
            <w:r>
              <w:rPr>
                <w:rFonts w:hint="eastAsia" w:asciiTheme="minorEastAsia" w:hAnsiTheme="minorEastAsia" w:eastAsiaTheme="minorEastAsia" w:cstheme="minorEastAsia"/>
                <w:sz w:val="21"/>
                <w:szCs w:val="21"/>
              </w:rPr>
              <w:t>定稿，否则引起的经济损失等后果由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承担；</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cstheme="minorEastAsia"/>
                <w:sz w:val="21"/>
                <w:szCs w:val="21"/>
                <w:lang w:val="en-US" w:eastAsia="zh-CN"/>
              </w:rPr>
              <w:t>服务</w:t>
            </w:r>
            <w:r>
              <w:rPr>
                <w:rFonts w:hint="eastAsia" w:asciiTheme="minorEastAsia" w:hAnsiTheme="minorEastAsia" w:eastAsiaTheme="minorEastAsia" w:cstheme="minorEastAsia"/>
                <w:sz w:val="21"/>
                <w:szCs w:val="21"/>
              </w:rPr>
              <w:t>过程中</w:t>
            </w:r>
            <w:r>
              <w:rPr>
                <w:rFonts w:hint="eastAsia" w:asciiTheme="minorEastAsia" w:hAnsiTheme="minorEastAsia" w:eastAsiaTheme="minorEastAsia" w:cstheme="minorEastAsia"/>
                <w:sz w:val="21"/>
                <w:szCs w:val="21"/>
                <w:lang w:val="en-US" w:eastAsia="zh-CN"/>
              </w:rPr>
              <w:t>出现由己</w:t>
            </w:r>
            <w:r>
              <w:rPr>
                <w:rFonts w:hint="eastAsia" w:asciiTheme="minorEastAsia" w:hAnsiTheme="minorEastAsia" w:eastAsiaTheme="minorEastAsia" w:cstheme="minorEastAsia"/>
                <w:sz w:val="21"/>
                <w:szCs w:val="21"/>
              </w:rPr>
              <w:t>方原因造成的错漏等失误，由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负责改正，相关费用由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自行承担。若设计过程中发生变更，</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有责任同步更新所有相关图纸、预算及文档，并确保版本一致。</w:t>
            </w:r>
          </w:p>
          <w:p w14:paraId="3BB015CF">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3.成交供应商</w:t>
            </w:r>
            <w:r>
              <w:rPr>
                <w:rFonts w:hint="eastAsia" w:asciiTheme="minorEastAsia" w:hAnsiTheme="minorEastAsia" w:eastAsiaTheme="minorEastAsia" w:cstheme="minorEastAsia"/>
                <w:sz w:val="21"/>
                <w:szCs w:val="21"/>
              </w:rPr>
              <w:t>有义务根据施工图审查机构的意见，修改并重新提交相关设计文件，直至审查通过。</w:t>
            </w:r>
          </w:p>
          <w:p w14:paraId="6C8876B1">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sz w:val="21"/>
                <w:szCs w:val="21"/>
                <w:lang w:val="en-US" w:eastAsia="zh-CN"/>
              </w:rPr>
              <w:t>4.图纸交付后，成交供应商须提供必要的技术交底和施工配合服务，解决与设计相关的现场技术问题。</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2DC732BA">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其他要求:</w:t>
            </w:r>
          </w:p>
          <w:p w14:paraId="648E9117">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本项目为总价包干，报价包含：</w:t>
            </w:r>
          </w:p>
          <w:p w14:paraId="44D4934B">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（1）设计服务的价格；</w:t>
            </w:r>
          </w:p>
          <w:p w14:paraId="2BE820A7">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（2）必要的保险费用和各项税金；</w:t>
            </w:r>
          </w:p>
          <w:p w14:paraId="4E3D5082">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（3）其他包括但不限于技术支持、售后服务等与本项目相关的各项费用。</w:t>
            </w:r>
          </w:p>
          <w:p w14:paraId="22D7BAD3">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2.付款方式：签订合同之日起10个工作日内支付50%合同款，项目通过采购人验收后支付剩余50%合同款。（付款前</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须提供等额合规的增值税普通发票给采购人）</w:t>
            </w:r>
          </w:p>
          <w:p w14:paraId="74E3EA89">
            <w:pP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3.成交供应商未按《采购项目需求一览表》中的内容提供服务或服</w:t>
            </w:r>
            <w:r>
              <w:rPr>
                <w:rFonts w:hint="eastAsia" w:asciiTheme="minorEastAsia" w:hAnsiTheme="minorEastAsia" w:eastAsiaTheme="minorEastAsia" w:cstheme="minorEastAsia"/>
                <w:color w:val="000000" w:themeColor="text1"/>
                <w:sz w:val="21"/>
                <w:szCs w:val="21"/>
                <w14:textFill>
                  <w14:solidFill>
                    <w14:schemeClr w14:val="tx1"/>
                  </w14:solidFill>
                </w14:textFill>
              </w:rPr>
              <w:t>务未达</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相关</w:t>
            </w:r>
            <w:r>
              <w:rPr>
                <w:rFonts w:hint="eastAsia" w:asciiTheme="minorEastAsia" w:hAnsiTheme="minorEastAsia" w:eastAsiaTheme="minorEastAsia" w:cstheme="minorEastAsia"/>
                <w:color w:val="000000" w:themeColor="text1"/>
                <w:sz w:val="21"/>
                <w:szCs w:val="21"/>
                <w14:textFill>
                  <w14:solidFill>
                    <w14:schemeClr w14:val="tx1"/>
                  </w14:solidFill>
                </w14:textFill>
              </w:rPr>
              <w:t>标准的采购人可解除本合同。</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20197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7D5A38E">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24E8AAED">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验收条件及标准:</w:t>
            </w:r>
          </w:p>
          <w:p w14:paraId="3A18AB20">
            <w:pPr>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sz w:val="21"/>
                <w:szCs w:val="21"/>
              </w:rPr>
              <w:t>本项目所有服务完成</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且项目施工完成竣工验收后，成交供应商</w:t>
            </w:r>
            <w:r>
              <w:rPr>
                <w:rFonts w:hint="eastAsia" w:asciiTheme="minorEastAsia" w:hAnsiTheme="minorEastAsia" w:eastAsiaTheme="minorEastAsia" w:cstheme="minorEastAsia"/>
                <w:sz w:val="21"/>
                <w:szCs w:val="21"/>
              </w:rPr>
              <w:t>可向采购人提出验收申请。</w:t>
            </w:r>
          </w:p>
        </w:tc>
        <w:tc>
          <w:tcPr>
            <w:tcW w:w="3225" w:type="dxa"/>
            <w:shd w:val="clear" w:color="auto" w:fill="auto"/>
            <w:vAlign w:val="center"/>
          </w:tcPr>
          <w:p w14:paraId="5E2C0C8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3431CAF2">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94F5C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4B47B6CF">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52427DC9">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发生以下情形，采购人有权解除合同：</w:t>
            </w:r>
          </w:p>
          <w:p w14:paraId="7FABD86C">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1.因不可抗拒因素导致无法运营</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2C12A44F">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2.服务情况与合同约定要求偏差较大</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7BDE4288">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3.服务期间因</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过错对采购人造成不利影响或重大负面舆情的，采购人有权解除合同，扣除服务款项并追究相关责任。</w:t>
            </w:r>
          </w:p>
          <w:p w14:paraId="22E3C9F6">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kern w:val="2"/>
                <w:sz w:val="21"/>
                <w:szCs w:val="21"/>
                <w:lang w:val="en-US" w:eastAsia="zh-CN" w:bidi="ar-SA"/>
              </w:rPr>
              <w:t>4.</w:t>
            </w:r>
            <w:r>
              <w:rPr>
                <w:rFonts w:hint="eastAsia" w:asciiTheme="minorEastAsia" w:hAnsiTheme="minorEastAsia" w:eastAsiaTheme="minorEastAsia" w:cstheme="minorEastAsia"/>
                <w:szCs w:val="21"/>
              </w:rPr>
              <w:t>被授权人作为</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的合法代表，在授权范围内负责与采购人对接服务事宜，</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对被授权人在服务期间的履职行为承担全部法律责任</w:t>
            </w:r>
            <w:r>
              <w:rPr>
                <w:rFonts w:hint="eastAsia" w:asciiTheme="minorEastAsia" w:hAnsiTheme="minorEastAsia" w:eastAsiaTheme="minorEastAsia" w:cstheme="minorEastAsia"/>
                <w:kern w:val="2"/>
                <w:sz w:val="21"/>
                <w:szCs w:val="21"/>
                <w:lang w:val="en-US" w:eastAsia="zh-CN" w:bidi="ar-SA"/>
              </w:rPr>
              <w:t>。如出现未经采购人同意，擅自发布不利于采购人利益或产生社会负面影响的信息，由成交供应商负责消除不良影响并承担消除影响的相关费用和责任，采购人可根据实际情况相应扣除服务费用，同时追究相关责任。</w:t>
            </w:r>
          </w:p>
          <w:p w14:paraId="76240668">
            <w:pPr>
              <w:ind w:firstLine="0" w:firstLineChars="0"/>
              <w:rPr>
                <w:rFonts w:hint="eastAsia" w:asciiTheme="minorEastAsia" w:hAnsiTheme="minorEastAsia" w:eastAsiaTheme="minorEastAsia" w:cstheme="minorEastAsia"/>
                <w:sz w:val="21"/>
                <w:szCs w:val="21"/>
              </w:rPr>
            </w:pPr>
          </w:p>
        </w:tc>
        <w:tc>
          <w:tcPr>
            <w:tcW w:w="3225" w:type="dxa"/>
            <w:shd w:val="clear" w:color="auto" w:fill="auto"/>
            <w:vAlign w:val="center"/>
          </w:tcPr>
          <w:p w14:paraId="6FD62190">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778BC45">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52FFFA5D">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8D34C83">
      <w:pPr>
        <w:rPr>
          <w:rFonts w:hint="eastAsia" w:ascii="仿宋" w:hAnsi="仿宋" w:eastAsia="仿宋" w:cstheme="minorEastAsia"/>
          <w:color w:val="auto"/>
          <w:sz w:val="28"/>
          <w:szCs w:val="28"/>
        </w:rPr>
      </w:pPr>
    </w:p>
    <w:p w14:paraId="790DD5E0">
      <w:pPr>
        <w:rPr>
          <w:rFonts w:hint="eastAsia" w:ascii="仿宋" w:hAnsi="仿宋" w:eastAsia="仿宋" w:cstheme="minorEastAsia"/>
          <w:color w:val="auto"/>
          <w:sz w:val="28"/>
          <w:szCs w:val="28"/>
        </w:rPr>
      </w:pPr>
    </w:p>
    <w:p w14:paraId="667FE810">
      <w:pPr>
        <w:rPr>
          <w:rFonts w:hint="eastAsia" w:ascii="仿宋" w:hAnsi="仿宋" w:eastAsia="仿宋" w:cstheme="minorEastAsia"/>
          <w:color w:val="auto"/>
          <w:sz w:val="28"/>
          <w:szCs w:val="28"/>
        </w:rPr>
      </w:pPr>
    </w:p>
    <w:p w14:paraId="16E712D3">
      <w:pPr>
        <w:rPr>
          <w:rFonts w:hint="eastAsia" w:ascii="仿宋" w:hAnsi="仿宋" w:eastAsia="仿宋" w:cstheme="minorEastAsia"/>
          <w:color w:val="auto"/>
          <w:sz w:val="28"/>
          <w:szCs w:val="28"/>
        </w:rPr>
      </w:pPr>
    </w:p>
    <w:p w14:paraId="3F7778FA">
      <w:pPr>
        <w:rPr>
          <w:rFonts w:hint="eastAsia" w:ascii="仿宋" w:hAnsi="仿宋" w:eastAsia="仿宋" w:cstheme="minorEastAsia"/>
          <w:color w:val="auto"/>
          <w:sz w:val="28"/>
          <w:szCs w:val="28"/>
        </w:rPr>
      </w:pPr>
    </w:p>
    <w:p w14:paraId="77AF52AD">
      <w:pPr>
        <w:rPr>
          <w:rFonts w:hint="eastAsia" w:ascii="仿宋" w:hAnsi="仿宋" w:eastAsia="仿宋" w:cstheme="minorEastAsia"/>
          <w:color w:val="auto"/>
          <w:sz w:val="28"/>
          <w:szCs w:val="28"/>
        </w:rPr>
      </w:pPr>
    </w:p>
    <w:p w14:paraId="51E5F955">
      <w:pPr>
        <w:rPr>
          <w:rFonts w:hint="eastAsia" w:ascii="仿宋" w:hAnsi="仿宋" w:eastAsia="仿宋" w:cstheme="minorEastAsia"/>
          <w:color w:val="auto"/>
          <w:sz w:val="28"/>
          <w:szCs w:val="28"/>
        </w:rPr>
      </w:pPr>
    </w:p>
    <w:p w14:paraId="63A3A8F7">
      <w:pPr>
        <w:rPr>
          <w:rFonts w:hint="eastAsia" w:ascii="仿宋" w:hAnsi="仿宋" w:eastAsia="仿宋" w:cstheme="minorEastAsia"/>
          <w:color w:val="auto"/>
          <w:sz w:val="28"/>
          <w:szCs w:val="28"/>
        </w:rPr>
      </w:pPr>
    </w:p>
    <w:p w14:paraId="44EA86AA">
      <w:pPr>
        <w:rPr>
          <w:rFonts w:hint="eastAsia" w:ascii="仿宋" w:hAnsi="仿宋" w:eastAsia="仿宋" w:cstheme="minorEastAsia"/>
          <w:color w:val="auto"/>
          <w:sz w:val="28"/>
          <w:szCs w:val="28"/>
        </w:rPr>
      </w:pPr>
    </w:p>
    <w:p w14:paraId="34BE39DF">
      <w:pPr>
        <w:rPr>
          <w:rFonts w:hint="eastAsia" w:ascii="仿宋" w:hAnsi="仿宋" w:eastAsia="仿宋" w:cstheme="minorEastAsia"/>
          <w:color w:val="auto"/>
          <w:sz w:val="28"/>
          <w:szCs w:val="28"/>
        </w:rPr>
      </w:pPr>
    </w:p>
    <w:p w14:paraId="77F83C13">
      <w:pPr>
        <w:rPr>
          <w:rFonts w:hint="eastAsia" w:ascii="仿宋" w:hAnsi="仿宋" w:eastAsia="仿宋" w:cstheme="minorEastAsia"/>
          <w:color w:val="auto"/>
          <w:sz w:val="28"/>
          <w:szCs w:val="28"/>
        </w:rPr>
      </w:pPr>
    </w:p>
    <w:p w14:paraId="0635834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南宁中心血站围墙及生态停车场路面修缮工程设计服务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18F429-8DD2-4FA0-9AC4-62024BDD0F68}"/>
  </w:font>
  <w:font w:name="Courier New">
    <w:panose1 w:val="02070309020205020404"/>
    <w:charset w:val="01"/>
    <w:family w:val="modern"/>
    <w:pitch w:val="default"/>
    <w:sig w:usb0="E0002EFF" w:usb1="C0007843" w:usb2="00000009" w:usb3="00000000" w:csb0="400001FF" w:csb1="FFFF0000"/>
    <w:embedRegular r:id="rId2" w:fontKey="{8510EBD3-916A-4ACD-B470-B8E466637DC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E95B9B2-15F8-4B66-885F-6ACF8DF10B7E}"/>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FF36A7D-A40C-4992-BD28-E537B71C82FD}"/>
  </w:font>
  <w:font w:name="仿宋_GB2312">
    <w:panose1 w:val="02010609030101010101"/>
    <w:charset w:val="86"/>
    <w:family w:val="modern"/>
    <w:pitch w:val="default"/>
    <w:sig w:usb0="00000001" w:usb1="080E0000" w:usb2="00000000" w:usb3="00000000" w:csb0="00040000" w:csb1="00000000"/>
    <w:embedRegular r:id="rId5" w:fontKey="{1EF52734-8868-4D18-B3FC-E098B6566DE9}"/>
  </w:font>
  <w:font w:name="方正楷体_GB2312">
    <w:panose1 w:val="02000000000000000000"/>
    <w:charset w:val="86"/>
    <w:family w:val="auto"/>
    <w:pitch w:val="default"/>
    <w:sig w:usb0="A00002BF" w:usb1="184F6CFA" w:usb2="00000012" w:usb3="00000000" w:csb0="00040001" w:csb1="00000000"/>
    <w:embedRegular r:id="rId6" w:fontKey="{9882AAE1-6A82-498B-A439-75C1D2616D75}"/>
  </w:font>
  <w:font w:name="仿宋">
    <w:panose1 w:val="02010609060101010101"/>
    <w:charset w:val="86"/>
    <w:family w:val="modern"/>
    <w:pitch w:val="default"/>
    <w:sig w:usb0="800002BF" w:usb1="38CF7CFA" w:usb2="00000016" w:usb3="00000000" w:csb0="00040001" w:csb1="00000000"/>
    <w:embedRegular r:id="rId7" w:fontKey="{312BCB9A-4BDA-47DC-AFDC-A84155C6886B}"/>
  </w:font>
  <w:font w:name="Segoe UI">
    <w:panose1 w:val="020B0502040204020203"/>
    <w:charset w:val="00"/>
    <w:family w:val="auto"/>
    <w:pitch w:val="default"/>
    <w:sig w:usb0="E4002EFF" w:usb1="C000E47F" w:usb2="00000009" w:usb3="00000000" w:csb0="200001FF" w:csb1="00000000"/>
    <w:embedRegular r:id="rId8" w:fontKey="{856AB36A-41F9-4F4D-943B-98453C572ED9}"/>
  </w:font>
  <w:font w:name="Wingdings 2">
    <w:panose1 w:val="05020102010507070707"/>
    <w:charset w:val="02"/>
    <w:family w:val="roman"/>
    <w:pitch w:val="default"/>
    <w:sig w:usb0="00000000" w:usb1="00000000" w:usb2="00000000" w:usb3="00000000" w:csb0="80000000" w:csb1="00000000"/>
    <w:embedRegular r:id="rId9" w:fontKey="{77EE8A9B-D569-4C64-89EE-61B157E11FAC}"/>
  </w:font>
  <w:font w:name="方正公文小标宋">
    <w:panose1 w:val="02000500000000000000"/>
    <w:charset w:val="86"/>
    <w:family w:val="auto"/>
    <w:pitch w:val="default"/>
    <w:sig w:usb0="A00002BF" w:usb1="38CF7CFA" w:usb2="00000016" w:usb3="00000000" w:csb0="00040001" w:csb1="00000000"/>
    <w:embedRegular r:id="rId10" w:fontKey="{4E6F2D27-3E52-4D92-957A-4C7F81653F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387"/>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216"/>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C715DA"/>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3D74708"/>
    <w:rsid w:val="041A76C5"/>
    <w:rsid w:val="04581029"/>
    <w:rsid w:val="046C750A"/>
    <w:rsid w:val="047A748A"/>
    <w:rsid w:val="049B0B31"/>
    <w:rsid w:val="04CB5FDF"/>
    <w:rsid w:val="04DC0CC3"/>
    <w:rsid w:val="04E61B40"/>
    <w:rsid w:val="04E92909"/>
    <w:rsid w:val="05040F0B"/>
    <w:rsid w:val="05154836"/>
    <w:rsid w:val="0516342C"/>
    <w:rsid w:val="05171224"/>
    <w:rsid w:val="05244B6E"/>
    <w:rsid w:val="053F54D7"/>
    <w:rsid w:val="054D5841"/>
    <w:rsid w:val="06A16DBF"/>
    <w:rsid w:val="06F046AA"/>
    <w:rsid w:val="079D6B68"/>
    <w:rsid w:val="07AF5618"/>
    <w:rsid w:val="07D85F5F"/>
    <w:rsid w:val="08517143"/>
    <w:rsid w:val="087A48E9"/>
    <w:rsid w:val="088F7924"/>
    <w:rsid w:val="089A027A"/>
    <w:rsid w:val="08D15069"/>
    <w:rsid w:val="0969578F"/>
    <w:rsid w:val="09837E6C"/>
    <w:rsid w:val="09E76B80"/>
    <w:rsid w:val="09FF6A5C"/>
    <w:rsid w:val="0A4D5C46"/>
    <w:rsid w:val="0ADD32F7"/>
    <w:rsid w:val="0B656E1E"/>
    <w:rsid w:val="0BC81D9A"/>
    <w:rsid w:val="0C0A5403"/>
    <w:rsid w:val="0C145497"/>
    <w:rsid w:val="0C216BFA"/>
    <w:rsid w:val="0D005685"/>
    <w:rsid w:val="0D24375F"/>
    <w:rsid w:val="0D814026"/>
    <w:rsid w:val="0D8E229F"/>
    <w:rsid w:val="0D941D88"/>
    <w:rsid w:val="0DBF3613"/>
    <w:rsid w:val="0DC81C4F"/>
    <w:rsid w:val="0E656964"/>
    <w:rsid w:val="0E9E654C"/>
    <w:rsid w:val="0EA24D69"/>
    <w:rsid w:val="0F2E5AE8"/>
    <w:rsid w:val="0FF451BB"/>
    <w:rsid w:val="104B2BA1"/>
    <w:rsid w:val="10C3645F"/>
    <w:rsid w:val="10D74B39"/>
    <w:rsid w:val="10DF458E"/>
    <w:rsid w:val="10E8616A"/>
    <w:rsid w:val="1125116C"/>
    <w:rsid w:val="114A5E54"/>
    <w:rsid w:val="11511160"/>
    <w:rsid w:val="115630D4"/>
    <w:rsid w:val="1187380C"/>
    <w:rsid w:val="1194486F"/>
    <w:rsid w:val="11972D06"/>
    <w:rsid w:val="11991213"/>
    <w:rsid w:val="11BD2408"/>
    <w:rsid w:val="11C92BA2"/>
    <w:rsid w:val="11CB1987"/>
    <w:rsid w:val="12114284"/>
    <w:rsid w:val="123E43E9"/>
    <w:rsid w:val="12C67FE1"/>
    <w:rsid w:val="12DE7825"/>
    <w:rsid w:val="12EC7CD9"/>
    <w:rsid w:val="12FD6C27"/>
    <w:rsid w:val="13131232"/>
    <w:rsid w:val="13347F43"/>
    <w:rsid w:val="13543637"/>
    <w:rsid w:val="13741F37"/>
    <w:rsid w:val="139070DD"/>
    <w:rsid w:val="139850E7"/>
    <w:rsid w:val="13A33E9F"/>
    <w:rsid w:val="14102564"/>
    <w:rsid w:val="14307D5E"/>
    <w:rsid w:val="143C6516"/>
    <w:rsid w:val="146B7026"/>
    <w:rsid w:val="14BA45BB"/>
    <w:rsid w:val="14DC1B42"/>
    <w:rsid w:val="14F97FD0"/>
    <w:rsid w:val="151745AB"/>
    <w:rsid w:val="151B54D7"/>
    <w:rsid w:val="15BD2B90"/>
    <w:rsid w:val="15C70948"/>
    <w:rsid w:val="15D62A35"/>
    <w:rsid w:val="15D77522"/>
    <w:rsid w:val="15FF01DE"/>
    <w:rsid w:val="16022C53"/>
    <w:rsid w:val="161D23BF"/>
    <w:rsid w:val="16921052"/>
    <w:rsid w:val="169A1CB5"/>
    <w:rsid w:val="16F969DB"/>
    <w:rsid w:val="177D1728"/>
    <w:rsid w:val="177D28D5"/>
    <w:rsid w:val="1788408B"/>
    <w:rsid w:val="17DD07B3"/>
    <w:rsid w:val="18504D21"/>
    <w:rsid w:val="18887C44"/>
    <w:rsid w:val="18A92683"/>
    <w:rsid w:val="18ED07C2"/>
    <w:rsid w:val="191044B0"/>
    <w:rsid w:val="196579A2"/>
    <w:rsid w:val="19A5109C"/>
    <w:rsid w:val="19DB4ABE"/>
    <w:rsid w:val="1A6D6D72"/>
    <w:rsid w:val="1A73374A"/>
    <w:rsid w:val="1AC403B5"/>
    <w:rsid w:val="1B1F4E7E"/>
    <w:rsid w:val="1B2F36F2"/>
    <w:rsid w:val="1B4C386F"/>
    <w:rsid w:val="1B5C39DD"/>
    <w:rsid w:val="1B9C027D"/>
    <w:rsid w:val="1BC660E9"/>
    <w:rsid w:val="1C1D13BE"/>
    <w:rsid w:val="1C38291A"/>
    <w:rsid w:val="1C542780"/>
    <w:rsid w:val="1C890801"/>
    <w:rsid w:val="1C9D2311"/>
    <w:rsid w:val="1CFD0F69"/>
    <w:rsid w:val="1D063FA7"/>
    <w:rsid w:val="1D0C3E45"/>
    <w:rsid w:val="1D1B7434"/>
    <w:rsid w:val="1D292212"/>
    <w:rsid w:val="1DC26C8C"/>
    <w:rsid w:val="1DC675CC"/>
    <w:rsid w:val="1E0740D4"/>
    <w:rsid w:val="1E4569AA"/>
    <w:rsid w:val="1E4824ED"/>
    <w:rsid w:val="1E6848B0"/>
    <w:rsid w:val="1E725644"/>
    <w:rsid w:val="1EC97AD9"/>
    <w:rsid w:val="1EFB47E3"/>
    <w:rsid w:val="1F5E41C7"/>
    <w:rsid w:val="1F666BD8"/>
    <w:rsid w:val="1FA85FA1"/>
    <w:rsid w:val="1FF231B2"/>
    <w:rsid w:val="1FF631C1"/>
    <w:rsid w:val="20152C0F"/>
    <w:rsid w:val="2090095A"/>
    <w:rsid w:val="20D91840"/>
    <w:rsid w:val="20EC5803"/>
    <w:rsid w:val="213F1C3D"/>
    <w:rsid w:val="214F70D2"/>
    <w:rsid w:val="215C0D30"/>
    <w:rsid w:val="21644C81"/>
    <w:rsid w:val="2165063A"/>
    <w:rsid w:val="21D544E9"/>
    <w:rsid w:val="21DC7625"/>
    <w:rsid w:val="21E1316F"/>
    <w:rsid w:val="22794E74"/>
    <w:rsid w:val="22B42A6A"/>
    <w:rsid w:val="22DC5488"/>
    <w:rsid w:val="2311742A"/>
    <w:rsid w:val="23251A24"/>
    <w:rsid w:val="23843AD1"/>
    <w:rsid w:val="238E7993"/>
    <w:rsid w:val="23DF7159"/>
    <w:rsid w:val="23E728C6"/>
    <w:rsid w:val="24645B79"/>
    <w:rsid w:val="24880C9A"/>
    <w:rsid w:val="24C95406"/>
    <w:rsid w:val="24EE7D9B"/>
    <w:rsid w:val="24FA0878"/>
    <w:rsid w:val="24FF6C02"/>
    <w:rsid w:val="25030284"/>
    <w:rsid w:val="256D244F"/>
    <w:rsid w:val="25CD5AD7"/>
    <w:rsid w:val="26494DC5"/>
    <w:rsid w:val="266D6866"/>
    <w:rsid w:val="266E45B7"/>
    <w:rsid w:val="267159D3"/>
    <w:rsid w:val="267E65C1"/>
    <w:rsid w:val="26881050"/>
    <w:rsid w:val="26AA04BC"/>
    <w:rsid w:val="26BA5D64"/>
    <w:rsid w:val="26D44CA4"/>
    <w:rsid w:val="271355A6"/>
    <w:rsid w:val="272922EB"/>
    <w:rsid w:val="27392E24"/>
    <w:rsid w:val="27400126"/>
    <w:rsid w:val="27464BE9"/>
    <w:rsid w:val="2758774E"/>
    <w:rsid w:val="27632B04"/>
    <w:rsid w:val="27D77D5F"/>
    <w:rsid w:val="28447105"/>
    <w:rsid w:val="2860321B"/>
    <w:rsid w:val="289077B9"/>
    <w:rsid w:val="28B6263A"/>
    <w:rsid w:val="28D21782"/>
    <w:rsid w:val="293A3A09"/>
    <w:rsid w:val="29415831"/>
    <w:rsid w:val="294361DC"/>
    <w:rsid w:val="296800D0"/>
    <w:rsid w:val="29693E94"/>
    <w:rsid w:val="29D8769C"/>
    <w:rsid w:val="2A3A75DF"/>
    <w:rsid w:val="2A5A558B"/>
    <w:rsid w:val="2A6C4441"/>
    <w:rsid w:val="2A8820F8"/>
    <w:rsid w:val="2A9B5BE2"/>
    <w:rsid w:val="2AB663E9"/>
    <w:rsid w:val="2B253DEB"/>
    <w:rsid w:val="2B68125F"/>
    <w:rsid w:val="2B852ADC"/>
    <w:rsid w:val="2BAB4636"/>
    <w:rsid w:val="2BB15A59"/>
    <w:rsid w:val="2BEE5268"/>
    <w:rsid w:val="2BF57C61"/>
    <w:rsid w:val="2C2063A3"/>
    <w:rsid w:val="2C5E66B5"/>
    <w:rsid w:val="2C752B50"/>
    <w:rsid w:val="2C78619D"/>
    <w:rsid w:val="2CA30E6B"/>
    <w:rsid w:val="2CBF5B79"/>
    <w:rsid w:val="2CED0939"/>
    <w:rsid w:val="2D29300D"/>
    <w:rsid w:val="2D7E5110"/>
    <w:rsid w:val="2DAC4EEC"/>
    <w:rsid w:val="2E162111"/>
    <w:rsid w:val="2E620CC5"/>
    <w:rsid w:val="2E8E24A9"/>
    <w:rsid w:val="2E921785"/>
    <w:rsid w:val="2EB76AF9"/>
    <w:rsid w:val="2EEA6295"/>
    <w:rsid w:val="2F4A332F"/>
    <w:rsid w:val="2F5729E1"/>
    <w:rsid w:val="2F995907"/>
    <w:rsid w:val="2FC917E4"/>
    <w:rsid w:val="30376220"/>
    <w:rsid w:val="306A5B0E"/>
    <w:rsid w:val="30BC19C5"/>
    <w:rsid w:val="30E12A45"/>
    <w:rsid w:val="311A5A74"/>
    <w:rsid w:val="311F752F"/>
    <w:rsid w:val="31810686"/>
    <w:rsid w:val="31DE6E0A"/>
    <w:rsid w:val="32056604"/>
    <w:rsid w:val="32A86C88"/>
    <w:rsid w:val="32CE2FBA"/>
    <w:rsid w:val="32FA5C9F"/>
    <w:rsid w:val="33686B58"/>
    <w:rsid w:val="33954926"/>
    <w:rsid w:val="33AE3B69"/>
    <w:rsid w:val="33F86541"/>
    <w:rsid w:val="34050F42"/>
    <w:rsid w:val="340D0E15"/>
    <w:rsid w:val="34266DEB"/>
    <w:rsid w:val="34596806"/>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423CC8"/>
    <w:rsid w:val="36A35BB0"/>
    <w:rsid w:val="36C10068"/>
    <w:rsid w:val="37645C9B"/>
    <w:rsid w:val="380D6333"/>
    <w:rsid w:val="382A1CD8"/>
    <w:rsid w:val="38545D10"/>
    <w:rsid w:val="38575800"/>
    <w:rsid w:val="38800C2D"/>
    <w:rsid w:val="388C54AA"/>
    <w:rsid w:val="389E09C9"/>
    <w:rsid w:val="38B26D9C"/>
    <w:rsid w:val="38C869B0"/>
    <w:rsid w:val="38DD5D05"/>
    <w:rsid w:val="38E83D5A"/>
    <w:rsid w:val="38E946AA"/>
    <w:rsid w:val="3905525C"/>
    <w:rsid w:val="39090187"/>
    <w:rsid w:val="390B7A49"/>
    <w:rsid w:val="390E1133"/>
    <w:rsid w:val="39254A49"/>
    <w:rsid w:val="393C11D2"/>
    <w:rsid w:val="396B6E18"/>
    <w:rsid w:val="3982065B"/>
    <w:rsid w:val="398B39B3"/>
    <w:rsid w:val="39F2111A"/>
    <w:rsid w:val="39F66A32"/>
    <w:rsid w:val="3A155D47"/>
    <w:rsid w:val="3A2C2CB0"/>
    <w:rsid w:val="3A387C06"/>
    <w:rsid w:val="3A43428E"/>
    <w:rsid w:val="3AB72586"/>
    <w:rsid w:val="3AC75726"/>
    <w:rsid w:val="3BF55114"/>
    <w:rsid w:val="3C2F0C5E"/>
    <w:rsid w:val="3C333B48"/>
    <w:rsid w:val="3C71490B"/>
    <w:rsid w:val="3C79656C"/>
    <w:rsid w:val="3C8D3860"/>
    <w:rsid w:val="3D04058B"/>
    <w:rsid w:val="3D670293"/>
    <w:rsid w:val="3DC96590"/>
    <w:rsid w:val="3DE65AA8"/>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9161BF"/>
    <w:rsid w:val="41F15C61"/>
    <w:rsid w:val="42235496"/>
    <w:rsid w:val="42660F50"/>
    <w:rsid w:val="42C615B8"/>
    <w:rsid w:val="4349425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9D0E81"/>
    <w:rsid w:val="45AB5750"/>
    <w:rsid w:val="45D636A5"/>
    <w:rsid w:val="45E5444B"/>
    <w:rsid w:val="45EF323D"/>
    <w:rsid w:val="462C1348"/>
    <w:rsid w:val="46BB51AC"/>
    <w:rsid w:val="46F15CC3"/>
    <w:rsid w:val="4741570E"/>
    <w:rsid w:val="47846BA6"/>
    <w:rsid w:val="47CF0F0F"/>
    <w:rsid w:val="481767EB"/>
    <w:rsid w:val="48210B1D"/>
    <w:rsid w:val="48883FAF"/>
    <w:rsid w:val="48945CC6"/>
    <w:rsid w:val="48A76385"/>
    <w:rsid w:val="48E7672C"/>
    <w:rsid w:val="49575660"/>
    <w:rsid w:val="495E2059"/>
    <w:rsid w:val="49911E8D"/>
    <w:rsid w:val="49CF5B75"/>
    <w:rsid w:val="49DE5B2D"/>
    <w:rsid w:val="4A171AF3"/>
    <w:rsid w:val="4A2E27D8"/>
    <w:rsid w:val="4A7E40B9"/>
    <w:rsid w:val="4AEA7D65"/>
    <w:rsid w:val="4B49241A"/>
    <w:rsid w:val="4B4B73DD"/>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5A5DC6"/>
    <w:rsid w:val="4E7445BE"/>
    <w:rsid w:val="4E7D3BA7"/>
    <w:rsid w:val="4E8B3EC9"/>
    <w:rsid w:val="4F0B33B8"/>
    <w:rsid w:val="4F226EFA"/>
    <w:rsid w:val="4FC41575"/>
    <w:rsid w:val="4FEE5FA1"/>
    <w:rsid w:val="508825A3"/>
    <w:rsid w:val="50901C87"/>
    <w:rsid w:val="50976C5C"/>
    <w:rsid w:val="5099641F"/>
    <w:rsid w:val="511030CC"/>
    <w:rsid w:val="513B7615"/>
    <w:rsid w:val="51491D32"/>
    <w:rsid w:val="518D5DB3"/>
    <w:rsid w:val="52163191"/>
    <w:rsid w:val="52291CD0"/>
    <w:rsid w:val="526F3A1A"/>
    <w:rsid w:val="539011C5"/>
    <w:rsid w:val="53DA23BC"/>
    <w:rsid w:val="53E126F6"/>
    <w:rsid w:val="53E47AF0"/>
    <w:rsid w:val="54077FBB"/>
    <w:rsid w:val="541C5F97"/>
    <w:rsid w:val="54714A29"/>
    <w:rsid w:val="5471519A"/>
    <w:rsid w:val="547C2BFD"/>
    <w:rsid w:val="549E6845"/>
    <w:rsid w:val="54D1518C"/>
    <w:rsid w:val="54D45FAA"/>
    <w:rsid w:val="54DA4BDE"/>
    <w:rsid w:val="5522237F"/>
    <w:rsid w:val="55401A79"/>
    <w:rsid w:val="55731FB9"/>
    <w:rsid w:val="557F387D"/>
    <w:rsid w:val="55C7438A"/>
    <w:rsid w:val="55D56177"/>
    <w:rsid w:val="55D87E1A"/>
    <w:rsid w:val="56113965"/>
    <w:rsid w:val="56A428C2"/>
    <w:rsid w:val="56B440F1"/>
    <w:rsid w:val="5708799A"/>
    <w:rsid w:val="57367C86"/>
    <w:rsid w:val="5745560C"/>
    <w:rsid w:val="57671164"/>
    <w:rsid w:val="57793690"/>
    <w:rsid w:val="57835872"/>
    <w:rsid w:val="57AD21B2"/>
    <w:rsid w:val="57BB14B0"/>
    <w:rsid w:val="57C4203E"/>
    <w:rsid w:val="57DF519E"/>
    <w:rsid w:val="57FA41E6"/>
    <w:rsid w:val="587A07F0"/>
    <w:rsid w:val="58B629CB"/>
    <w:rsid w:val="58EA047D"/>
    <w:rsid w:val="59401951"/>
    <w:rsid w:val="59600776"/>
    <w:rsid w:val="59DB7BE7"/>
    <w:rsid w:val="5A456A0A"/>
    <w:rsid w:val="5A8F4244"/>
    <w:rsid w:val="5A9B7E0F"/>
    <w:rsid w:val="5AF7029F"/>
    <w:rsid w:val="5B2D3245"/>
    <w:rsid w:val="5B71396D"/>
    <w:rsid w:val="5BAF3E44"/>
    <w:rsid w:val="5BBA1ED4"/>
    <w:rsid w:val="5C7900C1"/>
    <w:rsid w:val="5C81097C"/>
    <w:rsid w:val="5CF31EC3"/>
    <w:rsid w:val="5D3F5F0C"/>
    <w:rsid w:val="5D6D6DA8"/>
    <w:rsid w:val="5DD576E5"/>
    <w:rsid w:val="5DFB7A90"/>
    <w:rsid w:val="5E2F405E"/>
    <w:rsid w:val="5E775EC5"/>
    <w:rsid w:val="5E9F14BD"/>
    <w:rsid w:val="5EF977BF"/>
    <w:rsid w:val="5F2F64F9"/>
    <w:rsid w:val="5F364BDB"/>
    <w:rsid w:val="5F443AD7"/>
    <w:rsid w:val="60010D30"/>
    <w:rsid w:val="60276F8D"/>
    <w:rsid w:val="60474DFD"/>
    <w:rsid w:val="604F618F"/>
    <w:rsid w:val="60536776"/>
    <w:rsid w:val="60884935"/>
    <w:rsid w:val="60DD4F0B"/>
    <w:rsid w:val="60F25ABA"/>
    <w:rsid w:val="61023DC3"/>
    <w:rsid w:val="61955BE0"/>
    <w:rsid w:val="61DE22EE"/>
    <w:rsid w:val="61F52ED8"/>
    <w:rsid w:val="620B3597"/>
    <w:rsid w:val="6213192F"/>
    <w:rsid w:val="625C2438"/>
    <w:rsid w:val="62A15DCF"/>
    <w:rsid w:val="63267838"/>
    <w:rsid w:val="63957059"/>
    <w:rsid w:val="63FC4110"/>
    <w:rsid w:val="6419156D"/>
    <w:rsid w:val="643F0D73"/>
    <w:rsid w:val="644222A4"/>
    <w:rsid w:val="64C33752"/>
    <w:rsid w:val="64C61FC9"/>
    <w:rsid w:val="64C7149A"/>
    <w:rsid w:val="652345F2"/>
    <w:rsid w:val="652F2B95"/>
    <w:rsid w:val="65301DE2"/>
    <w:rsid w:val="65577601"/>
    <w:rsid w:val="6563078E"/>
    <w:rsid w:val="65C504AF"/>
    <w:rsid w:val="65F07FB2"/>
    <w:rsid w:val="6603185C"/>
    <w:rsid w:val="66534A0E"/>
    <w:rsid w:val="66556854"/>
    <w:rsid w:val="667523D3"/>
    <w:rsid w:val="66F31915"/>
    <w:rsid w:val="670A59BA"/>
    <w:rsid w:val="67303132"/>
    <w:rsid w:val="67335085"/>
    <w:rsid w:val="674A2C89"/>
    <w:rsid w:val="676D4252"/>
    <w:rsid w:val="68304FEE"/>
    <w:rsid w:val="686B0388"/>
    <w:rsid w:val="68BA4E6C"/>
    <w:rsid w:val="6901784A"/>
    <w:rsid w:val="690507DD"/>
    <w:rsid w:val="69AB56A9"/>
    <w:rsid w:val="69AB678C"/>
    <w:rsid w:val="69C60B52"/>
    <w:rsid w:val="69F37718"/>
    <w:rsid w:val="6A072951"/>
    <w:rsid w:val="6A0A3D2C"/>
    <w:rsid w:val="6A2D62D3"/>
    <w:rsid w:val="6A497272"/>
    <w:rsid w:val="6A7A6FA8"/>
    <w:rsid w:val="6AAC4779"/>
    <w:rsid w:val="6ABA5991"/>
    <w:rsid w:val="6AC63F9C"/>
    <w:rsid w:val="6AE65E85"/>
    <w:rsid w:val="6B126460"/>
    <w:rsid w:val="6B2C59DC"/>
    <w:rsid w:val="6B311A3F"/>
    <w:rsid w:val="6B4F21E3"/>
    <w:rsid w:val="6B915026"/>
    <w:rsid w:val="6BCE135A"/>
    <w:rsid w:val="6BE16838"/>
    <w:rsid w:val="6BFB42D8"/>
    <w:rsid w:val="6C1903D8"/>
    <w:rsid w:val="6C332ECB"/>
    <w:rsid w:val="6CAF1B37"/>
    <w:rsid w:val="6CBC34EB"/>
    <w:rsid w:val="6CCD308D"/>
    <w:rsid w:val="6DBC48D5"/>
    <w:rsid w:val="6DDC320B"/>
    <w:rsid w:val="6DF31972"/>
    <w:rsid w:val="6E1B0F3A"/>
    <w:rsid w:val="6E8A1FF4"/>
    <w:rsid w:val="6E8B3D8C"/>
    <w:rsid w:val="6F002F61"/>
    <w:rsid w:val="6F15104E"/>
    <w:rsid w:val="6F2240AE"/>
    <w:rsid w:val="6F661837"/>
    <w:rsid w:val="6F781DDD"/>
    <w:rsid w:val="6FD04699"/>
    <w:rsid w:val="70191355"/>
    <w:rsid w:val="7030084F"/>
    <w:rsid w:val="703B4AE4"/>
    <w:rsid w:val="70422316"/>
    <w:rsid w:val="70ED2282"/>
    <w:rsid w:val="70FC187E"/>
    <w:rsid w:val="713A6130"/>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3901B6"/>
    <w:rsid w:val="745C607B"/>
    <w:rsid w:val="74602789"/>
    <w:rsid w:val="746C5BB4"/>
    <w:rsid w:val="74974BA2"/>
    <w:rsid w:val="74A5026B"/>
    <w:rsid w:val="755F6708"/>
    <w:rsid w:val="75CC2D87"/>
    <w:rsid w:val="75DF65E3"/>
    <w:rsid w:val="76316E6F"/>
    <w:rsid w:val="76EA516E"/>
    <w:rsid w:val="770248CF"/>
    <w:rsid w:val="77F64F8C"/>
    <w:rsid w:val="7833083D"/>
    <w:rsid w:val="784309DA"/>
    <w:rsid w:val="7877401B"/>
    <w:rsid w:val="78BD69DE"/>
    <w:rsid w:val="78CC1807"/>
    <w:rsid w:val="792579EC"/>
    <w:rsid w:val="793B3B86"/>
    <w:rsid w:val="799139C7"/>
    <w:rsid w:val="7A19098A"/>
    <w:rsid w:val="7A5E1A26"/>
    <w:rsid w:val="7AA33F4E"/>
    <w:rsid w:val="7AAD6DF1"/>
    <w:rsid w:val="7AEB24C7"/>
    <w:rsid w:val="7B1F73F5"/>
    <w:rsid w:val="7B430CF1"/>
    <w:rsid w:val="7B580C40"/>
    <w:rsid w:val="7B5A7767"/>
    <w:rsid w:val="7B5E6224"/>
    <w:rsid w:val="7BAA2038"/>
    <w:rsid w:val="7C1867F4"/>
    <w:rsid w:val="7C4223E5"/>
    <w:rsid w:val="7C812D3F"/>
    <w:rsid w:val="7C814B0C"/>
    <w:rsid w:val="7CB41EA6"/>
    <w:rsid w:val="7CB73744"/>
    <w:rsid w:val="7D0C7D3D"/>
    <w:rsid w:val="7D1A5C1D"/>
    <w:rsid w:val="7D3C10E7"/>
    <w:rsid w:val="7D4E5E48"/>
    <w:rsid w:val="7D9D65DA"/>
    <w:rsid w:val="7DA21751"/>
    <w:rsid w:val="7DB44158"/>
    <w:rsid w:val="7DBF4FA6"/>
    <w:rsid w:val="7E413C0D"/>
    <w:rsid w:val="7E916D01"/>
    <w:rsid w:val="7E93587C"/>
    <w:rsid w:val="7EB443DF"/>
    <w:rsid w:val="7EBE0089"/>
    <w:rsid w:val="7EE36A72"/>
    <w:rsid w:val="7EF976A3"/>
    <w:rsid w:val="7EFF5D5B"/>
    <w:rsid w:val="7F0C3153"/>
    <w:rsid w:val="7F0F7867"/>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10752</Words>
  <Characters>11179</Characters>
  <Lines>39</Lines>
  <Paragraphs>11</Paragraphs>
  <TotalTime>2</TotalTime>
  <ScaleCrop>false</ScaleCrop>
  <LinksUpToDate>false</LinksUpToDate>
  <CharactersWithSpaces>11899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2026-03-17T00:43:24Z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