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0E79C6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项目名称：南宁中心血站采供血战略储备仓库设计服务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03</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40ACC5E3">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1CD8D39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南宁中心血站采供血战略储备仓库设计服务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1C2A765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南宁中心血站按照采购计划，对南宁中心血站采供血战略储备仓库设计服务进行采购，现就该项目邀请具有资质的单位进行响应，采购信息如下：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项目名称：南宁中心血站采供血战略储备仓库设计服务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玖万捌仟元整（￥98000.00）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玖万捌仟元整（￥98000.00）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仿宋_GB2312" w:eastAsia="仿宋_GB2312" w:cs="仿宋_GB2312"/>
          <w:b/>
          <w:bCs/>
          <w:color w:val="auto"/>
          <w:kern w:val="0"/>
          <w:sz w:val="32"/>
          <w:szCs w:val="32"/>
          <w:highlight w:val="none"/>
          <w:lang w:val="en-US" w:eastAsia="zh-CN"/>
        </w:rPr>
      </w:pPr>
      <w:bookmarkStart w:id="21" w:name="_GoBack"/>
      <w:r>
        <w:rPr>
          <w:rFonts w:hint="eastAsia" w:ascii="黑体" w:hAnsi="黑体" w:eastAsia="黑体" w:cs="黑体"/>
          <w:color w:val="000000"/>
          <w:kern w:val="0"/>
          <w:sz w:val="32"/>
          <w:szCs w:val="32"/>
          <w:highlight w:val="none"/>
          <w:lang w:val="en-US" w:eastAsia="zh-CN"/>
        </w:rPr>
        <w:t>六、</w:t>
      </w:r>
      <w:r>
        <w:rPr>
          <w:rFonts w:hint="eastAsia" w:ascii="仿宋_GB2312" w:hAnsi="仿宋_GB2312" w:eastAsia="仿宋_GB2312" w:cs="仿宋_GB2312"/>
          <w:b/>
          <w:bCs/>
          <w:color w:val="auto"/>
          <w:kern w:val="0"/>
          <w:sz w:val="32"/>
          <w:szCs w:val="32"/>
          <w:highlight w:val="none"/>
          <w:lang w:val="en-US" w:eastAsia="zh-CN"/>
        </w:rPr>
        <w:t>现场查勘时间及地点：</w:t>
      </w:r>
    </w:p>
    <w:p w14:paraId="7A8F9F8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（一）现场踏勘时间：2026年3月23日10:00时；</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（二）踏勘地址：南宁中心血站（南宁市科园大道18号）；</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（三）我站对是否现场踏勘不做强制要求，响应供应商可根据自身情况选择是否现场踏勘；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（四）供应商代表持单位授权书（格式自拟）、个人有效身份证原件前往；</w:t>
      </w:r>
    </w:p>
    <w:p w14:paraId="5DEAC2A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（五）为保证踏勘顺利，响应供应商须提前报名，联系人：黄老师，联系电话0771-3213527。</w:t>
      </w:r>
    </w:p>
    <w:bookmarkEnd w:id="21"/>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八、</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w:t>
      </w:r>
      <w:r>
        <w:rPr>
          <w:rFonts w:hint="eastAsia" w:ascii="仿宋_GB2312" w:hAnsi="Courier New" w:eastAsia="仿宋_GB2312" w:cs="Courier New"/>
          <w:color w:val="000000"/>
          <w:kern w:val="0"/>
          <w:sz w:val="32"/>
          <w:szCs w:val="32"/>
          <w:highlight w:val="none"/>
          <w:lang w:val="zh-TW" w:eastAsia="zh-CN" w:bidi="ar-SA"/>
        </w:rPr>
        <w:t>202</w:t>
      </w:r>
      <w:r>
        <w:rPr>
          <w:rFonts w:hint="eastAsia" w:ascii="仿宋_GB2312" w:hAnsi="Courier New" w:eastAsia="仿宋_GB2312" w:cs="Courier New"/>
          <w:color w:val="000000"/>
          <w:kern w:val="0"/>
          <w:sz w:val="32"/>
          <w:szCs w:val="32"/>
          <w:highlight w:val="none"/>
          <w:lang w:val="en-US" w:eastAsia="zh-CN" w:bidi="ar-SA"/>
        </w:rPr>
        <w:t>6</w:t>
      </w:r>
      <w:r>
        <w:rPr>
          <w:rFonts w:hint="eastAsia" w:ascii="仿宋_GB2312" w:hAnsi="Courier New" w:eastAsia="仿宋_GB2312" w:cs="Courier New"/>
          <w:color w:val="000000"/>
          <w:kern w:val="0"/>
          <w:sz w:val="32"/>
          <w:szCs w:val="32"/>
          <w:highlight w:val="none"/>
          <w:lang w:val="zh-TW" w:eastAsia="zh-CN" w:bidi="ar-SA"/>
        </w:rPr>
        <w:t>年</w:t>
      </w:r>
      <w:r>
        <w:rPr>
          <w:rFonts w:hint="eastAsia" w:ascii="仿宋_GB2312" w:hAnsi="Courier New" w:eastAsia="仿宋_GB2312" w:cs="Courier New"/>
          <w:color w:val="000000"/>
          <w:kern w:val="0"/>
          <w:sz w:val="32"/>
          <w:szCs w:val="32"/>
          <w:highlight w:val="none"/>
          <w:lang w:val="en-US" w:eastAsia="zh-CN" w:bidi="ar-SA"/>
        </w:rPr>
        <w:t>4</w:t>
      </w:r>
      <w:r>
        <w:rPr>
          <w:rFonts w:hint="eastAsia" w:ascii="仿宋_GB2312" w:hAnsi="Courier New" w:eastAsia="仿宋_GB2312" w:cs="Courier New"/>
          <w:color w:val="000000"/>
          <w:kern w:val="0"/>
          <w:sz w:val="32"/>
          <w:szCs w:val="32"/>
          <w:highlight w:val="none"/>
          <w:lang w:val="zh-TW" w:eastAsia="zh-CN" w:bidi="ar-SA"/>
        </w:rPr>
        <w:t>月</w:t>
      </w:r>
      <w:r>
        <w:rPr>
          <w:rFonts w:hint="eastAsia" w:ascii="仿宋_GB2312" w:hAnsi="Courier New" w:eastAsia="仿宋_GB2312" w:cs="Courier New"/>
          <w:color w:val="000000"/>
          <w:kern w:val="0"/>
          <w:sz w:val="32"/>
          <w:szCs w:val="32"/>
          <w:highlight w:val="none"/>
          <w:lang w:val="en-US" w:eastAsia="zh-CN" w:bidi="ar-SA"/>
        </w:rPr>
        <w:t>2</w:t>
      </w:r>
      <w:r>
        <w:rPr>
          <w:rFonts w:hint="eastAsia" w:ascii="仿宋_GB2312" w:hAnsi="Courier New" w:eastAsia="仿宋_GB2312" w:cs="Courier New"/>
          <w:color w:val="auto"/>
          <w:kern w:val="0"/>
          <w:sz w:val="32"/>
          <w:szCs w:val="32"/>
          <w:highlight w:val="none"/>
          <w:lang w:val="zh-TW" w:eastAsia="zh-CN" w:bidi="ar-SA"/>
        </w:rPr>
        <w:t>日17</w:t>
      </w:r>
      <w:r>
        <w:rPr>
          <w:rFonts w:hint="eastAsia" w:ascii="仿宋_GB2312" w:hAnsi="Courier New" w:eastAsia="仿宋_GB2312" w:cs="Courier New"/>
          <w:color w:val="auto"/>
          <w:kern w:val="0"/>
          <w:sz w:val="32"/>
          <w:szCs w:val="32"/>
          <w:lang w:val="zh-TW" w:eastAsia="zh-CN" w:bidi="ar-SA"/>
        </w:rPr>
        <w:t>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highlight w:val="none"/>
          <w:lang w:val="en-US" w:eastAsia="zh-CN" w:bidi="ar-SA"/>
        </w:rPr>
        <w:t>17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南宁中心血站采供血战略储备仓库设计服务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38916253">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5AC5FE7A">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根据采供血工作需要，拟在南宁中心血站生态停车场东侧、业务副楼北侧新建一座2层，占地面积约312㎡（26*12m）的采供血战略储备仓库，一层为战略储备仓库，二层为食堂，项目总投资为263万元，设计费招标控制价为9.8万元，设计范围包括建筑装饰工程设计、给排水及消防工程设计、电气工程设计、智能化工程设计、暖通工程设计、基础加固工程设计。设计周期为合同签订后30天。</w:t>
            </w:r>
          </w:p>
          <w:p w14:paraId="718E1394">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二、服务内容及要求：</w:t>
            </w:r>
          </w:p>
          <w:p w14:paraId="19135DB4">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1</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工程勘察</w:t>
            </w:r>
          </w:p>
          <w:p w14:paraId="700BCAA0">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须针对目前现状，重点分析评价地下室顶板承载力及其对新建工程的影响，是否满足新建项目的要求。</w:t>
            </w:r>
          </w:p>
          <w:p w14:paraId="1EA06946">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2</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基础加固工程</w:t>
            </w:r>
          </w:p>
          <w:p w14:paraId="6A5C1DAB">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对地下室原有顶板进行结构复核计算，结构加固设计须一体化统筹两层功能荷载，出具完整的加固设计方案，根据需要对地下室顶板及关联结构进行针对性加固，加固后需满足新建建筑全部荷载要求，所有加固费用计入工程总概算。</w:t>
            </w:r>
          </w:p>
          <w:p w14:paraId="1E0294B8">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3</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建筑装饰工程</w:t>
            </w:r>
          </w:p>
          <w:p w14:paraId="16831624">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一层仓库：布局须为大空间、少柱网，严格划分存储、缓冲、设备区；地面需高荷载、耐磨防尘。</w:t>
            </w:r>
          </w:p>
          <w:p w14:paraId="6A5FE149">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二层食堂：食堂区域设计须严格遵守</w:t>
            </w:r>
            <w:r>
              <w:rPr>
                <w:rFonts w:hint="eastAsia" w:asciiTheme="minorEastAsia" w:hAnsiTheme="minorEastAsia" w:eastAsiaTheme="minorEastAsia" w:cstheme="minorEastAsia"/>
                <w:szCs w:val="21"/>
              </w:rPr>
              <w:t>JGJ 64-2017</w:t>
            </w:r>
            <w:r>
              <w:rPr>
                <w:rFonts w:hint="eastAsia" w:asciiTheme="minorEastAsia" w:hAnsiTheme="minorEastAsia" w:eastAsiaTheme="minorEastAsia" w:cstheme="minorEastAsia"/>
                <w:sz w:val="21"/>
                <w:szCs w:val="21"/>
                <w:lang w:val="en-US" w:eastAsia="zh-CN"/>
              </w:rPr>
              <w:t>《饮食建筑设计标准》；装饰材料须耐污、易清洁、防火；厨房地面须防滑、耐腐蚀、耐重载。建筑耐火等级符合</w:t>
            </w:r>
            <w:r>
              <w:rPr>
                <w:rFonts w:hint="eastAsia" w:asciiTheme="minorEastAsia" w:hAnsiTheme="minorEastAsia" w:eastAsiaTheme="minorEastAsia" w:cstheme="minorEastAsia"/>
                <w:szCs w:val="21"/>
              </w:rPr>
              <w:t>《建筑防火通用规范》GB 55037-202</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 w:val="21"/>
                <w:szCs w:val="21"/>
                <w:lang w:val="en-US" w:eastAsia="zh-CN"/>
              </w:rPr>
              <w:t>要求。</w:t>
            </w:r>
          </w:p>
          <w:p w14:paraId="5305D353">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4</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给排水及消防工程</w:t>
            </w:r>
          </w:p>
          <w:p w14:paraId="49DD1FA0">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sz w:val="21"/>
                <w:szCs w:val="21"/>
                <w:shd w:val="clear" w:fill="FFFFFF"/>
              </w:rPr>
              <w:t>一层仓库：消防系统须根据储存物资特性专项设计。</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    </w:t>
            </w:r>
            <w:r>
              <w:rPr>
                <w:rFonts w:hint="eastAsia" w:asciiTheme="minorEastAsia" w:hAnsiTheme="minorEastAsia" w:eastAsiaTheme="minorEastAsia" w:cstheme="minorEastAsia"/>
                <w:i w:val="0"/>
                <w:iCs w:val="0"/>
                <w:caps w:val="0"/>
                <w:color w:val="0F1115"/>
                <w:spacing w:val="0"/>
                <w:sz w:val="21"/>
                <w:szCs w:val="21"/>
                <w:shd w:val="clear" w:fill="FFFFFF"/>
              </w:rPr>
              <w:t>二层食堂：厨房含油污水必须经高效隔油处理后排放</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消防</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须</w:t>
            </w:r>
            <w:r>
              <w:rPr>
                <w:rFonts w:hint="eastAsia" w:asciiTheme="minorEastAsia" w:hAnsiTheme="minorEastAsia" w:eastAsiaTheme="minorEastAsia" w:cstheme="minorEastAsia"/>
                <w:i w:val="0"/>
                <w:iCs w:val="0"/>
                <w:caps w:val="0"/>
                <w:color w:val="0F1115"/>
                <w:spacing w:val="0"/>
                <w:sz w:val="21"/>
                <w:szCs w:val="21"/>
                <w:shd w:val="clear" w:fill="FFFFFF"/>
              </w:rPr>
              <w:t>按餐饮场所</w:t>
            </w:r>
            <w:r>
              <w:rPr>
                <w:rFonts w:hint="eastAsia" w:asciiTheme="minorEastAsia" w:hAnsiTheme="minorEastAsia" w:eastAsiaTheme="minorEastAsia" w:cstheme="minorEastAsia"/>
                <w:color w:val="0F1115"/>
                <w:szCs w:val="21"/>
                <w:shd w:val="clear" w:fill="FFFFFF"/>
              </w:rPr>
              <w:t>《建筑防火通用规范》GB 55037-2022、《南宁市消防条例》</w:t>
            </w:r>
            <w:r>
              <w:rPr>
                <w:rFonts w:hint="eastAsia" w:asciiTheme="minorEastAsia" w:hAnsiTheme="minorEastAsia" w:eastAsiaTheme="minorEastAsia" w:cstheme="minorEastAsia"/>
                <w:i w:val="0"/>
                <w:iCs w:val="0"/>
                <w:caps w:val="0"/>
                <w:color w:val="0F1115"/>
                <w:spacing w:val="0"/>
                <w:sz w:val="21"/>
                <w:szCs w:val="21"/>
                <w:shd w:val="clear" w:fill="FFFFFF"/>
              </w:rPr>
              <w:t>标准设计，厨房灶台区域增设专用灭火装置。</w:t>
            </w:r>
          </w:p>
          <w:p w14:paraId="0C6FF5BC">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5</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电气智能化工程</w:t>
            </w:r>
          </w:p>
          <w:p w14:paraId="06B1A66C">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一层仓库：供电负荷等级符合要求，其中</w:t>
            </w:r>
            <w:r>
              <w:rPr>
                <w:rFonts w:hint="eastAsia" w:asciiTheme="minorEastAsia" w:hAnsiTheme="minorEastAsia" w:eastAsiaTheme="minorEastAsia" w:cstheme="minorEastAsia"/>
                <w:color w:val="0F1115"/>
                <w:szCs w:val="21"/>
                <w:shd w:val="clear" w:fill="FFFFFF"/>
              </w:rPr>
              <w:t>消防用电负荷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《建筑防火通用规范》GB 55037-2022</w:t>
            </w:r>
            <w:r>
              <w:rPr>
                <w:rFonts w:hint="eastAsia" w:asciiTheme="minorEastAsia" w:hAnsiTheme="minorEastAsia" w:eastAsiaTheme="minorEastAsia" w:cstheme="minorEastAsia"/>
                <w:color w:val="0F1115"/>
                <w:szCs w:val="21"/>
                <w:shd w:val="clear" w:fill="FFFFFF"/>
                <w:lang w:eastAsia="zh-CN"/>
              </w:rPr>
              <w:t>，</w:t>
            </w:r>
            <w:r>
              <w:rPr>
                <w:rFonts w:hint="eastAsia" w:asciiTheme="minorEastAsia" w:hAnsiTheme="minorEastAsia" w:eastAsiaTheme="minorEastAsia" w:cstheme="minorEastAsia"/>
                <w:color w:val="0F1115"/>
                <w:szCs w:val="21"/>
                <w:shd w:val="clear" w:fill="FFFFFF"/>
              </w:rPr>
              <w:t>普通用电负荷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《供配电系统设计规范》GB 50052-2009 。</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安防系统须实现视频监控无死角、高等级门禁及入侵报警联动；</w:t>
            </w:r>
          </w:p>
          <w:p w14:paraId="4338DDE9">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二层食堂：厨房主要设备及应急照明按二级负荷供电并独立计量；配置基础网络、安防监控，并预留消费管理等系统接口。</w:t>
            </w:r>
          </w:p>
          <w:p w14:paraId="170E0F98">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6</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暖通工程</w:t>
            </w:r>
          </w:p>
          <w:p w14:paraId="5BBD5DFA">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一层仓库：能根据物资储存要求将库内温湿度维持在设定范围。防水防潮，地面及墙面下部须设置高效防潮层，并设计完善的排水防涝措施。</w:t>
            </w:r>
          </w:p>
          <w:p w14:paraId="622EA5C6">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二层食堂：厨房须设强力机械排油烟及补风系统，排放须符合</w:t>
            </w:r>
            <w:r>
              <w:rPr>
                <w:rFonts w:hint="eastAsia" w:asciiTheme="minorEastAsia" w:hAnsiTheme="minorEastAsia" w:eastAsiaTheme="minorEastAsia" w:cstheme="minorEastAsia"/>
                <w:color w:val="0F1115"/>
                <w:szCs w:val="21"/>
                <w:shd w:val="clear" w:fill="FFFFFF"/>
              </w:rPr>
              <w:t>《饮食业油烟排放标准》GB 18483-2001、《饮食业环境保护技术规范》HJ 554-2010</w:t>
            </w:r>
            <w:r>
              <w:rPr>
                <w:rFonts w:hint="eastAsia" w:asciiTheme="minorEastAsia" w:hAnsiTheme="minorEastAsia" w:eastAsiaTheme="minorEastAsia" w:cstheme="minorEastAsia"/>
                <w:color w:val="0F1115"/>
                <w:szCs w:val="21"/>
                <w:shd w:val="clear" w:fill="FFFFFF"/>
                <w:lang w:val="en-US" w:eastAsia="zh-CN"/>
              </w:rPr>
              <w:t>，</w:t>
            </w:r>
            <w:r>
              <w:rPr>
                <w:rFonts w:hint="eastAsia" w:asciiTheme="minorEastAsia" w:hAnsiTheme="minorEastAsia" w:eastAsiaTheme="minorEastAsia" w:cstheme="minorEastAsia"/>
                <w:color w:val="0F1115"/>
                <w:szCs w:val="21"/>
                <w:shd w:val="clear" w:fill="FFFFFF"/>
              </w:rPr>
              <w:t>净化效率≥85%、设备需IP54 防水、第三方检测备案</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；餐厅区域须设舒适性空调，且与厨房油烟严格隔离。</w:t>
            </w:r>
          </w:p>
          <w:p w14:paraId="3B7D6673">
            <w:pPr>
              <w:keepNext w:val="0"/>
              <w:keepLines w:val="0"/>
              <w:pageBreakBefore w:val="0"/>
              <w:widowControl/>
              <w:numPr>
                <w:ilvl w:val="-1"/>
                <w:numId w:val="0"/>
              </w:numPr>
              <w:kinsoku/>
              <w:wordWrap/>
              <w:overflowPunct/>
              <w:topLinePunct w:val="0"/>
              <w:autoSpaceDE/>
              <w:autoSpaceDN/>
              <w:bidi w:val="0"/>
              <w:adjustRightInd/>
              <w:snapToGrid/>
              <w:ind w:leftChars="0" w:firstLine="0" w:firstLineChars="0"/>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三、其他要求：</w:t>
            </w:r>
          </w:p>
          <w:p w14:paraId="1F1FEC6B">
            <w:pPr>
              <w:bidi w:val="0"/>
              <w:ind w:firstLine="420" w:firstLineChars="200"/>
              <w:rPr>
                <w:rFonts w:hint="eastAsia" w:ascii="宋体" w:hAnsi="宋体" w:eastAsia="宋体" w:cs="宋体"/>
                <w:color w:val="auto"/>
                <w:szCs w:val="21"/>
                <w:highlight w:val="none"/>
                <w:lang w:val="en-US" w:eastAsia="zh-CN"/>
              </w:rPr>
            </w:pPr>
            <w:r>
              <w:rPr>
                <w:rFonts w:hint="eastAsia" w:asciiTheme="minorEastAsia" w:hAnsiTheme="minorEastAsia" w:eastAsiaTheme="minorEastAsia" w:cstheme="minorEastAsia"/>
                <w:sz w:val="21"/>
                <w:szCs w:val="21"/>
                <w:lang w:val="en-US" w:eastAsia="zh-CN"/>
              </w:rPr>
              <w:t>设计成果</w:t>
            </w:r>
            <w:r>
              <w:rPr>
                <w:rFonts w:hint="eastAsia" w:asciiTheme="minorEastAsia" w:hAnsiTheme="minorEastAsia" w:eastAsiaTheme="minorEastAsia" w:cstheme="minorEastAsia"/>
                <w:sz w:val="21"/>
                <w:szCs w:val="21"/>
              </w:rPr>
              <w:t>须包含以下所有专业的全套施工图，深度须满足《建筑工程设计文件编制深度规定》，并能直接用于施工图审查和工程招标：</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sz w:val="21"/>
                <w:szCs w:val="21"/>
                <w:lang w:val="en-US" w:eastAsia="zh-CN"/>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建筑专业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总图、平面、立面、剖面、详图（含墙体、门窗、装饰构造）。</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结构专业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基础、主体结构、专项加固设计详图及计算书。</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3.</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给排水专业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消防、给水、排水系统图（含食堂隔油设施）。</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4.</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电气专业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强电、弱电、照明、防雷接地系统图。</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5.</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暖通专业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仓库空调系统、食堂厨房通风系统</w:t>
            </w:r>
            <w:r>
              <w:rPr>
                <w:rFonts w:hint="eastAsia" w:asciiTheme="minorEastAsia" w:hAnsiTheme="minorEastAsia" w:eastAsiaTheme="minorEastAsia" w:cstheme="minorEastAsia"/>
                <w:i w:val="0"/>
                <w:iCs w:val="0"/>
                <w:caps w:val="0"/>
                <w:color w:val="0F1115"/>
                <w:spacing w:val="0"/>
                <w:sz w:val="21"/>
                <w:szCs w:val="21"/>
                <w:shd w:val="clear" w:fill="FFFFFF"/>
              </w:rPr>
              <w:t>、其他通风设计图。</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6.</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智能化专业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安防、网络、环境监控等系统图。</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98000.00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7BF97A85">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一、合同签订期:</w:t>
            </w:r>
            <w:r>
              <w:rPr>
                <w:rFonts w:hint="eastAsia" w:asciiTheme="minorEastAsia" w:hAnsiTheme="minorEastAsia" w:eastAsiaTheme="minorEastAsia" w:cstheme="minorEastAsia"/>
                <w:sz w:val="21"/>
                <w:szCs w:val="21"/>
              </w:rPr>
              <w:t>自采购结果公示结束后10个工作日内。</w:t>
            </w:r>
          </w:p>
          <w:p w14:paraId="25AC186F">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二、</w:t>
            </w:r>
            <w:r>
              <w:rPr>
                <w:rFonts w:hint="eastAsia" w:asciiTheme="minorEastAsia" w:hAnsiTheme="minorEastAsia" w:eastAsiaTheme="minorEastAsia" w:cstheme="minorEastAsia"/>
                <w:b/>
                <w:bCs/>
                <w:sz w:val="21"/>
                <w:szCs w:val="21"/>
                <w:lang w:val="en-US" w:eastAsia="zh-CN"/>
              </w:rPr>
              <w:t>设计服务期限</w:t>
            </w: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自合同签订之日起</w:t>
            </w:r>
            <w:r>
              <w:rPr>
                <w:rFonts w:hint="eastAsia" w:asciiTheme="minorEastAsia" w:hAnsiTheme="minorEastAsia" w:eastAsiaTheme="minorEastAsia" w:cstheme="minorEastAsia"/>
                <w:sz w:val="21"/>
                <w:szCs w:val="21"/>
                <w:lang w:val="en-US" w:eastAsia="zh-CN"/>
              </w:rPr>
              <w:t>30日内完成设计，并交付全部设计成果</w:t>
            </w:r>
            <w:r>
              <w:rPr>
                <w:rFonts w:hint="eastAsia" w:asciiTheme="minorEastAsia" w:hAnsiTheme="minorEastAsia" w:eastAsiaTheme="minorEastAsia" w:cstheme="minorEastAsia"/>
                <w:sz w:val="21"/>
                <w:szCs w:val="21"/>
              </w:rPr>
              <w:t>。</w:t>
            </w:r>
          </w:p>
          <w:p w14:paraId="0D10DAFB">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三、项目实施地点:</w:t>
            </w:r>
            <w:r>
              <w:rPr>
                <w:rFonts w:hint="eastAsia" w:asciiTheme="minorEastAsia" w:hAnsiTheme="minorEastAsia" w:eastAsiaTheme="minorEastAsia" w:cstheme="minorEastAsia"/>
                <w:sz w:val="21"/>
                <w:szCs w:val="21"/>
                <w:lang w:val="en-US" w:eastAsia="zh-CN"/>
              </w:rPr>
              <w:t>南宁市科园大道18号</w:t>
            </w:r>
            <w:r>
              <w:rPr>
                <w:rFonts w:hint="eastAsia" w:asciiTheme="minorEastAsia" w:hAnsiTheme="minorEastAsia" w:eastAsiaTheme="minorEastAsia" w:cstheme="minorEastAsia"/>
                <w:sz w:val="21"/>
                <w:szCs w:val="21"/>
              </w:rPr>
              <w:t>。</w:t>
            </w:r>
          </w:p>
          <w:p w14:paraId="0AAD7222">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四、售后服务要求:</w:t>
            </w:r>
          </w:p>
          <w:p w14:paraId="5593698F">
            <w:pPr>
              <w:pStyle w:val="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.处理问题响应时间：接到采购人处理问题通知后，1小时内给出反馈。</w:t>
            </w:r>
            <w:r>
              <w:rPr>
                <w:rFonts w:hint="eastAsia" w:asciiTheme="minorEastAsia" w:hAnsiTheme="minorEastAsia" w:eastAsiaTheme="minorEastAsia" w:cstheme="minorEastAsia"/>
                <w:sz w:val="21"/>
                <w:szCs w:val="21"/>
                <w:lang w:val="en-US" w:eastAsia="zh-CN"/>
              </w:rPr>
              <w:t>按采购人要求达到指定现场，</w:t>
            </w:r>
            <w:r>
              <w:rPr>
                <w:rFonts w:hint="eastAsia"/>
                <w:lang w:val="en-US" w:eastAsia="zh-CN"/>
              </w:rPr>
              <w:t>到达现场后1天内给出反馈，3天内解决采购人提出的问题。</w:t>
            </w:r>
          </w:p>
          <w:p w14:paraId="77AB5AD6">
            <w:pPr>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五、服务质量要求：</w:t>
            </w:r>
          </w:p>
          <w:p w14:paraId="52DB7C53">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1.所有设计成果的知识产权归</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所有，未经</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许可不得用于其他项目</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如因</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提供的设计成果出现侵权行为造成的经济损失，由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负责解决并承担</w:t>
            </w:r>
            <w:r>
              <w:rPr>
                <w:rFonts w:hint="eastAsia" w:asciiTheme="minorEastAsia" w:hAnsiTheme="minorEastAsia" w:eastAsiaTheme="minorEastAsia" w:cstheme="minorEastAsia"/>
                <w:sz w:val="21"/>
                <w:szCs w:val="21"/>
                <w:lang w:val="en-US" w:eastAsia="zh-CN"/>
              </w:rPr>
              <w:t>相应责任</w:t>
            </w:r>
            <w:r>
              <w:rPr>
                <w:rFonts w:hint="eastAsia" w:asciiTheme="minorEastAsia" w:hAnsiTheme="minorEastAsia" w:eastAsiaTheme="minorEastAsia" w:cstheme="minorEastAsia"/>
                <w:sz w:val="21"/>
                <w:szCs w:val="21"/>
              </w:rPr>
              <w:t>。</w:t>
            </w:r>
          </w:p>
          <w:p w14:paraId="1957B8FD">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2.如采购人审核要求对相关设计内容进行修改、调整时，</w:t>
            </w:r>
            <w:r>
              <w:rPr>
                <w:rFonts w:hint="eastAsia" w:asciiTheme="minorEastAsia" w:hAnsiTheme="minorEastAsia" w:eastAsiaTheme="minorEastAsia" w:cstheme="minorEastAsia"/>
                <w:sz w:val="21"/>
                <w:szCs w:val="21"/>
                <w:lang w:val="en-US" w:eastAsia="zh-CN"/>
              </w:rPr>
              <w:t>成交供应商须</w:t>
            </w:r>
            <w:r>
              <w:rPr>
                <w:rFonts w:hint="eastAsia" w:asciiTheme="minorEastAsia" w:hAnsiTheme="minorEastAsia" w:eastAsiaTheme="minorEastAsia" w:cstheme="minorEastAsia"/>
                <w:sz w:val="21"/>
                <w:szCs w:val="21"/>
              </w:rPr>
              <w:t>按采购人的要求进行优化改进，采购人审核通过后方</w:t>
            </w:r>
            <w:r>
              <w:rPr>
                <w:rFonts w:hint="eastAsia" w:asciiTheme="minorEastAsia" w:hAnsiTheme="minorEastAsia" w:eastAsiaTheme="minorEastAsia" w:cstheme="minorEastAsia"/>
                <w:sz w:val="21"/>
                <w:szCs w:val="21"/>
                <w:lang w:val="en-US" w:eastAsia="zh-CN"/>
              </w:rPr>
              <w:t>可</w:t>
            </w:r>
            <w:r>
              <w:rPr>
                <w:rFonts w:hint="eastAsia" w:asciiTheme="minorEastAsia" w:hAnsiTheme="minorEastAsia" w:eastAsiaTheme="minorEastAsia" w:cstheme="minorEastAsia"/>
                <w:sz w:val="21"/>
                <w:szCs w:val="21"/>
              </w:rPr>
              <w:t>定稿，否则引起的经济损失等后果由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承担；</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cstheme="minorEastAsia"/>
                <w:sz w:val="21"/>
                <w:szCs w:val="21"/>
                <w:lang w:val="en-US" w:eastAsia="zh-CN"/>
              </w:rPr>
              <w:t>服务</w:t>
            </w:r>
            <w:r>
              <w:rPr>
                <w:rFonts w:hint="eastAsia" w:asciiTheme="minorEastAsia" w:hAnsiTheme="minorEastAsia" w:eastAsiaTheme="minorEastAsia" w:cstheme="minorEastAsia"/>
                <w:sz w:val="21"/>
                <w:szCs w:val="21"/>
              </w:rPr>
              <w:t>过程中</w:t>
            </w:r>
            <w:r>
              <w:rPr>
                <w:rFonts w:hint="eastAsia" w:asciiTheme="minorEastAsia" w:hAnsiTheme="minorEastAsia" w:eastAsiaTheme="minorEastAsia" w:cstheme="minorEastAsia"/>
                <w:sz w:val="21"/>
                <w:szCs w:val="21"/>
                <w:lang w:val="en-US" w:eastAsia="zh-CN"/>
              </w:rPr>
              <w:t>出现由己</w:t>
            </w:r>
            <w:r>
              <w:rPr>
                <w:rFonts w:hint="eastAsia" w:asciiTheme="minorEastAsia" w:hAnsiTheme="minorEastAsia" w:eastAsiaTheme="minorEastAsia" w:cstheme="minorEastAsia"/>
                <w:sz w:val="21"/>
                <w:szCs w:val="21"/>
              </w:rPr>
              <w:t>方原因造成的错漏等失误，由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负责改正，相关费用由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自行承担。若设计过程中发生变更，</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有责任同步更新所有相关图纸、预算及文档，并确保版本一致。</w:t>
            </w:r>
          </w:p>
          <w:p w14:paraId="272FAAF9">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3.成交供应商</w:t>
            </w:r>
            <w:r>
              <w:rPr>
                <w:rFonts w:hint="eastAsia" w:asciiTheme="minorEastAsia" w:hAnsiTheme="minorEastAsia" w:eastAsiaTheme="minorEastAsia" w:cstheme="minorEastAsia"/>
                <w:sz w:val="21"/>
                <w:szCs w:val="21"/>
              </w:rPr>
              <w:t>有义务根据施工图审查机构的意见，修改并重新提交相关设计文件，直至审查通过。</w:t>
            </w:r>
          </w:p>
          <w:p w14:paraId="58876171">
            <w:pPr>
              <w:bidi w:val="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4.图纸交付后，成交供应商须提供必要的技术交底和施工配合服务，解决与设计相关的现场技术问题。</w:t>
            </w:r>
          </w:p>
          <w:p w14:paraId="2E4B1F1E">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六、其他要求:</w:t>
            </w:r>
          </w:p>
          <w:p w14:paraId="736D0055">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本项目为总价包干，报价包含：</w:t>
            </w:r>
          </w:p>
          <w:p w14:paraId="637911C5">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（1）设计服务的价格；</w:t>
            </w:r>
          </w:p>
          <w:p w14:paraId="7633A39B">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（2）必要的保险费用和各项税金；</w:t>
            </w:r>
          </w:p>
          <w:p w14:paraId="2CB2464F">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（3）其他包括但不限于技术支持、售后服务等与本项目相关的各项费用。</w:t>
            </w:r>
          </w:p>
          <w:p w14:paraId="0CF00121">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2.付款方式：签订合同之日起10个工作日内支付50%合同款，项目通过采购人验收后支付剩余50%合同款。（付款前</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须提供等额合规的增值税普通发票给采购人）</w:t>
            </w:r>
          </w:p>
          <w:p w14:paraId="1D2DEEC0">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3.成交供应商未按《采购项目需求一览表》中的内容提供服务或服</w:t>
            </w:r>
            <w:r>
              <w:rPr>
                <w:rFonts w:hint="eastAsia" w:asciiTheme="minorEastAsia" w:hAnsiTheme="minorEastAsia" w:eastAsiaTheme="minorEastAsia" w:cstheme="minorEastAsia"/>
                <w:color w:val="000000" w:themeColor="text1"/>
                <w:sz w:val="21"/>
                <w:szCs w:val="21"/>
                <w14:textFill>
                  <w14:solidFill>
                    <w14:schemeClr w14:val="tx1"/>
                  </w14:solidFill>
                </w14:textFill>
              </w:rPr>
              <w:t>务未达</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 w:val="21"/>
                <w:szCs w:val="21"/>
                <w14:textFill>
                  <w14:solidFill>
                    <w14:schemeClr w14:val="tx1"/>
                  </w14:solidFill>
                </w14:textFill>
              </w:rPr>
              <w:t>标准的采购人可解除本合同。</w:t>
            </w:r>
          </w:p>
          <w:p w14:paraId="6586E06F">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七、验收条件及标准:</w:t>
            </w:r>
          </w:p>
          <w:p w14:paraId="65CC699C">
            <w:pPr>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本项目所有服务完成</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且项目施工完成竣工验收后，成交供应商</w:t>
            </w:r>
            <w:r>
              <w:rPr>
                <w:rFonts w:hint="eastAsia" w:asciiTheme="minorEastAsia" w:hAnsiTheme="minorEastAsia" w:eastAsiaTheme="minorEastAsia" w:cstheme="minorEastAsia"/>
                <w:sz w:val="21"/>
                <w:szCs w:val="21"/>
              </w:rPr>
              <w:t>可向采购人提出验收申请。</w:t>
            </w:r>
          </w:p>
          <w:p w14:paraId="52C01E18">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八、发生以下情形，采购人有权解除合同：</w:t>
            </w:r>
          </w:p>
          <w:p w14:paraId="3698DF24">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1.因不可抗拒因素导致无法运营</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02B42AC1">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2.服务情况与合同约定要求偏差较大</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5F527495">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3.服务期间因</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过错对采购人造成不利影响或重大负面舆情的，采购人有权解除合同，扣除服务款项并追究相关责任。</w:t>
            </w:r>
          </w:p>
          <w:p w14:paraId="0FB1E0C9">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kern w:val="2"/>
                <w:sz w:val="21"/>
                <w:szCs w:val="21"/>
                <w:lang w:val="en-US" w:eastAsia="zh-CN" w:bidi="ar-SA"/>
              </w:rPr>
              <w:t>4.</w:t>
            </w:r>
            <w:r>
              <w:rPr>
                <w:rFonts w:hint="eastAsia" w:asciiTheme="minorEastAsia" w:hAnsiTheme="minorEastAsia" w:eastAsiaTheme="minorEastAsia" w:cstheme="minorEastAsia"/>
                <w:szCs w:val="21"/>
              </w:rPr>
              <w:t>被授权人作为</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的合法代表，在授权范围内负责与采购人对接服务事宜，</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对被授权人在服务期间的履职行为承担全部法律责任</w:t>
            </w:r>
            <w:r>
              <w:rPr>
                <w:rFonts w:hint="eastAsia" w:asciiTheme="minorEastAsia" w:hAnsiTheme="minorEastAsia" w:eastAsiaTheme="minorEastAsia" w:cstheme="minorEastAsia"/>
                <w:kern w:val="2"/>
                <w:sz w:val="21"/>
                <w:szCs w:val="21"/>
                <w:lang w:val="en-US" w:eastAsia="zh-CN" w:bidi="ar-SA"/>
              </w:rPr>
              <w:t>。如出现未经采购人同意，擅自发布不利于采购人利益或产生社会负面影响的信息，由成交供应商负责消除不良影响并承担消除影响的相关费用和责任，采购人可根据实际情况相应扣除服务费用，同时追究相关责任。</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7CECD18F">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EFE7ED2">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816C785">
      <w:pPr>
        <w:spacing w:line="360" w:lineRule="exact"/>
        <w:ind w:firstLine="413" w:firstLineChars="196"/>
        <w:rPr>
          <w:rFonts w:hint="eastAsia" w:ascii="宋体" w:hAnsi="宋体"/>
          <w:b/>
          <w:bCs/>
          <w:color w:val="auto"/>
          <w:kern w:val="0"/>
          <w:szCs w:val="21"/>
          <w:highlight w:val="none"/>
        </w:rPr>
      </w:pPr>
    </w:p>
    <w:p w14:paraId="1788186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4360F75F">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4E2D283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24002B1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D52260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CD13320">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31553"/>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73B5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4E8576A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41BE03A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2BBB3F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289B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noWrap w:val="0"/>
            <w:vAlign w:val="center"/>
          </w:tcPr>
          <w:p w14:paraId="1D5B561F">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2F94BA5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59406144">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5FE77CD6">
            <w:pPr>
              <w:numPr>
                <w:ilvl w:val="-1"/>
                <w:numId w:val="0"/>
              </w:numPr>
              <w:spacing w:line="40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kern w:val="2"/>
                <w:sz w:val="21"/>
                <w:szCs w:val="21"/>
                <w:lang w:val="en-US" w:eastAsia="zh-CN" w:bidi="ar-SA"/>
              </w:rPr>
              <w:t>1.</w:t>
            </w:r>
            <w:r>
              <w:rPr>
                <w:rFonts w:hint="eastAsia" w:asciiTheme="minorEastAsia" w:hAnsiTheme="minorEastAsia" w:eastAsiaTheme="minorEastAsia" w:cstheme="minorEastAsia"/>
                <w:color w:val="auto"/>
                <w:szCs w:val="21"/>
                <w:highlight w:val="none"/>
              </w:rPr>
              <w:t>评标基准价为满足</w:t>
            </w:r>
            <w:r>
              <w:rPr>
                <w:rFonts w:hint="eastAsia" w:asciiTheme="minorEastAsia" w:hAnsiTheme="minorEastAsia" w:eastAsiaTheme="minorEastAsia" w:cstheme="minorEastAsia"/>
                <w:color w:val="auto"/>
                <w:szCs w:val="21"/>
                <w:highlight w:val="none"/>
                <w:lang w:val="en-US" w:eastAsia="zh-CN"/>
              </w:rPr>
              <w:t>采购文件</w:t>
            </w:r>
            <w:r>
              <w:rPr>
                <w:rFonts w:hint="eastAsia" w:asciiTheme="minorEastAsia" w:hAnsiTheme="minorEastAsia" w:eastAsiaTheme="minorEastAsia" w:cstheme="minorEastAsia"/>
                <w:color w:val="auto"/>
                <w:szCs w:val="21"/>
                <w:highlight w:val="none"/>
              </w:rPr>
              <w:t>要求且通过符合性审查的</w:t>
            </w:r>
            <w:r>
              <w:rPr>
                <w:rFonts w:hint="eastAsia" w:asciiTheme="minorEastAsia" w:hAnsiTheme="minorEastAsia" w:eastAsiaTheme="minorEastAsia" w:cstheme="minorEastAsia"/>
                <w:b w:val="0"/>
                <w:bCs w:val="0"/>
                <w:color w:val="auto"/>
                <w:szCs w:val="21"/>
                <w:highlight w:val="none"/>
              </w:rPr>
              <w:t>最低</w:t>
            </w:r>
            <w:r>
              <w:rPr>
                <w:rFonts w:hint="eastAsia" w:asciiTheme="minorEastAsia" w:hAnsiTheme="minorEastAsia" w:eastAsiaTheme="minorEastAsia" w:cstheme="minorEastAsia"/>
                <w:color w:val="auto"/>
                <w:szCs w:val="21"/>
                <w:highlight w:val="none"/>
              </w:rPr>
              <w:t>有效</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报价。</w:t>
            </w:r>
          </w:p>
          <w:p w14:paraId="3F3F7CB1">
            <w:pPr>
              <w:spacing w:line="400" w:lineRule="exact"/>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cstheme="minorEastAsia"/>
                <w:color w:val="auto"/>
                <w:szCs w:val="21"/>
                <w:highlight w:val="none"/>
                <w:lang w:val="en-US" w:eastAsia="zh-CN"/>
              </w:rPr>
              <w:t>.响应报价超过项目最高限价的为无效响应。</w:t>
            </w:r>
          </w:p>
          <w:p w14:paraId="7CB1D09E">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val="en-US" w:eastAsia="zh-CN"/>
              </w:rPr>
              <w:t>.</w:t>
            </w:r>
            <w:r>
              <w:rPr>
                <w:rFonts w:hint="eastAsia" w:asciiTheme="minorEastAsia" w:hAnsiTheme="minorEastAsia" w:eastAsiaTheme="minorEastAsia" w:cstheme="minorEastAsia"/>
                <w:color w:val="auto"/>
                <w:szCs w:val="21"/>
                <w:highlight w:val="none"/>
              </w:rPr>
              <w:t>价格分公式计算：</w:t>
            </w:r>
          </w:p>
          <w:p w14:paraId="37170EF4">
            <w:pPr>
              <w:spacing w:line="400" w:lineRule="exact"/>
              <w:ind w:firstLine="2940" w:firstLineChars="140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评标基准价</w:t>
            </w:r>
          </w:p>
          <w:p w14:paraId="08E29D87">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供应商价格分＝                           ×</w:t>
            </w: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 xml:space="preserve"> 分</w:t>
            </w:r>
          </w:p>
          <w:p w14:paraId="50996FBB">
            <w:pPr>
              <w:spacing w:line="400" w:lineRule="exact"/>
              <w:ind w:firstLine="2520" w:firstLineChars="1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lang w:val="en-US" w:eastAsia="zh-CN"/>
              </w:rPr>
              <w:t>响应报价</w:t>
            </w:r>
          </w:p>
          <w:p w14:paraId="48EF29F8">
            <w:pPr>
              <w:spacing w:line="400" w:lineRule="exact"/>
              <w:rPr>
                <w:rFonts w:hint="eastAsia" w:asciiTheme="minorEastAsia" w:hAnsiTheme="minorEastAsia" w:eastAsiaTheme="minorEastAsia" w:cstheme="minorEastAsia"/>
                <w:bCs/>
                <w:color w:val="auto"/>
                <w:szCs w:val="21"/>
                <w:highlight w:val="none"/>
              </w:rPr>
            </w:pPr>
          </w:p>
          <w:p w14:paraId="296F2460">
            <w:pPr>
              <w:spacing w:line="400" w:lineRule="exact"/>
            </w:pPr>
            <w:r>
              <w:rPr>
                <w:rFonts w:hint="eastAsia" w:asciiTheme="minorEastAsia" w:hAnsiTheme="minorEastAsia" w:eastAsiaTheme="minorEastAsia" w:cstheme="minorEastAsia"/>
                <w:bCs/>
                <w:color w:val="auto"/>
                <w:szCs w:val="21"/>
                <w:highlight w:val="none"/>
              </w:rPr>
              <w:t>注：</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小组应当将其作为无效</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处理。</w:t>
            </w:r>
          </w:p>
        </w:tc>
      </w:tr>
      <w:tr w14:paraId="253D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27" w:type="dxa"/>
            <w:vMerge w:val="restart"/>
            <w:noWrap w:val="0"/>
            <w:vAlign w:val="center"/>
          </w:tcPr>
          <w:p w14:paraId="4E1CD472">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18AF858C">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18BD5D28">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55</w:t>
            </w:r>
            <w:r>
              <w:rPr>
                <w:rFonts w:hint="eastAsia" w:ascii="宋体" w:hAnsi="宋体" w:cs="宋体"/>
                <w:b/>
                <w:color w:val="auto"/>
                <w:spacing w:val="-2"/>
                <w:szCs w:val="21"/>
                <w:highlight w:val="none"/>
              </w:rPr>
              <w:t>分）</w:t>
            </w:r>
          </w:p>
        </w:tc>
        <w:tc>
          <w:tcPr>
            <w:tcW w:w="1758" w:type="dxa"/>
            <w:noWrap w:val="0"/>
            <w:vAlign w:val="center"/>
          </w:tcPr>
          <w:p w14:paraId="3FE8444E">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对项目的理解</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6016" w:type="dxa"/>
            <w:noWrap w:val="0"/>
            <w:vAlign w:val="center"/>
          </w:tcPr>
          <w:p w14:paraId="418FE7F4">
            <w:pPr>
              <w:pStyle w:val="3"/>
              <w:numPr>
                <w:ilvl w:val="0"/>
                <w:numId w:val="0"/>
              </w:numPr>
              <w:rPr>
                <w:rFonts w:hint="eastAsia" w:asciiTheme="minorEastAsia" w:hAnsiTheme="minorEastAsia" w:eastAsiaTheme="minorEastAsia" w:cstheme="minorEastAsia"/>
                <w:b/>
                <w:bCs/>
                <w:color w:val="auto"/>
                <w:kern w:val="2"/>
                <w:sz w:val="21"/>
                <w:szCs w:val="21"/>
                <w:lang w:val="en-US" w:eastAsia="zh-CN" w:bidi="ar-SA"/>
              </w:rPr>
            </w:pPr>
          </w:p>
          <w:p w14:paraId="6F1DEFA4">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4</w:t>
            </w:r>
            <w:r>
              <w:rPr>
                <w:rFonts w:hint="eastAsia"/>
                <w:bCs/>
                <w:color w:val="auto"/>
                <w:highlight w:val="none"/>
              </w:rPr>
              <w:t>分）：对</w:t>
            </w:r>
            <w:r>
              <w:rPr>
                <w:rFonts w:hint="eastAsia"/>
                <w:bCs/>
                <w:color w:val="auto"/>
                <w:highlight w:val="none"/>
                <w:lang w:val="en-US" w:eastAsia="zh-CN"/>
              </w:rPr>
              <w:t>本</w:t>
            </w:r>
            <w:r>
              <w:rPr>
                <w:rFonts w:hint="eastAsia"/>
                <w:bCs/>
                <w:color w:val="auto"/>
                <w:highlight w:val="none"/>
              </w:rPr>
              <w:t>工程概况、工程任务、工程规模、项目现状、项目的建设条件和相关设计的理解</w:t>
            </w:r>
            <w:r>
              <w:rPr>
                <w:rFonts w:hint="eastAsia"/>
                <w:bCs/>
                <w:color w:val="auto"/>
                <w:highlight w:val="none"/>
                <w:lang w:val="en-US" w:eastAsia="zh-CN"/>
              </w:rPr>
              <w:t>认识与把握一般</w:t>
            </w:r>
            <w:r>
              <w:rPr>
                <w:rFonts w:hint="eastAsia"/>
                <w:bCs/>
                <w:color w:val="auto"/>
                <w:highlight w:val="none"/>
              </w:rPr>
              <w:t>；</w:t>
            </w:r>
          </w:p>
          <w:p w14:paraId="2636D076">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7</w:t>
            </w:r>
            <w:r>
              <w:rPr>
                <w:rFonts w:hint="eastAsia"/>
                <w:bCs/>
                <w:color w:val="auto"/>
                <w:highlight w:val="none"/>
              </w:rPr>
              <w:t>分）：对</w:t>
            </w:r>
            <w:r>
              <w:rPr>
                <w:rFonts w:hint="eastAsia"/>
                <w:bCs/>
                <w:color w:val="auto"/>
                <w:highlight w:val="none"/>
                <w:lang w:val="en-US" w:eastAsia="zh-CN"/>
              </w:rPr>
              <w:t>本</w:t>
            </w:r>
            <w:r>
              <w:rPr>
                <w:rFonts w:hint="eastAsia"/>
                <w:bCs/>
                <w:color w:val="auto"/>
                <w:highlight w:val="none"/>
              </w:rPr>
              <w:t>工程概况、工程任务、工程规模、项目现状、项目的建设条件和相关设计的理解</w:t>
            </w:r>
            <w:r>
              <w:rPr>
                <w:rFonts w:hint="eastAsia"/>
                <w:bCs/>
                <w:color w:val="auto"/>
                <w:highlight w:val="none"/>
                <w:lang w:val="en-US" w:eastAsia="zh-CN"/>
              </w:rPr>
              <w:t>认识与把握较为全面、清晰</w:t>
            </w:r>
            <w:r>
              <w:rPr>
                <w:rFonts w:hint="eastAsia"/>
                <w:bCs/>
                <w:color w:val="auto"/>
                <w:highlight w:val="none"/>
              </w:rPr>
              <w:t>；</w:t>
            </w:r>
          </w:p>
          <w:p w14:paraId="00579B08">
            <w:pPr>
              <w:adjustRightInd w:val="0"/>
              <w:spacing w:line="360" w:lineRule="exact"/>
              <w:jc w:val="left"/>
              <w:textAlignment w:val="baseline"/>
              <w:rPr>
                <w:color w:val="auto"/>
                <w:highlight w:val="none"/>
              </w:rPr>
            </w:pPr>
            <w:r>
              <w:rPr>
                <w:rFonts w:hint="eastAsia"/>
                <w:bCs/>
                <w:color w:val="auto"/>
                <w:highlight w:val="none"/>
              </w:rPr>
              <w:t>三档（</w:t>
            </w:r>
            <w:r>
              <w:rPr>
                <w:rFonts w:hint="eastAsia"/>
                <w:bCs/>
                <w:color w:val="auto"/>
                <w:highlight w:val="none"/>
                <w:lang w:val="en-US" w:eastAsia="zh-CN"/>
              </w:rPr>
              <w:t>10</w:t>
            </w:r>
            <w:r>
              <w:rPr>
                <w:rFonts w:hint="eastAsia"/>
                <w:bCs/>
                <w:color w:val="auto"/>
                <w:highlight w:val="none"/>
              </w:rPr>
              <w:t>分）：对</w:t>
            </w:r>
            <w:r>
              <w:rPr>
                <w:rFonts w:hint="eastAsia"/>
                <w:bCs/>
                <w:color w:val="auto"/>
                <w:highlight w:val="none"/>
                <w:lang w:val="en-US" w:eastAsia="zh-CN"/>
              </w:rPr>
              <w:t>本</w:t>
            </w:r>
            <w:r>
              <w:rPr>
                <w:rFonts w:hint="eastAsia"/>
                <w:bCs/>
                <w:color w:val="auto"/>
                <w:highlight w:val="none"/>
              </w:rPr>
              <w:t>工程概况、工程任务、工程规模、项目现状、项目的建设条件和相关设计的理解</w:t>
            </w:r>
            <w:r>
              <w:rPr>
                <w:rFonts w:hint="eastAsia"/>
                <w:bCs/>
                <w:color w:val="auto"/>
                <w:highlight w:val="none"/>
                <w:lang w:val="en-US" w:eastAsia="zh-CN"/>
              </w:rPr>
              <w:t>认识与把握全面、深入、清晰、准确</w:t>
            </w:r>
            <w:r>
              <w:rPr>
                <w:rFonts w:hint="eastAsia"/>
                <w:bCs/>
                <w:color w:val="auto"/>
                <w:highlight w:val="none"/>
              </w:rPr>
              <w:t>。</w:t>
            </w:r>
          </w:p>
          <w:p w14:paraId="782E8029">
            <w:pPr>
              <w:pStyle w:val="3"/>
              <w:numPr>
                <w:ilvl w:val="0"/>
                <w:numId w:val="0"/>
              </w:numPr>
              <w:rPr>
                <w:rFonts w:hint="eastAsia"/>
                <w:color w:val="auto"/>
                <w:highlight w:val="none"/>
              </w:rPr>
            </w:pPr>
            <w:r>
              <w:rPr>
                <w:rFonts w:hint="eastAsia"/>
                <w:color w:val="auto"/>
                <w:highlight w:val="none"/>
              </w:rPr>
              <w:t>注：未提供或不满足进档要求不得分。</w:t>
            </w:r>
          </w:p>
        </w:tc>
      </w:tr>
      <w:tr w14:paraId="26EC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3C194F75">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B77BCE">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825490E">
            <w:pPr>
              <w:jc w:val="center"/>
              <w:rPr>
                <w:rFonts w:hint="eastAsia" w:ascii="宋体" w:hAnsi="宋体" w:cs="宋体"/>
                <w:b/>
                <w:color w:val="auto"/>
                <w:szCs w:val="21"/>
                <w:highlight w:val="none"/>
              </w:rPr>
            </w:pPr>
            <w:r>
              <w:rPr>
                <w:rStyle w:val="19"/>
                <w:rFonts w:hint="eastAsia" w:ascii="Segoe UI" w:hAnsi="Segoe UI" w:eastAsia="Segoe UI" w:cs="Segoe UI"/>
                <w:b/>
                <w:bCs/>
                <w:i w:val="0"/>
                <w:iCs w:val="0"/>
                <w:caps w:val="0"/>
                <w:color w:val="0F1115"/>
                <w:spacing w:val="0"/>
                <w:sz w:val="22"/>
                <w:szCs w:val="22"/>
                <w:shd w:val="clear" w:fill="FFFFFF"/>
              </w:rPr>
              <w:t>项目技术说明和方案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289FB554">
            <w:pPr>
              <w:pStyle w:val="10"/>
              <w:rPr>
                <w:rFonts w:hint="eastAsia" w:asciiTheme="minorEastAsia" w:hAnsiTheme="minorEastAsia" w:eastAsiaTheme="minorEastAsia" w:cstheme="minorEastAsia"/>
                <w:sz w:val="21"/>
                <w:szCs w:val="21"/>
                <w:lang w:val="en-US" w:eastAsia="zh-CN"/>
              </w:rPr>
            </w:pPr>
          </w:p>
          <w:p w14:paraId="18FC0EF9">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lang w:val="en-US" w:eastAsia="zh-CN"/>
              </w:rPr>
              <w:t>一档（5分）：</w:t>
            </w:r>
            <w:r>
              <w:rPr>
                <w:rFonts w:hint="eastAsia" w:ascii="宋体" w:hAnsi="宋体" w:eastAsia="宋体" w:cs="宋体"/>
                <w:color w:val="000000" w:themeColor="text1"/>
                <w:sz w:val="21"/>
                <w:szCs w:val="21"/>
                <w:highlight w:val="none"/>
                <w14:textFill>
                  <w14:solidFill>
                    <w14:schemeClr w14:val="tx1"/>
                  </w14:solidFill>
                </w14:textFill>
              </w:rPr>
              <w:t>项目目标（质量、工期）、项目实施组织形式、项目阶段划分、项目工作分解结构、</w:t>
            </w:r>
            <w:r>
              <w:rPr>
                <w:rFonts w:hint="eastAsia" w:ascii="宋体" w:hAnsi="宋体" w:eastAsia="宋体" w:cs="宋体"/>
                <w:color w:val="000000" w:themeColor="text1"/>
                <w:sz w:val="21"/>
                <w:szCs w:val="21"/>
                <w:highlight w:val="none"/>
                <w:lang w:eastAsia="zh-CN"/>
                <w14:textFill>
                  <w14:solidFill>
                    <w14:schemeClr w14:val="tx1"/>
                  </w14:solidFill>
                </w14:textFill>
              </w:rPr>
              <w:t>项目技术方案、</w:t>
            </w:r>
            <w:r>
              <w:rPr>
                <w:rFonts w:hint="eastAsia" w:ascii="宋体" w:hAnsi="宋体" w:eastAsia="宋体" w:cs="宋体"/>
                <w:color w:val="000000" w:themeColor="text1"/>
                <w:sz w:val="21"/>
                <w:szCs w:val="21"/>
                <w:highlight w:val="none"/>
                <w14:textFill>
                  <w14:solidFill>
                    <w14:schemeClr w14:val="tx1"/>
                  </w14:solidFill>
                </w14:textFill>
              </w:rPr>
              <w:t>对项目各阶段工作及文件的要求、项目沟通与协调程序描述基本详细、基本清晰、基本合理</w:t>
            </w:r>
            <w:r>
              <w:rPr>
                <w:rFonts w:hint="eastAsia" w:ascii="宋体" w:hAnsi="宋体" w:cs="宋体"/>
                <w:color w:val="000000" w:themeColor="text1"/>
                <w:sz w:val="21"/>
                <w:szCs w:val="21"/>
                <w:highlight w:val="none"/>
                <w:lang w:eastAsia="zh-CN"/>
                <w14:textFill>
                  <w14:solidFill>
                    <w14:schemeClr w14:val="tx1"/>
                  </w14:solidFill>
                </w14:textFill>
              </w:rPr>
              <w:t>；</w:t>
            </w:r>
          </w:p>
          <w:p w14:paraId="1EB1B601">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二挡（10分）：</w:t>
            </w:r>
            <w:r>
              <w:rPr>
                <w:rFonts w:hint="eastAsia" w:ascii="宋体" w:hAnsi="宋体" w:eastAsia="宋体" w:cs="宋体"/>
                <w:color w:val="000000" w:themeColor="text1"/>
                <w:sz w:val="21"/>
                <w:szCs w:val="21"/>
                <w:highlight w:val="none"/>
                <w14:textFill>
                  <w14:solidFill>
                    <w14:schemeClr w14:val="tx1"/>
                  </w14:solidFill>
                </w14:textFill>
              </w:rPr>
              <w:t>项目目标（质量、工期）、项目实施组织形式、项目阶段划分、项目工作分解结构、</w:t>
            </w:r>
            <w:r>
              <w:rPr>
                <w:rFonts w:hint="eastAsia" w:ascii="宋体" w:hAnsi="宋体" w:eastAsia="宋体" w:cs="宋体"/>
                <w:color w:val="000000" w:themeColor="text1"/>
                <w:sz w:val="21"/>
                <w:szCs w:val="21"/>
                <w:highlight w:val="none"/>
                <w:lang w:eastAsia="zh-CN"/>
                <w14:textFill>
                  <w14:solidFill>
                    <w14:schemeClr w14:val="tx1"/>
                  </w14:solidFill>
                </w14:textFill>
              </w:rPr>
              <w:t>项目技术方案、</w:t>
            </w:r>
            <w:r>
              <w:rPr>
                <w:rFonts w:hint="eastAsia" w:ascii="宋体" w:hAnsi="宋体" w:eastAsia="宋体" w:cs="宋体"/>
                <w:color w:val="000000" w:themeColor="text1"/>
                <w:sz w:val="21"/>
                <w:szCs w:val="21"/>
                <w:highlight w:val="none"/>
                <w14:textFill>
                  <w14:solidFill>
                    <w14:schemeClr w14:val="tx1"/>
                  </w14:solidFill>
                </w14:textFill>
              </w:rPr>
              <w:t>对项目各阶段工作及文件的要求、项目沟通与协调程序描述较详细、较清晰、较合理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较可行</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C58D511">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三挡（15分）：</w:t>
            </w:r>
            <w:r>
              <w:rPr>
                <w:rFonts w:hint="eastAsia" w:ascii="宋体" w:hAnsi="宋体" w:eastAsia="宋体" w:cs="宋体"/>
                <w:color w:val="000000" w:themeColor="text1"/>
                <w:sz w:val="21"/>
                <w:szCs w:val="21"/>
                <w:highlight w:val="none"/>
                <w14:textFill>
                  <w14:solidFill>
                    <w14:schemeClr w14:val="tx1"/>
                  </w14:solidFill>
                </w14:textFill>
              </w:rPr>
              <w:t>项目目标（质量、工期）、项目实施组织形式、项目阶段划分、项目工作分解结构、</w:t>
            </w:r>
            <w:r>
              <w:rPr>
                <w:rFonts w:hint="eastAsia" w:ascii="宋体" w:hAnsi="宋体" w:eastAsia="宋体" w:cs="宋体"/>
                <w:color w:val="000000" w:themeColor="text1"/>
                <w:sz w:val="21"/>
                <w:szCs w:val="21"/>
                <w:highlight w:val="none"/>
                <w:lang w:eastAsia="zh-CN"/>
                <w14:textFill>
                  <w14:solidFill>
                    <w14:schemeClr w14:val="tx1"/>
                  </w14:solidFill>
                </w14:textFill>
              </w:rPr>
              <w:t>项目技术方案、</w:t>
            </w:r>
            <w:r>
              <w:rPr>
                <w:rFonts w:hint="eastAsia" w:ascii="宋体" w:hAnsi="宋体" w:eastAsia="宋体" w:cs="宋体"/>
                <w:color w:val="000000" w:themeColor="text1"/>
                <w:sz w:val="21"/>
                <w:szCs w:val="21"/>
                <w:highlight w:val="none"/>
                <w14:textFill>
                  <w14:solidFill>
                    <w14:schemeClr w14:val="tx1"/>
                  </w14:solidFill>
                </w14:textFill>
              </w:rPr>
              <w:t>对项目各阶段工作及文件的要求、项目沟通与协调程序描述详细、清晰、合理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操作性强，完全满足项目需求</w:t>
            </w:r>
            <w:r>
              <w:rPr>
                <w:rFonts w:hint="eastAsia" w:ascii="宋体" w:hAnsi="宋体" w:cs="宋体"/>
                <w:color w:val="000000" w:themeColor="text1"/>
                <w:sz w:val="21"/>
                <w:szCs w:val="21"/>
                <w:highlight w:val="none"/>
                <w:lang w:eastAsia="zh-CN"/>
                <w14:textFill>
                  <w14:solidFill>
                    <w14:schemeClr w14:val="tx1"/>
                  </w14:solidFill>
                </w14:textFill>
              </w:rPr>
              <w:t>。</w:t>
            </w:r>
          </w:p>
          <w:p w14:paraId="0F43153B">
            <w:pPr>
              <w:pStyle w:val="3"/>
              <w:numPr>
                <w:ilvl w:val="0"/>
                <w:numId w:val="0"/>
              </w:numPr>
              <w:rPr>
                <w:rFonts w:hint="eastAsia"/>
                <w:color w:val="auto"/>
                <w:highlight w:val="none"/>
              </w:rPr>
            </w:pPr>
            <w:r>
              <w:rPr>
                <w:rFonts w:hint="eastAsia"/>
                <w:color w:val="auto"/>
                <w:highlight w:val="none"/>
              </w:rPr>
              <w:t>注：未提供或不满足进档要求不得分。</w:t>
            </w:r>
          </w:p>
          <w:p w14:paraId="22F34BD0">
            <w:pPr>
              <w:pStyle w:val="10"/>
              <w:rPr>
                <w:rFonts w:hint="eastAsia" w:ascii="宋体" w:hAnsi="宋体" w:cs="宋体"/>
                <w:color w:val="000000" w:themeColor="text1"/>
                <w:sz w:val="21"/>
                <w:szCs w:val="21"/>
                <w:highlight w:val="none"/>
                <w:lang w:val="en-US" w:eastAsia="zh-CN"/>
                <w14:textFill>
                  <w14:solidFill>
                    <w14:schemeClr w14:val="tx1"/>
                  </w14:solidFill>
                </w14:textFill>
              </w:rPr>
            </w:pPr>
          </w:p>
        </w:tc>
      </w:tr>
      <w:tr w14:paraId="5E08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527" w:type="dxa"/>
            <w:vMerge w:val="continue"/>
            <w:noWrap w:val="0"/>
            <w:vAlign w:val="center"/>
          </w:tcPr>
          <w:p w14:paraId="043E67A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113E86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42C794C">
            <w:pPr>
              <w:snapToGrid w:val="0"/>
              <w:spacing w:line="380" w:lineRule="exact"/>
              <w:rPr>
                <w:rFonts w:ascii="宋体" w:hAnsi="宋体" w:cs="宋体"/>
                <w:b/>
                <w:color w:val="auto"/>
                <w:szCs w:val="21"/>
                <w:highlight w:val="none"/>
              </w:rPr>
            </w:pPr>
            <w:r>
              <w:rPr>
                <w:rStyle w:val="19"/>
                <w:rFonts w:hint="eastAsia" w:ascii="Segoe UI" w:hAnsi="Segoe UI" w:eastAsia="Segoe UI" w:cs="Segoe UI"/>
                <w:b/>
                <w:bCs/>
                <w:i w:val="0"/>
                <w:iCs w:val="0"/>
                <w:caps w:val="0"/>
                <w:color w:val="0F1115"/>
                <w:spacing w:val="0"/>
                <w:sz w:val="22"/>
                <w:szCs w:val="22"/>
                <w:shd w:val="clear" w:fill="FFFFFF"/>
              </w:rPr>
              <w:t>项目设计工作服务的质量保证措施、进度保证措施、安全保证措施</w:t>
            </w:r>
            <w:r>
              <w:rPr>
                <w:rStyle w:val="19"/>
                <w:rFonts w:hint="eastAsia" w:ascii="Segoe UI" w:hAnsi="Segoe UI" w:eastAsia="宋体" w:cs="Segoe UI"/>
                <w:b/>
                <w:bCs/>
                <w:i w:val="0"/>
                <w:iCs w:val="0"/>
                <w:caps w:val="0"/>
                <w:color w:val="0F1115"/>
                <w:spacing w:val="0"/>
                <w:sz w:val="22"/>
                <w:szCs w:val="22"/>
                <w:shd w:val="clear" w:fill="FFFFFF"/>
                <w:lang w:eastAsia="zh-CN"/>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15</w:t>
            </w:r>
            <w:r>
              <w:rPr>
                <w:rFonts w:ascii="宋体" w:hAnsi="宋体" w:cs="宋体"/>
                <w:b/>
                <w:color w:val="auto"/>
                <w:kern w:val="0"/>
                <w:szCs w:val="21"/>
                <w:highlight w:val="none"/>
              </w:rPr>
              <w:t>分）</w:t>
            </w:r>
          </w:p>
        </w:tc>
        <w:tc>
          <w:tcPr>
            <w:tcW w:w="6016" w:type="dxa"/>
            <w:noWrap w:val="0"/>
            <w:vAlign w:val="center"/>
          </w:tcPr>
          <w:p w14:paraId="42D5B29E">
            <w:pPr>
              <w:pStyle w:val="3"/>
              <w:rPr>
                <w:rFonts w:hint="eastAsia"/>
                <w:color w:val="auto"/>
                <w:highlight w:val="none"/>
              </w:rPr>
            </w:pPr>
          </w:p>
          <w:p w14:paraId="571E84EF">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lang w:val="en-US" w:eastAsia="zh-CN"/>
              </w:rPr>
              <w:t>一档（5分）：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响应供应商</w:t>
            </w:r>
            <w:r>
              <w:rPr>
                <w:rFonts w:hint="eastAsia" w:ascii="宋体" w:hAnsi="宋体" w:eastAsia="宋体" w:cs="宋体"/>
                <w:color w:val="000000" w:themeColor="text1"/>
                <w:sz w:val="21"/>
                <w:szCs w:val="21"/>
                <w:highlight w:val="none"/>
                <w14:textFill>
                  <w14:solidFill>
                    <w14:schemeClr w14:val="tx1"/>
                  </w14:solidFill>
                </w14:textFill>
              </w:rPr>
              <w:t>质量保证措施、进度保证措施、安全保证措施的阐述较为简单，基本满足项目服务要求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B1EF52F">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二挡（10分）：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响应供应商</w:t>
            </w:r>
            <w:r>
              <w:rPr>
                <w:rFonts w:hint="eastAsia" w:ascii="宋体" w:hAnsi="宋体" w:eastAsia="宋体" w:cs="宋体"/>
                <w:color w:val="000000" w:themeColor="text1"/>
                <w:sz w:val="21"/>
                <w:szCs w:val="21"/>
                <w:highlight w:val="none"/>
                <w14:textFill>
                  <w14:solidFill>
                    <w14:schemeClr w14:val="tx1"/>
                  </w14:solidFill>
                </w14:textFill>
              </w:rPr>
              <w:t>质量保证措施、进度保证措施、安全保证措施方面均有阐述；有对项目核心风险点进行分析，提出的风险预防措施针对性不够，质量保证措施和安全保证措施不够具体；项目进度安排满足要求，有进度计划表，项目进度保证措施较合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32FCB6D">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三挡（15分）：响应供应商</w:t>
            </w:r>
            <w:r>
              <w:rPr>
                <w:rFonts w:hint="eastAsia" w:ascii="宋体" w:hAnsi="宋体" w:eastAsia="宋体" w:cs="宋体"/>
                <w:color w:val="000000" w:themeColor="text1"/>
                <w:sz w:val="21"/>
                <w:szCs w:val="21"/>
                <w:highlight w:val="none"/>
                <w14:textFill>
                  <w14:solidFill>
                    <w14:schemeClr w14:val="tx1"/>
                  </w14:solidFill>
                </w14:textFill>
              </w:rPr>
              <w:t>质量保证措施、进度保证措施、安全保证措施方面重点突出、阐述全面；针对项目核心风险点进行分析，并提出切实可行的防范措施及解决方案，质量保证措施和安全保证措施清晰具体；项目进度安排满足要求，制定明确的进度计划表，项目进度保证措施合理，科学有效；各项措施能够以较大优势及便利地完全满足项目要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373FB3A">
            <w:pPr>
              <w:pStyle w:val="3"/>
              <w:numPr>
                <w:ilvl w:val="0"/>
                <w:numId w:val="0"/>
              </w:numPr>
              <w:rPr>
                <w:rFonts w:hint="eastAsia"/>
                <w:color w:val="auto"/>
                <w:highlight w:val="none"/>
              </w:rPr>
            </w:pPr>
            <w:r>
              <w:rPr>
                <w:rFonts w:hint="eastAsia"/>
                <w:color w:val="auto"/>
                <w:highlight w:val="none"/>
              </w:rPr>
              <w:t>注：未提供或不满足进档要求不得分。</w:t>
            </w:r>
          </w:p>
          <w:p w14:paraId="360ADEE2">
            <w:pPr>
              <w:pStyle w:val="3"/>
              <w:rPr>
                <w:rFonts w:hint="eastAsia"/>
                <w:color w:val="auto"/>
                <w:highlight w:val="none"/>
              </w:rPr>
            </w:pPr>
          </w:p>
        </w:tc>
      </w:tr>
      <w:tr w14:paraId="516D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65229034">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4FEA2D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EDF64AD">
            <w:pPr>
              <w:snapToGrid w:val="0"/>
              <w:spacing w:line="380" w:lineRule="exact"/>
              <w:rPr>
                <w:rFonts w:hint="eastAsia" w:ascii="宋体" w:hAnsi="宋体" w:cs="宋体" w:eastAsiaTheme="minorEastAsia"/>
                <w:b/>
                <w:color w:val="auto"/>
                <w:kern w:val="0"/>
                <w:szCs w:val="21"/>
                <w:highlight w:val="none"/>
                <w:lang w:eastAsia="zh-CN"/>
              </w:rPr>
            </w:pPr>
            <w:r>
              <w:rPr>
                <w:rFonts w:hint="eastAsia" w:ascii="宋体" w:hAnsi="宋体" w:eastAsia="宋体" w:cs="宋体"/>
                <w:b/>
                <w:bCs/>
                <w:color w:val="000000" w:themeColor="text1"/>
                <w:sz w:val="21"/>
                <w:szCs w:val="21"/>
                <w:highlight w:val="none"/>
                <w14:textFill>
                  <w14:solidFill>
                    <w14:schemeClr w14:val="tx1"/>
                  </w14:solidFill>
                </w14:textFill>
              </w:rPr>
              <w:t>服务承诺</w:t>
            </w:r>
            <w:r>
              <w:rPr>
                <w:rFonts w:hint="eastAsia" w:ascii="宋体" w:hAnsi="宋体" w:cs="宋体"/>
                <w:b/>
                <w:color w:val="auto"/>
                <w:kern w:val="0"/>
                <w:szCs w:val="21"/>
                <w:highlight w:val="none"/>
                <w:lang w:eastAsia="zh-CN"/>
              </w:rPr>
              <w:t>（</w:t>
            </w:r>
            <w:r>
              <w:rPr>
                <w:rFonts w:hint="eastAsia" w:ascii="宋体" w:hAnsi="宋体" w:cs="宋体"/>
                <w:b/>
                <w:color w:val="auto"/>
                <w:kern w:val="0"/>
                <w:szCs w:val="21"/>
                <w:highlight w:val="none"/>
                <w:lang w:val="en-US" w:eastAsia="zh-CN"/>
              </w:rPr>
              <w:t>满分15分</w:t>
            </w:r>
            <w:r>
              <w:rPr>
                <w:rFonts w:hint="eastAsia" w:ascii="宋体" w:hAnsi="宋体" w:cs="宋体"/>
                <w:b/>
                <w:color w:val="auto"/>
                <w:kern w:val="0"/>
                <w:szCs w:val="21"/>
                <w:highlight w:val="none"/>
                <w:lang w:eastAsia="zh-CN"/>
              </w:rPr>
              <w:t>）</w:t>
            </w:r>
          </w:p>
        </w:tc>
        <w:tc>
          <w:tcPr>
            <w:tcW w:w="6016" w:type="dxa"/>
            <w:noWrap w:val="0"/>
            <w:vAlign w:val="center"/>
          </w:tcPr>
          <w:p w14:paraId="0493DE27">
            <w:pPr>
              <w:pStyle w:val="10"/>
              <w:rPr>
                <w:rFonts w:hint="eastAsia" w:asciiTheme="minorEastAsia" w:hAnsiTheme="minorEastAsia" w:eastAsiaTheme="minorEastAsia" w:cstheme="minorEastAsia"/>
                <w:sz w:val="21"/>
                <w:szCs w:val="21"/>
                <w:lang w:val="en-US" w:eastAsia="zh-CN"/>
              </w:rPr>
            </w:pPr>
          </w:p>
          <w:p w14:paraId="20733043">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lang w:val="en-US" w:eastAsia="zh-CN"/>
              </w:rPr>
              <w:t>一档（5分）：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设计服务承诺内容（服务内容、服务措施、服务响应速度、修改调整承诺、后续服务方案等方面）简单，各项承诺内容不够全面或缺项</w:t>
            </w:r>
            <w:r>
              <w:rPr>
                <w:rFonts w:hint="eastAsia" w:ascii="宋体" w:hAnsi="宋体" w:cs="宋体"/>
                <w:color w:val="000000" w:themeColor="text1"/>
                <w:sz w:val="21"/>
                <w:szCs w:val="21"/>
                <w:highlight w:val="none"/>
                <w:lang w:eastAsia="zh-CN"/>
                <w14:textFill>
                  <w14:solidFill>
                    <w14:schemeClr w14:val="tx1"/>
                  </w14:solidFill>
                </w14:textFill>
              </w:rPr>
              <w:t>；</w:t>
            </w:r>
          </w:p>
          <w:p w14:paraId="1F8954A5">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二挡（10分）：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设计服务承诺内容（服务内容、服务措施、服务响应速度、修改调整承诺、后续服务方案等方面）较完整，各项承诺内容基本合理，具有一定针对性，基本满足项目需求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8F2A031">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三挡（15分）：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设计服务承诺内容（服务内容、服务措施、服务响应速度、修改调整承诺、后续服务方案等方面）详细，各项承诺内容合理，针对性强，完全满足项目需求，充分为采购人考虑</w:t>
            </w:r>
            <w:r>
              <w:rPr>
                <w:rFonts w:hint="eastAsia" w:ascii="宋体" w:hAnsi="宋体" w:cs="宋体"/>
                <w:color w:val="000000" w:themeColor="text1"/>
                <w:sz w:val="21"/>
                <w:szCs w:val="21"/>
                <w:highlight w:val="none"/>
                <w:lang w:eastAsia="zh-CN"/>
                <w14:textFill>
                  <w14:solidFill>
                    <w14:schemeClr w14:val="tx1"/>
                  </w14:solidFill>
                </w14:textFill>
              </w:rPr>
              <w:t>。</w:t>
            </w:r>
          </w:p>
          <w:p w14:paraId="434211F3">
            <w:pPr>
              <w:pStyle w:val="3"/>
              <w:numPr>
                <w:ilvl w:val="0"/>
                <w:numId w:val="0"/>
              </w:numPr>
              <w:rPr>
                <w:rFonts w:hint="eastAsia"/>
                <w:color w:val="auto"/>
                <w:highlight w:val="none"/>
              </w:rPr>
            </w:pPr>
            <w:r>
              <w:rPr>
                <w:rFonts w:hint="eastAsia"/>
                <w:color w:val="auto"/>
                <w:highlight w:val="none"/>
              </w:rPr>
              <w:t>注：未提供或不满足进档要求不得分。</w:t>
            </w:r>
          </w:p>
          <w:p w14:paraId="30A6D94D">
            <w:pPr>
              <w:pStyle w:val="3"/>
              <w:numPr>
                <w:ilvl w:val="0"/>
                <w:numId w:val="0"/>
              </w:numPr>
              <w:rPr>
                <w:rFonts w:hint="eastAsia"/>
                <w:color w:val="auto"/>
                <w:highlight w:val="none"/>
              </w:rPr>
            </w:pPr>
          </w:p>
        </w:tc>
      </w:tr>
      <w:tr w14:paraId="5401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40CA50F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7F5AA95E">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35</w:t>
            </w:r>
            <w:r>
              <w:rPr>
                <w:rFonts w:hint="eastAsia" w:ascii="宋体" w:hAnsi="宋体" w:cs="宋体"/>
                <w:b/>
                <w:color w:val="auto"/>
                <w:spacing w:val="-2"/>
                <w:szCs w:val="21"/>
                <w:highlight w:val="none"/>
              </w:rPr>
              <w:t>分）</w:t>
            </w:r>
          </w:p>
        </w:tc>
        <w:tc>
          <w:tcPr>
            <w:tcW w:w="1758" w:type="dxa"/>
            <w:noWrap w:val="0"/>
            <w:vAlign w:val="center"/>
          </w:tcPr>
          <w:p w14:paraId="75AC0387">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cs="宋体"/>
                <w:b/>
                <w:bCs/>
                <w:color w:val="auto"/>
                <w:szCs w:val="21"/>
                <w:highlight w:val="none"/>
              </w:rPr>
              <w:t>拟投入本项目人</w:t>
            </w:r>
          </w:p>
          <w:p w14:paraId="0C2CC465">
            <w:pPr>
              <w:adjustRightInd w:val="0"/>
              <w:snapToGrid w:val="0"/>
              <w:spacing w:line="360" w:lineRule="atLeast"/>
              <w:jc w:val="center"/>
              <w:textAlignment w:val="baseline"/>
              <w:rPr>
                <w:rFonts w:hint="eastAsia" w:ascii="宋体" w:hAnsi="宋体" w:cs="宋体" w:eastAsiaTheme="minorEastAsia"/>
                <w:b/>
                <w:bCs/>
                <w:color w:val="auto"/>
                <w:szCs w:val="21"/>
                <w:highlight w:val="none"/>
                <w:lang w:eastAsia="zh-CN"/>
              </w:rPr>
            </w:pPr>
            <w:r>
              <w:rPr>
                <w:rFonts w:hint="eastAsia" w:ascii="宋体" w:hAnsi="宋体" w:cs="宋体"/>
                <w:b/>
                <w:bCs/>
                <w:color w:val="auto"/>
                <w:szCs w:val="21"/>
                <w:highlight w:val="none"/>
              </w:rPr>
              <w:t>员情况</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满分20分</w:t>
            </w:r>
            <w:r>
              <w:rPr>
                <w:rFonts w:hint="eastAsia" w:ascii="宋体" w:hAnsi="宋体" w:cs="宋体"/>
                <w:b/>
                <w:bCs/>
                <w:color w:val="auto"/>
                <w:szCs w:val="21"/>
                <w:highlight w:val="none"/>
                <w:lang w:eastAsia="zh-CN"/>
              </w:rPr>
              <w:t>）</w:t>
            </w:r>
          </w:p>
        </w:tc>
        <w:tc>
          <w:tcPr>
            <w:tcW w:w="6016" w:type="dxa"/>
            <w:noWrap w:val="0"/>
            <w:vAlign w:val="center"/>
          </w:tcPr>
          <w:p w14:paraId="640BE7BF">
            <w:pPr>
              <w:pStyle w:val="3"/>
              <w:rPr>
                <w:rFonts w:hint="eastAsia"/>
                <w:color w:val="auto"/>
                <w:highlight w:val="none"/>
              </w:rPr>
            </w:pPr>
            <w:r>
              <w:rPr>
                <w:rFonts w:hint="eastAsia"/>
                <w:color w:val="auto"/>
                <w:highlight w:val="none"/>
              </w:rPr>
              <w:t>（1）项目负责人（</w:t>
            </w:r>
            <w:r>
              <w:rPr>
                <w:rFonts w:hint="eastAsia"/>
                <w:color w:val="auto"/>
                <w:highlight w:val="none"/>
                <w:lang w:val="en-US" w:eastAsia="zh-CN"/>
              </w:rPr>
              <w:t>8</w:t>
            </w:r>
            <w:r>
              <w:rPr>
                <w:rFonts w:hint="eastAsia"/>
                <w:color w:val="auto"/>
                <w:highlight w:val="none"/>
              </w:rPr>
              <w:t>分）</w:t>
            </w:r>
          </w:p>
          <w:p w14:paraId="0CB37F80">
            <w:pPr>
              <w:pStyle w:val="3"/>
              <w:ind w:firstLine="420" w:firstLineChars="200"/>
              <w:rPr>
                <w:rFonts w:hint="eastAsia"/>
                <w:color w:val="auto"/>
                <w:highlight w:val="none"/>
              </w:rPr>
            </w:pPr>
            <w:r>
              <w:rPr>
                <w:rFonts w:hint="eastAsia"/>
                <w:color w:val="auto"/>
                <w:highlight w:val="none"/>
                <w:lang w:val="en-US" w:eastAsia="zh-CN"/>
              </w:rPr>
              <w:t>拟派</w:t>
            </w:r>
            <w:r>
              <w:rPr>
                <w:rFonts w:hint="eastAsia"/>
                <w:color w:val="auto"/>
                <w:highlight w:val="none"/>
              </w:rPr>
              <w:t xml:space="preserve">项目负责人具有工程类专业高级职称的得 </w:t>
            </w:r>
            <w:r>
              <w:rPr>
                <w:rFonts w:hint="eastAsia"/>
                <w:color w:val="auto"/>
                <w:highlight w:val="none"/>
                <w:lang w:val="en-US" w:eastAsia="zh-CN"/>
              </w:rPr>
              <w:t>4</w:t>
            </w:r>
            <w:r>
              <w:rPr>
                <w:rFonts w:hint="eastAsia"/>
                <w:color w:val="auto"/>
                <w:highlight w:val="none"/>
              </w:rPr>
              <w:t xml:space="preserve"> 分</w:t>
            </w:r>
            <w:r>
              <w:rPr>
                <w:rFonts w:hint="eastAsia"/>
                <w:color w:val="auto"/>
                <w:highlight w:val="none"/>
                <w:lang w:eastAsia="zh-CN"/>
              </w:rPr>
              <w:t>；</w:t>
            </w:r>
            <w:r>
              <w:rPr>
                <w:rFonts w:hint="eastAsia"/>
                <w:color w:val="auto"/>
                <w:highlight w:val="none"/>
              </w:rPr>
              <w:t xml:space="preserve">具有一级注册建筑师和工程类专业高级职称，且有一项房屋建筑工程设计业绩的得 </w:t>
            </w:r>
            <w:r>
              <w:rPr>
                <w:rFonts w:hint="eastAsia"/>
                <w:color w:val="auto"/>
                <w:highlight w:val="none"/>
                <w:lang w:val="en-US" w:eastAsia="zh-CN"/>
              </w:rPr>
              <w:t>8</w:t>
            </w:r>
            <w:r>
              <w:rPr>
                <w:rFonts w:hint="eastAsia"/>
                <w:color w:val="auto"/>
                <w:highlight w:val="none"/>
              </w:rPr>
              <w:t xml:space="preserve"> 分，本项满分 </w:t>
            </w:r>
            <w:r>
              <w:rPr>
                <w:rFonts w:hint="eastAsia"/>
                <w:color w:val="auto"/>
                <w:highlight w:val="none"/>
                <w:lang w:val="en-US" w:eastAsia="zh-CN"/>
              </w:rPr>
              <w:t>8</w:t>
            </w:r>
            <w:r>
              <w:rPr>
                <w:rFonts w:hint="eastAsia"/>
                <w:color w:val="auto"/>
                <w:highlight w:val="none"/>
              </w:rPr>
              <w:t>分。</w:t>
            </w:r>
          </w:p>
          <w:p w14:paraId="3E7D731D">
            <w:pPr>
              <w:pStyle w:val="3"/>
              <w:rPr>
                <w:rFonts w:hint="eastAsia"/>
                <w:b/>
                <w:bCs/>
                <w:color w:val="auto"/>
                <w:highlight w:val="none"/>
              </w:rPr>
            </w:pPr>
            <w:r>
              <w:rPr>
                <w:rFonts w:hint="eastAsia"/>
                <w:b/>
                <w:bCs/>
                <w:color w:val="auto"/>
                <w:highlight w:val="none"/>
              </w:rPr>
              <w:t>（响应文件中提供专业人员有关国家颁发的执业证书（如有）、</w:t>
            </w:r>
          </w:p>
          <w:p w14:paraId="7A04E3D4">
            <w:pPr>
              <w:pStyle w:val="3"/>
              <w:rPr>
                <w:rFonts w:hint="eastAsia"/>
                <w:b/>
                <w:bCs/>
                <w:color w:val="auto"/>
                <w:highlight w:val="none"/>
              </w:rPr>
            </w:pPr>
            <w:r>
              <w:rPr>
                <w:rFonts w:hint="eastAsia"/>
                <w:b/>
                <w:bCs/>
                <w:color w:val="auto"/>
                <w:highlight w:val="none"/>
              </w:rPr>
              <w:t>职称证</w:t>
            </w:r>
            <w:r>
              <w:rPr>
                <w:rFonts w:hint="eastAsia"/>
                <w:b/>
                <w:bCs/>
                <w:color w:val="auto"/>
                <w:highlight w:val="none"/>
                <w:lang w:val="en-US" w:eastAsia="zh-CN"/>
              </w:rPr>
              <w:t>复印件并加盖响应</w:t>
            </w:r>
            <w:r>
              <w:rPr>
                <w:rFonts w:hint="eastAsia"/>
                <w:b/>
                <w:bCs/>
                <w:color w:val="auto"/>
                <w:highlight w:val="none"/>
              </w:rPr>
              <w:t>供应商公章，项目业绩合同复印件（如有）加盖</w:t>
            </w:r>
            <w:r>
              <w:rPr>
                <w:rFonts w:hint="eastAsia"/>
                <w:b/>
                <w:bCs/>
                <w:color w:val="auto"/>
                <w:highlight w:val="none"/>
                <w:lang w:val="en-US" w:eastAsia="zh-CN"/>
              </w:rPr>
              <w:t>响应</w:t>
            </w:r>
            <w:r>
              <w:rPr>
                <w:rFonts w:hint="eastAsia"/>
                <w:b/>
                <w:bCs/>
                <w:color w:val="auto"/>
                <w:highlight w:val="none"/>
              </w:rPr>
              <w:t>供应商公章，业绩合同签订时间为 202</w:t>
            </w:r>
            <w:r>
              <w:rPr>
                <w:rFonts w:hint="eastAsia"/>
                <w:b/>
                <w:bCs/>
                <w:color w:val="auto"/>
                <w:highlight w:val="none"/>
                <w:lang w:val="en-US" w:eastAsia="zh-CN"/>
              </w:rPr>
              <w:t>3</w:t>
            </w:r>
            <w:r>
              <w:rPr>
                <w:rFonts w:hint="eastAsia"/>
                <w:b/>
                <w:bCs/>
                <w:color w:val="auto"/>
                <w:highlight w:val="none"/>
              </w:rPr>
              <w:t xml:space="preserve"> 年 1 月 1 日至磋商截止时间前,否则不得计分）</w:t>
            </w:r>
          </w:p>
          <w:p w14:paraId="43DF5D6C">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（2）其他专业负责人（12分）</w:t>
            </w:r>
          </w:p>
          <w:p w14:paraId="459C79AF">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①建筑专业负责人、结构专业负责人、给排水专业负责人、电气专业负责人、暖通专业负责人、造价编制负责人具有中级职称的，每人得0.5分，具有高级职称的，每人得1分（满分6分）。</w:t>
            </w:r>
          </w:p>
          <w:p w14:paraId="41232B97">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②建筑专业负责人、结构专业负责人、造价编制负责人具有相应专业二级注册执业资格的，每人得0.5分，具有相应专业一级注册执业资格的，每人得1分（满分3分）。</w:t>
            </w:r>
          </w:p>
          <w:p w14:paraId="596872DE">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③给排水专业负责人、电气专业负责人、暖通专业负责人具备相应专业注册执业资格的，每人得1分（满分3分）。</w:t>
            </w:r>
          </w:p>
          <w:p w14:paraId="36A313D3">
            <w:pPr>
              <w:pStyle w:val="3"/>
              <w:rPr>
                <w:rFonts w:hint="eastAsia"/>
                <w:color w:val="auto"/>
                <w:highlight w:val="none"/>
              </w:rPr>
            </w:pPr>
            <w:r>
              <w:rPr>
                <w:rFonts w:hint="eastAsia" w:asciiTheme="minorEastAsia" w:hAnsiTheme="minorEastAsia" w:eastAsiaTheme="minorEastAsia" w:cstheme="minorEastAsia"/>
                <w:b/>
                <w:bCs/>
                <w:color w:val="auto"/>
                <w:highlight w:val="none"/>
              </w:rPr>
              <w:t>注：其他专业负责人需提供注册证书复印件、职称证书复印件</w:t>
            </w:r>
            <w:r>
              <w:rPr>
                <w:rFonts w:hint="eastAsia" w:asciiTheme="minorEastAsia" w:hAnsiTheme="minorEastAsia" w:eastAsiaTheme="minorEastAsia" w:cstheme="minorEastAsia"/>
                <w:b/>
                <w:bCs/>
                <w:color w:val="auto"/>
                <w:highlight w:val="none"/>
                <w:lang w:val="en-US" w:eastAsia="zh-CN"/>
              </w:rPr>
              <w:t>并加盖响应供应商公章</w:t>
            </w:r>
            <w:r>
              <w:rPr>
                <w:rFonts w:hint="eastAsia" w:asciiTheme="minorEastAsia" w:hAnsiTheme="minorEastAsia" w:eastAsiaTheme="minorEastAsia" w:cstheme="minorEastAsia"/>
                <w:b/>
                <w:bCs/>
                <w:color w:val="auto"/>
                <w:highlight w:val="none"/>
              </w:rPr>
              <w:t>【以上人员必须是</w:t>
            </w:r>
            <w:r>
              <w:rPr>
                <w:rFonts w:hint="eastAsia" w:asciiTheme="minorEastAsia" w:hAnsiTheme="minorEastAsia" w:eastAsiaTheme="minorEastAsia" w:cstheme="minorEastAsia"/>
                <w:b/>
                <w:bCs/>
                <w:color w:val="auto"/>
                <w:highlight w:val="none"/>
                <w:lang w:val="en-US" w:eastAsia="zh-CN"/>
              </w:rPr>
              <w:t>响应</w:t>
            </w:r>
            <w:r>
              <w:rPr>
                <w:rFonts w:hint="eastAsia" w:asciiTheme="minorEastAsia" w:hAnsiTheme="minorEastAsia" w:eastAsiaTheme="minorEastAsia" w:cstheme="minorEastAsia"/>
                <w:b/>
                <w:bCs/>
                <w:color w:val="auto"/>
                <w:highlight w:val="none"/>
              </w:rPr>
              <w:t>供应商在职员工（以响应文件递交截止时间前半年内任意一个月）由社会劳动保障部门出具的社保证明为准， 如为事业单位的，请提供拟投入的项目设计人员经机构编制管理部门批准的在编名录，如为退休返聘人员，提供其退休证及返聘合同复印件）】。若不提供或不满足上述要求的不得分。</w:t>
            </w:r>
          </w:p>
        </w:tc>
      </w:tr>
      <w:tr w14:paraId="5F24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737F6F9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470E510">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vMerge w:val="restart"/>
            <w:shd w:val="clear" w:color="auto" w:fill="auto"/>
            <w:noWrap w:val="0"/>
            <w:vAlign w:val="center"/>
          </w:tcPr>
          <w:p w14:paraId="5B427751">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w:t>
            </w:r>
            <w:r>
              <w:rPr>
                <w:rFonts w:hint="eastAsia" w:ascii="宋体" w:hAnsi="宋体" w:cs="宋体"/>
                <w:b/>
                <w:bCs/>
                <w:color w:val="auto"/>
                <w:szCs w:val="21"/>
                <w:highlight w:val="none"/>
                <w:lang w:val="en-US" w:eastAsia="zh-CN"/>
              </w:rPr>
              <w:t>能力</w:t>
            </w:r>
            <w:r>
              <w:rPr>
                <w:rFonts w:hint="eastAsia" w:ascii="宋体" w:hAnsi="宋体" w:cs="宋体"/>
                <w:b/>
                <w:bCs/>
                <w:color w:val="auto"/>
                <w:szCs w:val="21"/>
                <w:highlight w:val="none"/>
              </w:rPr>
              <w:t>分</w:t>
            </w:r>
          </w:p>
          <w:p w14:paraId="0BEC030C">
            <w:pPr>
              <w:adjustRightInd w:val="0"/>
              <w:snapToGrid w:val="0"/>
              <w:spacing w:line="360" w:lineRule="atLeast"/>
              <w:jc w:val="center"/>
              <w:textAlignment w:val="baseline"/>
              <w:rPr>
                <w:rFonts w:hint="eastAsia" w:ascii="宋体" w:hAnsi="宋体" w:cs="宋体" w:eastAsiaTheme="minorEastAsia"/>
                <w:b/>
                <w:bCs/>
                <w:color w:val="auto"/>
                <w:kern w:val="2"/>
                <w:sz w:val="21"/>
                <w:szCs w:val="21"/>
                <w:highlight w:val="none"/>
                <w:lang w:val="en-US" w:eastAsia="zh-CN" w:bidi="ar-SA"/>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shd w:val="clear" w:color="auto" w:fill="auto"/>
            <w:noWrap w:val="0"/>
            <w:vAlign w:val="center"/>
          </w:tcPr>
          <w:p w14:paraId="3914CC92">
            <w:pPr>
              <w:pStyle w:val="7"/>
              <w:bidi w:val="0"/>
              <w:rPr>
                <w:rFonts w:hint="eastAsia"/>
                <w:lang w:val="en-US" w:eastAsia="zh-CN"/>
              </w:rPr>
            </w:pPr>
          </w:p>
          <w:p w14:paraId="09EA706A">
            <w:pPr>
              <w:pStyle w:val="7"/>
              <w:bidi w:val="0"/>
              <w:ind w:firstLine="420" w:firstLineChars="200"/>
              <w:rPr>
                <w:rFonts w:hint="eastAsia"/>
              </w:rPr>
            </w:pPr>
            <w:r>
              <w:rPr>
                <w:rFonts w:hint="eastAsia"/>
                <w:lang w:val="en-US" w:eastAsia="zh-CN"/>
              </w:rPr>
              <w:t>响应</w:t>
            </w:r>
            <w:r>
              <w:rPr>
                <w:rFonts w:hint="eastAsia"/>
              </w:rPr>
              <w:t>供应商202</w:t>
            </w:r>
            <w:r>
              <w:rPr>
                <w:rFonts w:hint="eastAsia"/>
                <w:lang w:val="en-US" w:eastAsia="zh-CN"/>
              </w:rPr>
              <w:t>3</w:t>
            </w:r>
            <w:r>
              <w:rPr>
                <w:rFonts w:hint="eastAsia"/>
              </w:rPr>
              <w:t>年1月1日起获得过国家级级优秀工程勘察设计奖项的，每项得2分；</w:t>
            </w:r>
            <w:r>
              <w:rPr>
                <w:rFonts w:hint="eastAsia"/>
                <w:lang w:val="en-US" w:eastAsia="zh-CN"/>
              </w:rPr>
              <w:t>响应</w:t>
            </w:r>
            <w:r>
              <w:rPr>
                <w:rFonts w:hint="eastAsia"/>
              </w:rPr>
              <w:t>供应商202</w:t>
            </w:r>
            <w:r>
              <w:rPr>
                <w:rFonts w:hint="eastAsia"/>
                <w:lang w:val="en-US" w:eastAsia="zh-CN"/>
              </w:rPr>
              <w:t>3</w:t>
            </w:r>
            <w:r>
              <w:rPr>
                <w:rFonts w:hint="eastAsia"/>
              </w:rPr>
              <w:t>年1月1日起获得过省级（自治区、直辖市）、市级优秀工程勘察设计奖项的，每项得1分。（满分</w:t>
            </w:r>
            <w:r>
              <w:rPr>
                <w:rFonts w:hint="eastAsia"/>
                <w:lang w:val="en-US" w:eastAsia="zh-CN"/>
              </w:rPr>
              <w:t>6</w:t>
            </w:r>
            <w:r>
              <w:rPr>
                <w:rFonts w:hint="eastAsia"/>
              </w:rPr>
              <w:t>分）</w:t>
            </w:r>
          </w:p>
          <w:p w14:paraId="54CB0FCC">
            <w:pPr>
              <w:pStyle w:val="7"/>
              <w:bidi w:val="0"/>
              <w:rPr>
                <w:rFonts w:hint="eastAsia"/>
                <w:lang w:val="en-US" w:eastAsia="zh-CN"/>
              </w:rPr>
            </w:pPr>
            <w:r>
              <w:rPr>
                <w:rFonts w:hint="eastAsia"/>
                <w:b/>
                <w:bCs/>
              </w:rPr>
              <w:t>注：①供应商于响应文件中需提供相关获奖证明材料复印件，并加盖</w:t>
            </w:r>
            <w:r>
              <w:rPr>
                <w:rFonts w:hint="eastAsia"/>
                <w:b/>
                <w:bCs/>
                <w:lang w:val="en-US" w:eastAsia="zh-CN"/>
              </w:rPr>
              <w:t>响应</w:t>
            </w:r>
            <w:r>
              <w:rPr>
                <w:rFonts w:hint="eastAsia"/>
                <w:b/>
                <w:bCs/>
              </w:rPr>
              <w:t>供应商公章；②“优秀工程勘察设计奖”，是指由各级住房城乡建设主管部门或各级勘察设计协会评定的优秀工程勘察设计奖项，其他奖项均不予认可；③同一工程项目获同类型的奖项，以最高奖项计分，不重复计分。</w:t>
            </w:r>
          </w:p>
        </w:tc>
      </w:tr>
      <w:tr w14:paraId="5DC4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15988C2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1A3D59D">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vMerge w:val="continue"/>
            <w:shd w:val="clear" w:color="auto" w:fill="auto"/>
            <w:noWrap w:val="0"/>
            <w:vAlign w:val="center"/>
          </w:tcPr>
          <w:p w14:paraId="2C5BE3DF">
            <w:pPr>
              <w:adjustRightInd w:val="0"/>
              <w:snapToGrid w:val="0"/>
              <w:spacing w:line="360" w:lineRule="atLeast"/>
              <w:jc w:val="center"/>
              <w:textAlignment w:val="baseline"/>
              <w:rPr>
                <w:rFonts w:hint="eastAsia" w:ascii="宋体" w:hAnsi="宋体" w:cs="宋体"/>
                <w:b/>
                <w:bCs/>
                <w:color w:val="auto"/>
                <w:szCs w:val="21"/>
                <w:highlight w:val="none"/>
              </w:rPr>
            </w:pPr>
          </w:p>
        </w:tc>
        <w:tc>
          <w:tcPr>
            <w:tcW w:w="6016" w:type="dxa"/>
            <w:shd w:val="clear" w:color="auto" w:fill="auto"/>
            <w:noWrap w:val="0"/>
            <w:vAlign w:val="center"/>
          </w:tcPr>
          <w:p w14:paraId="6D64DD0C">
            <w:pPr>
              <w:pStyle w:val="3"/>
              <w:rPr>
                <w:rFonts w:hint="eastAsia" w:ascii="Calibri" w:hAnsi="Calibri" w:eastAsia="宋体" w:cs="Times New Roman"/>
                <w:color w:val="auto"/>
                <w:kern w:val="2"/>
                <w:sz w:val="21"/>
                <w:szCs w:val="22"/>
                <w:highlight w:val="none"/>
                <w:lang w:val="en-US" w:eastAsia="zh-CN" w:bidi="ar-SA"/>
              </w:rPr>
            </w:pPr>
            <w:r>
              <w:rPr>
                <w:rFonts w:hint="eastAsia" w:ascii="宋体" w:hAnsi="宋体" w:cs="宋体"/>
                <w:bCs/>
                <w:szCs w:val="21"/>
              </w:rPr>
              <w:t>供应商自202</w:t>
            </w:r>
            <w:r>
              <w:rPr>
                <w:rFonts w:hint="eastAsia" w:ascii="宋体" w:hAnsi="宋体" w:cs="宋体"/>
                <w:bCs/>
                <w:szCs w:val="21"/>
                <w:lang w:val="en-US" w:eastAsia="zh-CN"/>
              </w:rPr>
              <w:t>3</w:t>
            </w:r>
            <w:r>
              <w:rPr>
                <w:rFonts w:hint="eastAsia" w:ascii="宋体" w:hAnsi="宋体" w:cs="宋体"/>
                <w:bCs/>
                <w:szCs w:val="21"/>
              </w:rPr>
              <w:t>年1月1日以来具有</w:t>
            </w:r>
            <w:r>
              <w:rPr>
                <w:rFonts w:hint="eastAsia" w:ascii="宋体" w:hAnsi="宋体" w:cs="宋体"/>
                <w:bCs/>
                <w:szCs w:val="21"/>
                <w:lang w:val="en-US" w:eastAsia="zh-CN"/>
              </w:rPr>
              <w:t>类似</w:t>
            </w:r>
            <w:r>
              <w:rPr>
                <w:rFonts w:hint="eastAsia" w:ascii="宋体" w:hAnsi="宋体" w:cs="宋体"/>
                <w:bCs/>
                <w:szCs w:val="21"/>
              </w:rPr>
              <w:t>项目的业绩相关证明材料（无不良记录，以中标（成交）通知书或签订的合同为准，并能清晰反映项目名称、种类、金额），每有一个业绩项目的得</w:t>
            </w:r>
            <w:r>
              <w:rPr>
                <w:rFonts w:hint="eastAsia" w:ascii="宋体" w:hAnsi="宋体" w:cs="宋体"/>
                <w:bCs/>
                <w:szCs w:val="21"/>
                <w:lang w:val="en-US" w:eastAsia="zh-CN"/>
              </w:rPr>
              <w:t>1</w:t>
            </w:r>
            <w:r>
              <w:rPr>
                <w:rFonts w:hint="eastAsia" w:ascii="宋体" w:hAnsi="宋体" w:cs="宋体"/>
                <w:bCs/>
                <w:szCs w:val="21"/>
              </w:rPr>
              <w:t>分，最多得</w:t>
            </w:r>
            <w:r>
              <w:rPr>
                <w:rFonts w:hint="eastAsia" w:ascii="宋体" w:hAnsi="宋体" w:cs="宋体"/>
                <w:bCs/>
                <w:szCs w:val="21"/>
                <w:lang w:val="en-US" w:eastAsia="zh-CN"/>
              </w:rPr>
              <w:t>4</w:t>
            </w:r>
            <w:r>
              <w:rPr>
                <w:rFonts w:hint="eastAsia" w:ascii="宋体" w:hAnsi="宋体" w:cs="宋体"/>
                <w:bCs/>
                <w:szCs w:val="21"/>
              </w:rPr>
              <w:t>分。</w:t>
            </w:r>
          </w:p>
        </w:tc>
      </w:tr>
      <w:tr w14:paraId="616C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7CCD267B">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3632FADF">
      <w:pPr>
        <w:spacing w:line="360" w:lineRule="exact"/>
        <w:outlineLvl w:val="9"/>
        <w:rPr>
          <w:rFonts w:ascii="宋体" w:hAnsi="宋体"/>
          <w:color w:val="auto"/>
          <w:kern w:val="0"/>
          <w:szCs w:val="21"/>
          <w:highlight w:val="none"/>
        </w:rPr>
      </w:pPr>
    </w:p>
    <w:p w14:paraId="076B906B">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5A62FC6E">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726DE53A">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535ACB18">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E27012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AB59D4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345596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A409772">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D1E45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685866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B46919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3362FD2">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AA959B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537235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81C18B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4E5382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南宁中心血站采供血战略储备仓库设计服务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7D0646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792"/>
        <w:gridCol w:w="1793"/>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数量（项）</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①</w:t>
            </w:r>
          </w:p>
        </w:tc>
        <w:tc>
          <w:tcPr>
            <w:tcW w:w="1792"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单价（元）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②</w:t>
            </w:r>
          </w:p>
        </w:tc>
        <w:tc>
          <w:tcPr>
            <w:tcW w:w="1793" w:type="dxa"/>
            <w:noWrap w:val="0"/>
            <w:vAlign w:val="center"/>
          </w:tcPr>
          <w:p w14:paraId="5FC45C21">
            <w:pPr>
              <w:pStyle w:val="7"/>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单项合价（元）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南宁中心血站采供血战略储备仓库设计服务</w:t>
            </w:r>
          </w:p>
        </w:tc>
        <w:tc>
          <w:tcPr>
            <w:tcW w:w="1440" w:type="dxa"/>
            <w:noWrap w:val="0"/>
            <w:vAlign w:val="center"/>
          </w:tcPr>
          <w:p w14:paraId="545DEFD9">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w:t>
            </w:r>
          </w:p>
        </w:tc>
        <w:tc>
          <w:tcPr>
            <w:tcW w:w="1792"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793" w:type="dxa"/>
            <w:noWrap w:val="0"/>
            <w:vAlign w:val="center"/>
          </w:tcPr>
          <w:p w14:paraId="5DAC5E1F">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45A02FD">
            <w:pPr>
              <w:pStyle w:val="7"/>
              <w:jc w:val="center"/>
              <w:rPr>
                <w:rFonts w:hint="eastAsia" w:asciiTheme="minorEastAsia" w:hAnsiTheme="minorEastAsia" w:eastAsiaTheme="minorEastAsia" w:cstheme="minorEastAsia"/>
                <w:kern w:val="0"/>
                <w:sz w:val="21"/>
                <w:szCs w:val="21"/>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450F525F">
            <w:pPr>
              <w:bidi w:val="0"/>
              <w:rPr>
                <w:rFonts w:hint="default"/>
                <w:lang w:val="en-US"/>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w:t>
            </w:r>
            <w:r>
              <w:rPr>
                <w:rFonts w:hint="eastAsia" w:cs="Times New Roman" w:asciiTheme="minorEastAsia" w:hAnsiTheme="minorEastAsia"/>
                <w:b/>
                <w:color w:val="FF0000"/>
                <w:sz w:val="21"/>
                <w:szCs w:val="21"/>
                <w:lang w:val="en-US" w:eastAsia="zh-CN"/>
              </w:rPr>
              <w:t>98</w:t>
            </w:r>
            <w:r>
              <w:rPr>
                <w:rFonts w:hint="eastAsia" w:cs="Times New Roman" w:asciiTheme="minorEastAsia" w:hAnsiTheme="minorEastAsia" w:eastAsiaTheme="minorEastAsia"/>
                <w:b/>
                <w:color w:val="FF0000"/>
                <w:sz w:val="21"/>
                <w:szCs w:val="21"/>
                <w:lang w:val="en-US" w:eastAsia="zh-CN"/>
              </w:rPr>
              <w:t>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63D20B6">
      <w:pPr>
        <w:rPr>
          <w:rFonts w:hint="eastAsia" w:ascii="仿宋" w:hAnsi="仿宋" w:eastAsia="仿宋"/>
          <w:color w:val="auto"/>
          <w:sz w:val="30"/>
          <w:szCs w:val="30"/>
        </w:rPr>
      </w:pPr>
    </w:p>
    <w:p w14:paraId="13ADA456">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南宁中心血站采供血战略储备仓库设计服务</w:t>
            </w:r>
          </w:p>
        </w:tc>
        <w:tc>
          <w:tcPr>
            <w:tcW w:w="3433" w:type="dxa"/>
            <w:vAlign w:val="center"/>
          </w:tcPr>
          <w:p w14:paraId="1EF6338C">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25591A50">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根据采供血工作需要，拟在南宁中心血站生态停车场东侧、业务副楼北侧新建一座2层，占地面积约312㎡（26*12m）的采供血战略储备仓库，一层为战略储备仓库，二层为食堂，项目总投资为263万元，设计费招标控制价为9.8万元，设计范围包括建筑装饰工程设计、给排水及消防工程设计、电气工程设计、智能化工程设计、暖通工程设计、基础加固工程设计。设计周期为合同签订后30天。</w:t>
            </w:r>
          </w:p>
          <w:p w14:paraId="1C3005B4">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二、服务内容及要求：</w:t>
            </w:r>
          </w:p>
          <w:p w14:paraId="70C4D4CD">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1</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工程勘察</w:t>
            </w:r>
          </w:p>
          <w:p w14:paraId="5A63A9C0">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须针对目前现状，重点分析评价地下室顶板承载力及其对新建工程的影响，是否满足新建项目的要求。</w:t>
            </w:r>
          </w:p>
          <w:p w14:paraId="63897F7D">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2</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基础加固工程</w:t>
            </w:r>
          </w:p>
          <w:p w14:paraId="5F525EE3">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对地下室原有顶板进行结构复核计算，结构加固设计须一体化统筹两层功能荷载，出具完整的加固设计方案，根据需要对地下室顶板及关联结构进行针对性加固，加固后需满足新建建筑全部荷载要求，所有加固费用计入工程总概算。</w:t>
            </w:r>
          </w:p>
          <w:p w14:paraId="4A666846">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3</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建筑装饰工程</w:t>
            </w:r>
          </w:p>
          <w:p w14:paraId="45B84E7C">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一层仓库：布局须为大空间、少柱网，严格划分存储、缓冲、设备区；地面需高荷载、耐磨防尘。</w:t>
            </w:r>
          </w:p>
          <w:p w14:paraId="48903966">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二层食堂：食堂区域设计须严格遵守</w:t>
            </w:r>
            <w:r>
              <w:rPr>
                <w:rFonts w:hint="eastAsia" w:asciiTheme="minorEastAsia" w:hAnsiTheme="minorEastAsia" w:eastAsiaTheme="minorEastAsia" w:cstheme="minorEastAsia"/>
                <w:szCs w:val="21"/>
              </w:rPr>
              <w:t>JGJ 64-2017</w:t>
            </w:r>
            <w:r>
              <w:rPr>
                <w:rFonts w:hint="eastAsia" w:asciiTheme="minorEastAsia" w:hAnsiTheme="minorEastAsia" w:eastAsiaTheme="minorEastAsia" w:cstheme="minorEastAsia"/>
                <w:sz w:val="21"/>
                <w:szCs w:val="21"/>
                <w:lang w:val="en-US" w:eastAsia="zh-CN"/>
              </w:rPr>
              <w:t>《饮食建筑设计标准》；装饰材料须耐污、易清洁、防火；厨房地面须防滑、耐腐蚀、耐重载。建筑耐火等级符合</w:t>
            </w:r>
            <w:r>
              <w:rPr>
                <w:rFonts w:hint="eastAsia" w:asciiTheme="minorEastAsia" w:hAnsiTheme="minorEastAsia" w:eastAsiaTheme="minorEastAsia" w:cstheme="minorEastAsia"/>
                <w:szCs w:val="21"/>
              </w:rPr>
              <w:t>《建筑防火通用规范》GB 55037-202</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 w:val="21"/>
                <w:szCs w:val="21"/>
                <w:lang w:val="en-US" w:eastAsia="zh-CN"/>
              </w:rPr>
              <w:t>要求。</w:t>
            </w:r>
          </w:p>
          <w:p w14:paraId="2E02D9EA">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4</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给排水及消防工程</w:t>
            </w:r>
          </w:p>
          <w:p w14:paraId="257CC8CA">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sz w:val="21"/>
                <w:szCs w:val="21"/>
                <w:shd w:val="clear" w:fill="FFFFFF"/>
              </w:rPr>
              <w:t>一层仓库：消防系统须根据储存物资特性专项设计。</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    </w:t>
            </w:r>
            <w:r>
              <w:rPr>
                <w:rFonts w:hint="eastAsia" w:asciiTheme="minorEastAsia" w:hAnsiTheme="minorEastAsia" w:eastAsiaTheme="minorEastAsia" w:cstheme="minorEastAsia"/>
                <w:i w:val="0"/>
                <w:iCs w:val="0"/>
                <w:caps w:val="0"/>
                <w:color w:val="0F1115"/>
                <w:spacing w:val="0"/>
                <w:sz w:val="21"/>
                <w:szCs w:val="21"/>
                <w:shd w:val="clear" w:fill="FFFFFF"/>
              </w:rPr>
              <w:t>二层食堂：厨房含油污水必须经高效隔油处理后排放</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消防</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须</w:t>
            </w:r>
            <w:r>
              <w:rPr>
                <w:rFonts w:hint="eastAsia" w:asciiTheme="minorEastAsia" w:hAnsiTheme="minorEastAsia" w:eastAsiaTheme="minorEastAsia" w:cstheme="minorEastAsia"/>
                <w:i w:val="0"/>
                <w:iCs w:val="0"/>
                <w:caps w:val="0"/>
                <w:color w:val="0F1115"/>
                <w:spacing w:val="0"/>
                <w:sz w:val="21"/>
                <w:szCs w:val="21"/>
                <w:shd w:val="clear" w:fill="FFFFFF"/>
              </w:rPr>
              <w:t>按餐饮场所</w:t>
            </w:r>
            <w:r>
              <w:rPr>
                <w:rFonts w:hint="eastAsia" w:asciiTheme="minorEastAsia" w:hAnsiTheme="minorEastAsia" w:eastAsiaTheme="minorEastAsia" w:cstheme="minorEastAsia"/>
                <w:color w:val="0F1115"/>
                <w:szCs w:val="21"/>
                <w:shd w:val="clear" w:fill="FFFFFF"/>
              </w:rPr>
              <w:t>《建筑防火通用规范》GB 55037-2022、《南宁市消防条例》</w:t>
            </w:r>
            <w:r>
              <w:rPr>
                <w:rFonts w:hint="eastAsia" w:asciiTheme="minorEastAsia" w:hAnsiTheme="minorEastAsia" w:eastAsiaTheme="minorEastAsia" w:cstheme="minorEastAsia"/>
                <w:i w:val="0"/>
                <w:iCs w:val="0"/>
                <w:caps w:val="0"/>
                <w:color w:val="0F1115"/>
                <w:spacing w:val="0"/>
                <w:sz w:val="21"/>
                <w:szCs w:val="21"/>
                <w:shd w:val="clear" w:fill="FFFFFF"/>
              </w:rPr>
              <w:t>标准设计，厨房灶台区域增设专用灭火装置。</w:t>
            </w:r>
          </w:p>
          <w:p w14:paraId="0DB4C800">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5</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电气智能化工程</w:t>
            </w:r>
          </w:p>
          <w:p w14:paraId="686E25B2">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一层仓库：供电负荷等级符合要求，其中</w:t>
            </w:r>
            <w:r>
              <w:rPr>
                <w:rFonts w:hint="eastAsia" w:asciiTheme="minorEastAsia" w:hAnsiTheme="minorEastAsia" w:eastAsiaTheme="minorEastAsia" w:cstheme="minorEastAsia"/>
                <w:color w:val="0F1115"/>
                <w:szCs w:val="21"/>
                <w:shd w:val="clear" w:fill="FFFFFF"/>
              </w:rPr>
              <w:t>消防用电负荷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《建筑防火通用规范》GB 55037-2022</w:t>
            </w:r>
            <w:r>
              <w:rPr>
                <w:rFonts w:hint="eastAsia" w:asciiTheme="minorEastAsia" w:hAnsiTheme="minorEastAsia" w:eastAsiaTheme="minorEastAsia" w:cstheme="minorEastAsia"/>
                <w:color w:val="0F1115"/>
                <w:szCs w:val="21"/>
                <w:shd w:val="clear" w:fill="FFFFFF"/>
                <w:lang w:eastAsia="zh-CN"/>
              </w:rPr>
              <w:t>，</w:t>
            </w:r>
            <w:r>
              <w:rPr>
                <w:rFonts w:hint="eastAsia" w:asciiTheme="minorEastAsia" w:hAnsiTheme="minorEastAsia" w:eastAsiaTheme="minorEastAsia" w:cstheme="minorEastAsia"/>
                <w:color w:val="0F1115"/>
                <w:szCs w:val="21"/>
                <w:shd w:val="clear" w:fill="FFFFFF"/>
              </w:rPr>
              <w:t>普通用电负荷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《供配电系统设计规范》GB 50052-2009 。</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安防系统须实现视频监控无死角、高等级门禁及入侵报警联动；</w:t>
            </w:r>
          </w:p>
          <w:p w14:paraId="0DC354AD">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二层食堂：厨房主要设备及应急照明按二级负荷供电并独立计量；配置基础网络、安防监控，并预留消费管理等系统接口。</w:t>
            </w:r>
          </w:p>
          <w:p w14:paraId="7210867C">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6</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暖通工程</w:t>
            </w:r>
          </w:p>
          <w:p w14:paraId="6B4147BE">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一层仓库：能根据物资储存要求将库内温湿度维持在设定范围。防水防潮，地面及墙面下部须设置高效防潮层，并设计完善的排水防涝措施。</w:t>
            </w:r>
          </w:p>
          <w:p w14:paraId="0EC3E409">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二层食堂：厨房须设强力机械排油烟及补风系统，排放须符合</w:t>
            </w:r>
            <w:r>
              <w:rPr>
                <w:rFonts w:hint="eastAsia" w:asciiTheme="minorEastAsia" w:hAnsiTheme="minorEastAsia" w:eastAsiaTheme="minorEastAsia" w:cstheme="minorEastAsia"/>
                <w:color w:val="0F1115"/>
                <w:szCs w:val="21"/>
                <w:shd w:val="clear" w:fill="FFFFFF"/>
              </w:rPr>
              <w:t>《饮食业油烟排放标准》GB 18483-2001、《饮食业环境保护技术规范》HJ 554-2010</w:t>
            </w:r>
            <w:r>
              <w:rPr>
                <w:rFonts w:hint="eastAsia" w:asciiTheme="minorEastAsia" w:hAnsiTheme="minorEastAsia" w:eastAsiaTheme="minorEastAsia" w:cstheme="minorEastAsia"/>
                <w:color w:val="0F1115"/>
                <w:szCs w:val="21"/>
                <w:shd w:val="clear" w:fill="FFFFFF"/>
                <w:lang w:val="en-US" w:eastAsia="zh-CN"/>
              </w:rPr>
              <w:t>，</w:t>
            </w:r>
            <w:r>
              <w:rPr>
                <w:rFonts w:hint="eastAsia" w:asciiTheme="minorEastAsia" w:hAnsiTheme="minorEastAsia" w:eastAsiaTheme="minorEastAsia" w:cstheme="minorEastAsia"/>
                <w:color w:val="0F1115"/>
                <w:szCs w:val="21"/>
                <w:shd w:val="clear" w:fill="FFFFFF"/>
              </w:rPr>
              <w:t>净化效率≥85%、设备需IP54 防水、第三方检测备案</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；餐厅区域须设舒适性空调，且与厨房油烟严格隔离。</w:t>
            </w:r>
          </w:p>
          <w:p w14:paraId="1F173FCD">
            <w:pPr>
              <w:keepNext w:val="0"/>
              <w:keepLines w:val="0"/>
              <w:pageBreakBefore w:val="0"/>
              <w:widowControl/>
              <w:numPr>
                <w:ilvl w:val="-1"/>
                <w:numId w:val="0"/>
              </w:numPr>
              <w:kinsoku/>
              <w:wordWrap/>
              <w:overflowPunct/>
              <w:topLinePunct w:val="0"/>
              <w:autoSpaceDE/>
              <w:autoSpaceDN/>
              <w:bidi w:val="0"/>
              <w:adjustRightInd/>
              <w:snapToGrid/>
              <w:ind w:leftChars="0" w:firstLine="0" w:firstLineChars="0"/>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三、其他要求：</w:t>
            </w:r>
          </w:p>
          <w:p w14:paraId="08AA28C8">
            <w:pPr>
              <w:bidi w:val="0"/>
              <w:ind w:firstLine="420" w:firstLineChars="200"/>
              <w:rPr>
                <w:rFonts w:hint="eastAsia"/>
                <w:lang w:val="en-US" w:eastAsia="zh-CN"/>
              </w:rPr>
            </w:pPr>
            <w:r>
              <w:rPr>
                <w:rFonts w:hint="eastAsia" w:asciiTheme="minorEastAsia" w:hAnsiTheme="minorEastAsia" w:eastAsiaTheme="minorEastAsia" w:cstheme="minorEastAsia"/>
                <w:sz w:val="21"/>
                <w:szCs w:val="21"/>
                <w:lang w:val="en-US" w:eastAsia="zh-CN"/>
              </w:rPr>
              <w:t>设计成果</w:t>
            </w:r>
            <w:r>
              <w:rPr>
                <w:rFonts w:hint="eastAsia" w:asciiTheme="minorEastAsia" w:hAnsiTheme="minorEastAsia" w:eastAsiaTheme="minorEastAsia" w:cstheme="minorEastAsia"/>
                <w:sz w:val="21"/>
                <w:szCs w:val="21"/>
              </w:rPr>
              <w:t>须包含以下所有专业的全套施工图，深度须满足《建筑工程设计文件编制深度规定》，并能直接用于施工图审查和工程招标：</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sz w:val="21"/>
                <w:szCs w:val="21"/>
                <w:lang w:val="en-US" w:eastAsia="zh-CN"/>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建筑专业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总图、平面、立面、剖面、详图（含墙体、门窗、装饰构造）。</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结构专业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基础、主体结构、专项加固设计详图及计算书。</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3.</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给排水专业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消防、给水、排水系统图（含食堂隔油设施）。</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4.</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电气专业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强电、弱电、照明、防雷接地系统图。</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5.</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暖通专业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仓库空调系统、食堂厨房通风系统</w:t>
            </w:r>
            <w:r>
              <w:rPr>
                <w:rFonts w:hint="eastAsia" w:asciiTheme="minorEastAsia" w:hAnsiTheme="minorEastAsia" w:eastAsiaTheme="minorEastAsia" w:cstheme="minorEastAsia"/>
                <w:i w:val="0"/>
                <w:iCs w:val="0"/>
                <w:caps w:val="0"/>
                <w:color w:val="0F1115"/>
                <w:spacing w:val="0"/>
                <w:sz w:val="21"/>
                <w:szCs w:val="21"/>
                <w:shd w:val="clear" w:fill="FFFFFF"/>
              </w:rPr>
              <w:t>、其他通风设计图。</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6.</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智能化专业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安防、网络、环境监控等系统图。</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南宁中心血站采供血战略储备仓库设计服务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3" w:name="_Toc521096352"/>
      <w:bookmarkStart w:id="4" w:name="_Toc460253713"/>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0"/>
              </w:numPr>
              <w:suppressLineNumbers w:val="0"/>
              <w:spacing w:before="0" w:beforeAutospacing="0" w:after="0" w:afterAutospacing="0" w:line="276" w:lineRule="auto"/>
              <w:ind w:leftChars="0" w:right="0" w:rightChars="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lang w:val="en-US" w:eastAsia="zh-CN"/>
              </w:rPr>
              <w:t>合同签订期</w:t>
            </w:r>
            <w:r>
              <w:rPr>
                <w:rFonts w:hint="eastAsia" w:asciiTheme="minorEastAsia" w:hAnsiTheme="minorEastAsia" w:cstheme="minorEastAsia"/>
                <w:b/>
                <w:bCs/>
                <w:lang w:val="en-US" w:eastAsia="zh-CN"/>
              </w:rPr>
              <w:t>：</w:t>
            </w:r>
            <w:r>
              <w:rPr>
                <w:rFonts w:hint="eastAsia" w:asciiTheme="minorEastAsia" w:hAnsiTheme="minorEastAsia" w:eastAsiaTheme="minorEastAsia" w:cstheme="minorEastAsia"/>
                <w:b w:val="0"/>
                <w:bCs w:val="0"/>
                <w:lang w:val="en-US" w:eastAsia="zh-CN"/>
              </w:rPr>
              <w:t>自采购结果公示结束后10个工作日内。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E42F0D1">
            <w:pPr>
              <w:bidi w:val="0"/>
              <w:rPr>
                <w:rFonts w:hint="eastAsia" w:asciiTheme="minorEastAsia" w:hAnsiTheme="minorEastAsia" w:eastAsiaTheme="minorEastAsia" w:cstheme="minorEastAsia"/>
                <w:color w:val="auto"/>
                <w:kern w:val="2"/>
                <w:szCs w:val="21"/>
                <w:lang w:val="en-US" w:eastAsia="zh-CN" w:bidi="ar-SA"/>
              </w:rPr>
            </w:pPr>
            <w:r>
              <w:rPr>
                <w:rFonts w:hint="eastAsia"/>
                <w:b/>
                <w:bCs/>
                <w:lang w:val="en-US" w:eastAsia="zh-CN"/>
              </w:rPr>
              <w:t>设计服务期限：</w:t>
            </w:r>
            <w:r>
              <w:rPr>
                <w:rFonts w:hint="eastAsia"/>
              </w:rPr>
              <w:t>自合同签订之日起</w:t>
            </w:r>
            <w:r>
              <w:rPr>
                <w:rFonts w:hint="eastAsia"/>
                <w:lang w:val="en-US" w:eastAsia="zh-CN"/>
              </w:rPr>
              <w:t>30日内完成设计，并交付全部设计成果</w:t>
            </w:r>
            <w:r>
              <w:rPr>
                <w:rFonts w:hint="eastAsia"/>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heme="minorEastAsia" w:hAnsiTheme="minorEastAsia" w:eastAsiaTheme="minorEastAsia" w:cstheme="minorEastAsia"/>
                <w:b/>
                <w:bCs/>
                <w:sz w:val="21"/>
                <w:szCs w:val="21"/>
              </w:rPr>
              <w:t>项目实施地点:</w:t>
            </w:r>
            <w:r>
              <w:rPr>
                <w:rFonts w:hint="eastAsia" w:asciiTheme="minorEastAsia" w:hAnsiTheme="minorEastAsia" w:eastAsiaTheme="minorEastAsia" w:cstheme="minorEastAsia"/>
                <w:sz w:val="21"/>
                <w:szCs w:val="21"/>
                <w:lang w:val="en-US" w:eastAsia="zh-CN"/>
              </w:rPr>
              <w:t>南宁市科园大道18号</w:t>
            </w:r>
            <w:r>
              <w:rPr>
                <w:rFonts w:hint="eastAsia" w:asciiTheme="minorEastAsia" w:hAnsiTheme="minorEastAsia" w:eastAsiaTheme="minorEastAsia" w:cstheme="minorEastAsia"/>
                <w:sz w:val="21"/>
                <w:szCs w:val="21"/>
              </w:rPr>
              <w:t>。</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14A1EA4A">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售后服务要求:</w:t>
            </w:r>
          </w:p>
          <w:p w14:paraId="5DD63A6A">
            <w:pPr>
              <w:pStyle w:val="3"/>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.处理问题响应时间：接到采购人处理问题通知后，1小时内给出反馈。</w:t>
            </w:r>
            <w:r>
              <w:rPr>
                <w:rFonts w:hint="eastAsia" w:asciiTheme="minorEastAsia" w:hAnsiTheme="minorEastAsia" w:eastAsiaTheme="minorEastAsia" w:cstheme="minorEastAsia"/>
                <w:sz w:val="21"/>
                <w:szCs w:val="21"/>
                <w:lang w:val="en-US" w:eastAsia="zh-CN"/>
              </w:rPr>
              <w:t>按采购人要求达到指定现场，</w:t>
            </w:r>
            <w:r>
              <w:rPr>
                <w:rFonts w:hint="eastAsia"/>
                <w:lang w:val="en-US" w:eastAsia="zh-CN"/>
              </w:rPr>
              <w:t>到达现场后1天内给出反馈，3天内解决采购人提出的问题。</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1304F345">
            <w:pPr>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服务质量要求：</w:t>
            </w:r>
          </w:p>
          <w:p w14:paraId="708B1D5B">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1.所有设计成果的知识产权归</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所有，未经</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许可不得用于其他项目</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如因</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提供的设计成果出现侵权行为造成的经济损失，由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负责解决并承担</w:t>
            </w:r>
            <w:r>
              <w:rPr>
                <w:rFonts w:hint="eastAsia" w:asciiTheme="minorEastAsia" w:hAnsiTheme="minorEastAsia" w:eastAsiaTheme="minorEastAsia" w:cstheme="minorEastAsia"/>
                <w:sz w:val="21"/>
                <w:szCs w:val="21"/>
                <w:lang w:val="en-US" w:eastAsia="zh-CN"/>
              </w:rPr>
              <w:t>相应责任</w:t>
            </w:r>
            <w:r>
              <w:rPr>
                <w:rFonts w:hint="eastAsia" w:asciiTheme="minorEastAsia" w:hAnsiTheme="minorEastAsia" w:eastAsiaTheme="minorEastAsia" w:cstheme="minorEastAsia"/>
                <w:sz w:val="21"/>
                <w:szCs w:val="21"/>
              </w:rPr>
              <w:t>。</w:t>
            </w:r>
          </w:p>
          <w:p w14:paraId="25E4B73A">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2.如采购人审核要求对相关设计内容进行修改、调整时，</w:t>
            </w:r>
            <w:r>
              <w:rPr>
                <w:rFonts w:hint="eastAsia" w:asciiTheme="minorEastAsia" w:hAnsiTheme="minorEastAsia" w:eastAsiaTheme="minorEastAsia" w:cstheme="minorEastAsia"/>
                <w:sz w:val="21"/>
                <w:szCs w:val="21"/>
                <w:lang w:val="en-US" w:eastAsia="zh-CN"/>
              </w:rPr>
              <w:t>成交供应商须</w:t>
            </w:r>
            <w:r>
              <w:rPr>
                <w:rFonts w:hint="eastAsia" w:asciiTheme="minorEastAsia" w:hAnsiTheme="minorEastAsia" w:eastAsiaTheme="minorEastAsia" w:cstheme="minorEastAsia"/>
                <w:sz w:val="21"/>
                <w:szCs w:val="21"/>
              </w:rPr>
              <w:t>按采购人的要求进行优化改进，采购人审核通过后方</w:t>
            </w:r>
            <w:r>
              <w:rPr>
                <w:rFonts w:hint="eastAsia" w:asciiTheme="minorEastAsia" w:hAnsiTheme="minorEastAsia" w:eastAsiaTheme="minorEastAsia" w:cstheme="minorEastAsia"/>
                <w:sz w:val="21"/>
                <w:szCs w:val="21"/>
                <w:lang w:val="en-US" w:eastAsia="zh-CN"/>
              </w:rPr>
              <w:t>可</w:t>
            </w:r>
            <w:r>
              <w:rPr>
                <w:rFonts w:hint="eastAsia" w:asciiTheme="minorEastAsia" w:hAnsiTheme="minorEastAsia" w:eastAsiaTheme="minorEastAsia" w:cstheme="minorEastAsia"/>
                <w:sz w:val="21"/>
                <w:szCs w:val="21"/>
              </w:rPr>
              <w:t>定稿，否则引起的经济损失等后果由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承担；</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cstheme="minorEastAsia"/>
                <w:sz w:val="21"/>
                <w:szCs w:val="21"/>
                <w:lang w:val="en-US" w:eastAsia="zh-CN"/>
              </w:rPr>
              <w:t>服务</w:t>
            </w:r>
            <w:r>
              <w:rPr>
                <w:rFonts w:hint="eastAsia" w:asciiTheme="minorEastAsia" w:hAnsiTheme="minorEastAsia" w:eastAsiaTheme="minorEastAsia" w:cstheme="minorEastAsia"/>
                <w:sz w:val="21"/>
                <w:szCs w:val="21"/>
              </w:rPr>
              <w:t>过程中</w:t>
            </w:r>
            <w:r>
              <w:rPr>
                <w:rFonts w:hint="eastAsia" w:asciiTheme="minorEastAsia" w:hAnsiTheme="minorEastAsia" w:eastAsiaTheme="minorEastAsia" w:cstheme="minorEastAsia"/>
                <w:sz w:val="21"/>
                <w:szCs w:val="21"/>
                <w:lang w:val="en-US" w:eastAsia="zh-CN"/>
              </w:rPr>
              <w:t>出现由己</w:t>
            </w:r>
            <w:r>
              <w:rPr>
                <w:rFonts w:hint="eastAsia" w:asciiTheme="minorEastAsia" w:hAnsiTheme="minorEastAsia" w:eastAsiaTheme="minorEastAsia" w:cstheme="minorEastAsia"/>
                <w:sz w:val="21"/>
                <w:szCs w:val="21"/>
              </w:rPr>
              <w:t>方原因造成的错漏等失误，由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负责改正，相关费用由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自行承担。若设计过程中发生变更，</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有责任同步更新所有相关图纸、预算及文档，并确保版本一致。</w:t>
            </w:r>
          </w:p>
          <w:p w14:paraId="3BB015CF">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3.成交供应商</w:t>
            </w:r>
            <w:r>
              <w:rPr>
                <w:rFonts w:hint="eastAsia" w:asciiTheme="minorEastAsia" w:hAnsiTheme="minorEastAsia" w:eastAsiaTheme="minorEastAsia" w:cstheme="minorEastAsia"/>
                <w:sz w:val="21"/>
                <w:szCs w:val="21"/>
              </w:rPr>
              <w:t>有义务根据施工图审查机构的意见，修改并重新提交相关设计文件，直至审查通过。</w:t>
            </w:r>
          </w:p>
          <w:p w14:paraId="6C8876B1">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sz w:val="21"/>
                <w:szCs w:val="21"/>
                <w:lang w:val="en-US" w:eastAsia="zh-CN"/>
              </w:rPr>
              <w:t>4.图纸交付后，成交供应商须提供必要的技术交底和施工配合服务，解决与设计相关的现场技术问题。</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2DC732BA">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其他要求:</w:t>
            </w:r>
          </w:p>
          <w:p w14:paraId="648E9117">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本项目为总价包干，报价包含：</w:t>
            </w:r>
          </w:p>
          <w:p w14:paraId="44D4934B">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（1）设计服务的价格；</w:t>
            </w:r>
          </w:p>
          <w:p w14:paraId="2BE820A7">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（2）必要的保险费用和各项税金；</w:t>
            </w:r>
          </w:p>
          <w:p w14:paraId="4E3D5082">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（3）其他包括但不限于技术支持、售后服务等与本项目相关的各项费用。</w:t>
            </w:r>
          </w:p>
          <w:p w14:paraId="22D7BAD3">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2.付款方式：签订合同之日起10个工作日内支付50%合同款，项目通过采购人验收后支付剩余50%合同款。（付款前</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须提供等额合规的增值税普通发票给采购人）</w:t>
            </w:r>
          </w:p>
          <w:p w14:paraId="74E3EA89">
            <w:pP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3.成交供应商未按《采购项目需求一览表》中的内容提供服务或服</w:t>
            </w:r>
            <w:r>
              <w:rPr>
                <w:rFonts w:hint="eastAsia" w:asciiTheme="minorEastAsia" w:hAnsiTheme="minorEastAsia" w:eastAsiaTheme="minorEastAsia" w:cstheme="minorEastAsia"/>
                <w:color w:val="000000" w:themeColor="text1"/>
                <w:sz w:val="21"/>
                <w:szCs w:val="21"/>
                <w14:textFill>
                  <w14:solidFill>
                    <w14:schemeClr w14:val="tx1"/>
                  </w14:solidFill>
                </w14:textFill>
              </w:rPr>
              <w:t>务未达</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 w:val="21"/>
                <w:szCs w:val="21"/>
                <w14:textFill>
                  <w14:solidFill>
                    <w14:schemeClr w14:val="tx1"/>
                  </w14:solidFill>
                </w14:textFill>
              </w:rPr>
              <w:t>标准的采购人可解除本合同。</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20197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7D5A38E">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24E8AAED">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验收条件及标准:</w:t>
            </w:r>
          </w:p>
          <w:p w14:paraId="3A18AB20">
            <w:pPr>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本项目所有服务完成</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且项目施工完成竣工验收后，成交供应商</w:t>
            </w:r>
            <w:r>
              <w:rPr>
                <w:rFonts w:hint="eastAsia" w:asciiTheme="minorEastAsia" w:hAnsiTheme="minorEastAsia" w:eastAsiaTheme="minorEastAsia" w:cstheme="minorEastAsia"/>
                <w:sz w:val="21"/>
                <w:szCs w:val="21"/>
              </w:rPr>
              <w:t>可向采购人提出验收申请。</w:t>
            </w:r>
          </w:p>
        </w:tc>
        <w:tc>
          <w:tcPr>
            <w:tcW w:w="3225" w:type="dxa"/>
            <w:shd w:val="clear" w:color="auto" w:fill="auto"/>
            <w:vAlign w:val="center"/>
          </w:tcPr>
          <w:p w14:paraId="5E2C0C8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3431CA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4F5C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4B47B6CF">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52427DC9">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发生以下情形，采购人有权解除合同：</w:t>
            </w:r>
          </w:p>
          <w:p w14:paraId="7FABD86C">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1.因不可抗拒因素导致无法运营</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2C12A44F">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2.服务情况与合同约定要求偏差较大</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7BDE4288">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3.服务期间因</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过错对采购人造成不利影响或重大负面舆情的，采购人有权解除合同，扣除服务款项并追究相关责任。</w:t>
            </w:r>
          </w:p>
          <w:p w14:paraId="22E3C9F6">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kern w:val="2"/>
                <w:sz w:val="21"/>
                <w:szCs w:val="21"/>
                <w:lang w:val="en-US" w:eastAsia="zh-CN" w:bidi="ar-SA"/>
              </w:rPr>
              <w:t>4.</w:t>
            </w:r>
            <w:r>
              <w:rPr>
                <w:rFonts w:hint="eastAsia" w:asciiTheme="minorEastAsia" w:hAnsiTheme="minorEastAsia" w:eastAsiaTheme="minorEastAsia" w:cstheme="minorEastAsia"/>
                <w:szCs w:val="21"/>
              </w:rPr>
              <w:t>被授权人作为</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的合法代表，在授权范围内负责与采购人对接服务事宜，</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对被授权人在服务期间的履职行为承担全部法律责任</w:t>
            </w:r>
            <w:r>
              <w:rPr>
                <w:rFonts w:hint="eastAsia" w:asciiTheme="minorEastAsia" w:hAnsiTheme="minorEastAsia" w:eastAsiaTheme="minorEastAsia" w:cstheme="minorEastAsia"/>
                <w:kern w:val="2"/>
                <w:sz w:val="21"/>
                <w:szCs w:val="21"/>
                <w:lang w:val="en-US" w:eastAsia="zh-CN" w:bidi="ar-SA"/>
              </w:rPr>
              <w:t>。如出现未经采购人同意，擅自发布不利于采购人利益或产生社会负面影响的信息，由成交供应商负责消除不良影响并承担消除影响的相关费用和责任，采购人可根据实际情况相应扣除服务费用，同时追究相关责任。</w:t>
            </w:r>
          </w:p>
          <w:p w14:paraId="76240668">
            <w:pPr>
              <w:ind w:firstLine="0" w:firstLineChars="0"/>
              <w:rPr>
                <w:rFonts w:hint="eastAsia" w:asciiTheme="minorEastAsia" w:hAnsiTheme="minorEastAsia" w:eastAsiaTheme="minorEastAsia" w:cstheme="minorEastAsia"/>
                <w:sz w:val="21"/>
                <w:szCs w:val="21"/>
              </w:rPr>
            </w:pPr>
          </w:p>
        </w:tc>
        <w:tc>
          <w:tcPr>
            <w:tcW w:w="3225" w:type="dxa"/>
            <w:shd w:val="clear" w:color="auto" w:fill="auto"/>
            <w:vAlign w:val="center"/>
          </w:tcPr>
          <w:p w14:paraId="6FD62190">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778BC45">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52FFFA5D">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8D34C83">
      <w:pPr>
        <w:rPr>
          <w:rFonts w:hint="eastAsia" w:ascii="仿宋" w:hAnsi="仿宋" w:eastAsia="仿宋" w:cstheme="minorEastAsia"/>
          <w:color w:val="auto"/>
          <w:sz w:val="28"/>
          <w:szCs w:val="28"/>
        </w:rPr>
      </w:pPr>
    </w:p>
    <w:p w14:paraId="790DD5E0">
      <w:pPr>
        <w:rPr>
          <w:rFonts w:hint="eastAsia" w:ascii="仿宋" w:hAnsi="仿宋" w:eastAsia="仿宋" w:cstheme="minorEastAsia"/>
          <w:color w:val="auto"/>
          <w:sz w:val="28"/>
          <w:szCs w:val="28"/>
        </w:rPr>
      </w:pPr>
    </w:p>
    <w:p w14:paraId="667FE810">
      <w:pPr>
        <w:rPr>
          <w:rFonts w:hint="eastAsia" w:ascii="仿宋" w:hAnsi="仿宋" w:eastAsia="仿宋" w:cstheme="minorEastAsia"/>
          <w:color w:val="auto"/>
          <w:sz w:val="28"/>
          <w:szCs w:val="28"/>
        </w:rPr>
      </w:pPr>
    </w:p>
    <w:p w14:paraId="16E712D3">
      <w:pPr>
        <w:rPr>
          <w:rFonts w:hint="eastAsia" w:ascii="仿宋" w:hAnsi="仿宋" w:eastAsia="仿宋" w:cstheme="minorEastAsia"/>
          <w:color w:val="auto"/>
          <w:sz w:val="28"/>
          <w:szCs w:val="28"/>
        </w:rPr>
      </w:pPr>
    </w:p>
    <w:p w14:paraId="3F7778FA">
      <w:pPr>
        <w:rPr>
          <w:rFonts w:hint="eastAsia" w:ascii="仿宋" w:hAnsi="仿宋" w:eastAsia="仿宋" w:cstheme="minorEastAsia"/>
          <w:color w:val="auto"/>
          <w:sz w:val="28"/>
          <w:szCs w:val="28"/>
        </w:rPr>
      </w:pPr>
    </w:p>
    <w:p w14:paraId="77AF52AD">
      <w:pPr>
        <w:rPr>
          <w:rFonts w:hint="eastAsia" w:ascii="仿宋" w:hAnsi="仿宋" w:eastAsia="仿宋" w:cstheme="minorEastAsia"/>
          <w:color w:val="auto"/>
          <w:sz w:val="28"/>
          <w:szCs w:val="28"/>
        </w:rPr>
      </w:pPr>
    </w:p>
    <w:p w14:paraId="51E5F955">
      <w:pPr>
        <w:rPr>
          <w:rFonts w:hint="eastAsia" w:ascii="仿宋" w:hAnsi="仿宋" w:eastAsia="仿宋" w:cstheme="minorEastAsia"/>
          <w:color w:val="auto"/>
          <w:sz w:val="28"/>
          <w:szCs w:val="28"/>
        </w:rPr>
      </w:pPr>
    </w:p>
    <w:p w14:paraId="63A3A8F7">
      <w:pPr>
        <w:rPr>
          <w:rFonts w:hint="eastAsia" w:ascii="仿宋" w:hAnsi="仿宋" w:eastAsia="仿宋" w:cstheme="minorEastAsia"/>
          <w:color w:val="auto"/>
          <w:sz w:val="28"/>
          <w:szCs w:val="28"/>
        </w:rPr>
      </w:pPr>
    </w:p>
    <w:p w14:paraId="44EA86AA">
      <w:pPr>
        <w:rPr>
          <w:rFonts w:hint="eastAsia" w:ascii="仿宋" w:hAnsi="仿宋" w:eastAsia="仿宋" w:cstheme="minorEastAsia"/>
          <w:color w:val="auto"/>
          <w:sz w:val="28"/>
          <w:szCs w:val="28"/>
        </w:rPr>
      </w:pPr>
    </w:p>
    <w:p w14:paraId="34BE39DF">
      <w:pPr>
        <w:rPr>
          <w:rFonts w:hint="eastAsia" w:ascii="仿宋" w:hAnsi="仿宋" w:eastAsia="仿宋" w:cstheme="minorEastAsia"/>
          <w:color w:val="auto"/>
          <w:sz w:val="28"/>
          <w:szCs w:val="28"/>
        </w:rPr>
      </w:pPr>
    </w:p>
    <w:p w14:paraId="77F83C13">
      <w:pPr>
        <w:rPr>
          <w:rFonts w:hint="eastAsia" w:ascii="仿宋" w:hAnsi="仿宋" w:eastAsia="仿宋" w:cstheme="minorEastAsia"/>
          <w:color w:val="auto"/>
          <w:sz w:val="28"/>
          <w:szCs w:val="28"/>
        </w:rPr>
      </w:pPr>
    </w:p>
    <w:p w14:paraId="0635834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南宁中心血站采供血战略储备仓库设计服务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40D301-D35A-46B5-81B7-11D116E5653D}"/>
  </w:font>
  <w:font w:name="Courier New">
    <w:panose1 w:val="02070309020205020404"/>
    <w:charset w:val="01"/>
    <w:family w:val="modern"/>
    <w:pitch w:val="default"/>
    <w:sig w:usb0="E0002EFF" w:usb1="C0007843" w:usb2="00000009" w:usb3="00000000" w:csb0="400001FF" w:csb1="FFFF0000"/>
    <w:embedRegular r:id="rId2" w:fontKey="{9CCB9770-2A51-4CC7-BCD4-64C7946817A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E3FC466-B9C9-49E9-BF6B-23D1A8D7F05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94DA98F-D99B-4088-9160-40CA61B3819B}"/>
  </w:font>
  <w:font w:name="仿宋_GB2312">
    <w:panose1 w:val="02010609030101010101"/>
    <w:charset w:val="86"/>
    <w:family w:val="modern"/>
    <w:pitch w:val="default"/>
    <w:sig w:usb0="00000001" w:usb1="080E0000" w:usb2="00000000" w:usb3="00000000" w:csb0="00040000" w:csb1="00000000"/>
    <w:embedRegular r:id="rId5" w:fontKey="{E3071531-A6D1-49B8-80C2-232A2FF0647F}"/>
  </w:font>
  <w:font w:name="方正楷体_GB2312">
    <w:panose1 w:val="02000000000000000000"/>
    <w:charset w:val="86"/>
    <w:family w:val="auto"/>
    <w:pitch w:val="default"/>
    <w:sig w:usb0="A00002BF" w:usb1="184F6CFA" w:usb2="00000012" w:usb3="00000000" w:csb0="00040001" w:csb1="00000000"/>
    <w:embedRegular r:id="rId6" w:fontKey="{5BEC2677-E861-464C-AF3D-382F338C5AAE}"/>
  </w:font>
  <w:font w:name="仿宋">
    <w:panose1 w:val="02010609060101010101"/>
    <w:charset w:val="86"/>
    <w:family w:val="modern"/>
    <w:pitch w:val="default"/>
    <w:sig w:usb0="800002BF" w:usb1="38CF7CFA" w:usb2="00000016" w:usb3="00000000" w:csb0="00040001" w:csb1="00000000"/>
    <w:embedRegular r:id="rId7" w:fontKey="{EC272AED-DD62-4370-903F-499C868218CA}"/>
  </w:font>
  <w:font w:name="Segoe UI">
    <w:panose1 w:val="020B0502040204020203"/>
    <w:charset w:val="00"/>
    <w:family w:val="auto"/>
    <w:pitch w:val="default"/>
    <w:sig w:usb0="E4002EFF" w:usb1="C000E47F" w:usb2="00000009" w:usb3="00000000" w:csb0="200001FF" w:csb1="00000000"/>
    <w:embedRegular r:id="rId8" w:fontKey="{6BB21B06-8A54-4754-9520-AA196B6DF537}"/>
  </w:font>
  <w:font w:name="Wingdings 2">
    <w:panose1 w:val="05020102010507070707"/>
    <w:charset w:val="02"/>
    <w:family w:val="roman"/>
    <w:pitch w:val="default"/>
    <w:sig w:usb0="00000000" w:usb1="00000000" w:usb2="00000000" w:usb3="00000000" w:csb0="80000000" w:csb1="00000000"/>
    <w:embedRegular r:id="rId9" w:fontKey="{389D5F15-EAC4-40BC-B757-3D6B8FDA5E13}"/>
  </w:font>
  <w:font w:name="方正公文小标宋">
    <w:panose1 w:val="02000500000000000000"/>
    <w:charset w:val="86"/>
    <w:family w:val="auto"/>
    <w:pitch w:val="default"/>
    <w:sig w:usb0="A00002BF" w:usb1="38CF7CFA" w:usb2="00000016" w:usb3="00000000" w:csb0="00040001" w:csb1="00000000"/>
    <w:embedRegular r:id="rId10" w:fontKey="{FC5E80FF-9AFF-4A28-9497-AE52E4BE83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387"/>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216"/>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C715DA"/>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3D74708"/>
    <w:rsid w:val="041A76C5"/>
    <w:rsid w:val="04581029"/>
    <w:rsid w:val="046C750A"/>
    <w:rsid w:val="047A748A"/>
    <w:rsid w:val="049B0B31"/>
    <w:rsid w:val="04CB5FDF"/>
    <w:rsid w:val="04DC0CC3"/>
    <w:rsid w:val="04E61B40"/>
    <w:rsid w:val="04E92909"/>
    <w:rsid w:val="05040F0B"/>
    <w:rsid w:val="05154836"/>
    <w:rsid w:val="0516342C"/>
    <w:rsid w:val="05171224"/>
    <w:rsid w:val="05244B6E"/>
    <w:rsid w:val="053F54D7"/>
    <w:rsid w:val="054D5841"/>
    <w:rsid w:val="06A16DBF"/>
    <w:rsid w:val="06F046AA"/>
    <w:rsid w:val="079D6B68"/>
    <w:rsid w:val="07AF5618"/>
    <w:rsid w:val="07D85F5F"/>
    <w:rsid w:val="08517143"/>
    <w:rsid w:val="087A48E9"/>
    <w:rsid w:val="088F7924"/>
    <w:rsid w:val="089A027A"/>
    <w:rsid w:val="08D15069"/>
    <w:rsid w:val="0969578F"/>
    <w:rsid w:val="09837E6C"/>
    <w:rsid w:val="09E76B80"/>
    <w:rsid w:val="09FF6A5C"/>
    <w:rsid w:val="0ADD32F7"/>
    <w:rsid w:val="0B656E1E"/>
    <w:rsid w:val="0BC81D9A"/>
    <w:rsid w:val="0C0A5403"/>
    <w:rsid w:val="0C145497"/>
    <w:rsid w:val="0C216BFA"/>
    <w:rsid w:val="0D005685"/>
    <w:rsid w:val="0D24375F"/>
    <w:rsid w:val="0D814026"/>
    <w:rsid w:val="0D8E229F"/>
    <w:rsid w:val="0D941D88"/>
    <w:rsid w:val="0DBF3613"/>
    <w:rsid w:val="0DC81C4F"/>
    <w:rsid w:val="0E656964"/>
    <w:rsid w:val="0E9E654C"/>
    <w:rsid w:val="0EA24D69"/>
    <w:rsid w:val="0F2E5AE8"/>
    <w:rsid w:val="0FF451BB"/>
    <w:rsid w:val="104B2BA1"/>
    <w:rsid w:val="10C3645F"/>
    <w:rsid w:val="10D74B39"/>
    <w:rsid w:val="10DF458E"/>
    <w:rsid w:val="10E8616A"/>
    <w:rsid w:val="1125116C"/>
    <w:rsid w:val="114A5E54"/>
    <w:rsid w:val="11511160"/>
    <w:rsid w:val="115630D4"/>
    <w:rsid w:val="1187380C"/>
    <w:rsid w:val="1194486F"/>
    <w:rsid w:val="11972D06"/>
    <w:rsid w:val="11991213"/>
    <w:rsid w:val="11BD2408"/>
    <w:rsid w:val="11C92BA2"/>
    <w:rsid w:val="11CB1987"/>
    <w:rsid w:val="12114284"/>
    <w:rsid w:val="123E43E9"/>
    <w:rsid w:val="12C67FE1"/>
    <w:rsid w:val="12DE7825"/>
    <w:rsid w:val="12FD6C27"/>
    <w:rsid w:val="13131232"/>
    <w:rsid w:val="13347F43"/>
    <w:rsid w:val="13543637"/>
    <w:rsid w:val="13741F37"/>
    <w:rsid w:val="139070DD"/>
    <w:rsid w:val="139850E7"/>
    <w:rsid w:val="13A33E9F"/>
    <w:rsid w:val="14102564"/>
    <w:rsid w:val="146B7026"/>
    <w:rsid w:val="14BA45BB"/>
    <w:rsid w:val="14DC1B42"/>
    <w:rsid w:val="14F97FD0"/>
    <w:rsid w:val="151745AB"/>
    <w:rsid w:val="151B54D7"/>
    <w:rsid w:val="15BD2B90"/>
    <w:rsid w:val="15C70948"/>
    <w:rsid w:val="15D62A35"/>
    <w:rsid w:val="15D77522"/>
    <w:rsid w:val="15FF01DE"/>
    <w:rsid w:val="16022C53"/>
    <w:rsid w:val="161D23BF"/>
    <w:rsid w:val="16921052"/>
    <w:rsid w:val="16F969DB"/>
    <w:rsid w:val="177D1728"/>
    <w:rsid w:val="177D28D5"/>
    <w:rsid w:val="1788408B"/>
    <w:rsid w:val="17DD07B3"/>
    <w:rsid w:val="18504D21"/>
    <w:rsid w:val="18887C44"/>
    <w:rsid w:val="18A92683"/>
    <w:rsid w:val="18ED07C2"/>
    <w:rsid w:val="191044B0"/>
    <w:rsid w:val="196579A2"/>
    <w:rsid w:val="19A5109C"/>
    <w:rsid w:val="19DB4ABE"/>
    <w:rsid w:val="1A6D6D72"/>
    <w:rsid w:val="1A73374A"/>
    <w:rsid w:val="1AC403B5"/>
    <w:rsid w:val="1B1F4E7E"/>
    <w:rsid w:val="1B2F36F2"/>
    <w:rsid w:val="1B4C386F"/>
    <w:rsid w:val="1B5C39DD"/>
    <w:rsid w:val="1B9C027D"/>
    <w:rsid w:val="1BC660E9"/>
    <w:rsid w:val="1C1D13BE"/>
    <w:rsid w:val="1C38291A"/>
    <w:rsid w:val="1C542780"/>
    <w:rsid w:val="1C890801"/>
    <w:rsid w:val="1C9D2311"/>
    <w:rsid w:val="1CFD0F69"/>
    <w:rsid w:val="1D0C3E45"/>
    <w:rsid w:val="1D1B7434"/>
    <w:rsid w:val="1DC26C8C"/>
    <w:rsid w:val="1DC675CC"/>
    <w:rsid w:val="1E0740D4"/>
    <w:rsid w:val="1E4569AA"/>
    <w:rsid w:val="1E4824ED"/>
    <w:rsid w:val="1E6848B0"/>
    <w:rsid w:val="1E725644"/>
    <w:rsid w:val="1EC97AD9"/>
    <w:rsid w:val="1EFB47E3"/>
    <w:rsid w:val="1F5E41C7"/>
    <w:rsid w:val="1F666BD8"/>
    <w:rsid w:val="1FA85FA1"/>
    <w:rsid w:val="1FF231B2"/>
    <w:rsid w:val="1FF631C1"/>
    <w:rsid w:val="20152C0F"/>
    <w:rsid w:val="2090095A"/>
    <w:rsid w:val="20D91840"/>
    <w:rsid w:val="20EC5803"/>
    <w:rsid w:val="213F1C3D"/>
    <w:rsid w:val="214F70D2"/>
    <w:rsid w:val="215C0D30"/>
    <w:rsid w:val="21644C81"/>
    <w:rsid w:val="2165063A"/>
    <w:rsid w:val="21D544E9"/>
    <w:rsid w:val="21DC7625"/>
    <w:rsid w:val="21E1316F"/>
    <w:rsid w:val="22794E74"/>
    <w:rsid w:val="22B42A6A"/>
    <w:rsid w:val="22DC5488"/>
    <w:rsid w:val="2311742A"/>
    <w:rsid w:val="23251A24"/>
    <w:rsid w:val="23843AD1"/>
    <w:rsid w:val="238E7993"/>
    <w:rsid w:val="23DF7159"/>
    <w:rsid w:val="23E728C6"/>
    <w:rsid w:val="24645B79"/>
    <w:rsid w:val="24880C9A"/>
    <w:rsid w:val="24C95406"/>
    <w:rsid w:val="24EE7D9B"/>
    <w:rsid w:val="24FA0878"/>
    <w:rsid w:val="24FF6C02"/>
    <w:rsid w:val="25030284"/>
    <w:rsid w:val="256D244F"/>
    <w:rsid w:val="25CD5AD7"/>
    <w:rsid w:val="26494DC5"/>
    <w:rsid w:val="266D6866"/>
    <w:rsid w:val="266E45B7"/>
    <w:rsid w:val="267159D3"/>
    <w:rsid w:val="267E65C1"/>
    <w:rsid w:val="26881050"/>
    <w:rsid w:val="268A697E"/>
    <w:rsid w:val="26AA04BC"/>
    <w:rsid w:val="26BA5D64"/>
    <w:rsid w:val="26D44CA4"/>
    <w:rsid w:val="271355A6"/>
    <w:rsid w:val="272922EB"/>
    <w:rsid w:val="27392E24"/>
    <w:rsid w:val="27400126"/>
    <w:rsid w:val="27464BE9"/>
    <w:rsid w:val="2758774E"/>
    <w:rsid w:val="27D77D5F"/>
    <w:rsid w:val="28447105"/>
    <w:rsid w:val="28472674"/>
    <w:rsid w:val="2860321B"/>
    <w:rsid w:val="289077B9"/>
    <w:rsid w:val="28B6263A"/>
    <w:rsid w:val="28D21782"/>
    <w:rsid w:val="293A3A09"/>
    <w:rsid w:val="29415831"/>
    <w:rsid w:val="294361DC"/>
    <w:rsid w:val="296800D0"/>
    <w:rsid w:val="29693E94"/>
    <w:rsid w:val="29D8769C"/>
    <w:rsid w:val="2A3A75DF"/>
    <w:rsid w:val="2A6C4441"/>
    <w:rsid w:val="2A8820F8"/>
    <w:rsid w:val="2A9B5BE2"/>
    <w:rsid w:val="2AB663E9"/>
    <w:rsid w:val="2B253DEB"/>
    <w:rsid w:val="2B68125F"/>
    <w:rsid w:val="2B852ADC"/>
    <w:rsid w:val="2BAB4636"/>
    <w:rsid w:val="2BB15A59"/>
    <w:rsid w:val="2BEE5268"/>
    <w:rsid w:val="2BF57C61"/>
    <w:rsid w:val="2C2063A3"/>
    <w:rsid w:val="2C5E66B5"/>
    <w:rsid w:val="2C752B50"/>
    <w:rsid w:val="2C78619D"/>
    <w:rsid w:val="2CA30E6B"/>
    <w:rsid w:val="2CBF5B79"/>
    <w:rsid w:val="2CED0939"/>
    <w:rsid w:val="2D29300D"/>
    <w:rsid w:val="2D7E5110"/>
    <w:rsid w:val="2DAC4EEC"/>
    <w:rsid w:val="2E162111"/>
    <w:rsid w:val="2E620CC5"/>
    <w:rsid w:val="2E8E24A9"/>
    <w:rsid w:val="2E921785"/>
    <w:rsid w:val="2EB76AF9"/>
    <w:rsid w:val="2EEA6295"/>
    <w:rsid w:val="2F4A332F"/>
    <w:rsid w:val="2F5729E1"/>
    <w:rsid w:val="2F995907"/>
    <w:rsid w:val="2FC917E4"/>
    <w:rsid w:val="30376220"/>
    <w:rsid w:val="306A5B0E"/>
    <w:rsid w:val="30BC19C5"/>
    <w:rsid w:val="30E12A45"/>
    <w:rsid w:val="311A5A74"/>
    <w:rsid w:val="311F752F"/>
    <w:rsid w:val="31810686"/>
    <w:rsid w:val="31DE6E0A"/>
    <w:rsid w:val="32056604"/>
    <w:rsid w:val="32A86C88"/>
    <w:rsid w:val="32FA5C9F"/>
    <w:rsid w:val="33686B58"/>
    <w:rsid w:val="33954926"/>
    <w:rsid w:val="33AE3B69"/>
    <w:rsid w:val="33F86541"/>
    <w:rsid w:val="34050F42"/>
    <w:rsid w:val="340D0E15"/>
    <w:rsid w:val="34266DEB"/>
    <w:rsid w:val="34596806"/>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423CC8"/>
    <w:rsid w:val="36A35BB0"/>
    <w:rsid w:val="36C10068"/>
    <w:rsid w:val="37645C9B"/>
    <w:rsid w:val="380D6333"/>
    <w:rsid w:val="382A1CD8"/>
    <w:rsid w:val="38545D10"/>
    <w:rsid w:val="38575800"/>
    <w:rsid w:val="38800C2D"/>
    <w:rsid w:val="388C54AA"/>
    <w:rsid w:val="389E09C9"/>
    <w:rsid w:val="38B26D9C"/>
    <w:rsid w:val="38C869B0"/>
    <w:rsid w:val="38DD5D05"/>
    <w:rsid w:val="38E946AA"/>
    <w:rsid w:val="3905525C"/>
    <w:rsid w:val="39090187"/>
    <w:rsid w:val="390B7A49"/>
    <w:rsid w:val="39254A49"/>
    <w:rsid w:val="393C11D2"/>
    <w:rsid w:val="396B6E18"/>
    <w:rsid w:val="3982065B"/>
    <w:rsid w:val="398B39B3"/>
    <w:rsid w:val="39F2111A"/>
    <w:rsid w:val="39F66A32"/>
    <w:rsid w:val="3A155D47"/>
    <w:rsid w:val="3A2C2CB0"/>
    <w:rsid w:val="3A387C06"/>
    <w:rsid w:val="3A43428E"/>
    <w:rsid w:val="3AB72586"/>
    <w:rsid w:val="3AC75726"/>
    <w:rsid w:val="3BF55114"/>
    <w:rsid w:val="3C2F0C5E"/>
    <w:rsid w:val="3C333B48"/>
    <w:rsid w:val="3C71490B"/>
    <w:rsid w:val="3C79656C"/>
    <w:rsid w:val="3C8D3860"/>
    <w:rsid w:val="3D04058B"/>
    <w:rsid w:val="3D670293"/>
    <w:rsid w:val="3DC96590"/>
    <w:rsid w:val="3DE65AA8"/>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8856AD"/>
    <w:rsid w:val="41F15C61"/>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9D0E81"/>
    <w:rsid w:val="45AB5750"/>
    <w:rsid w:val="45D636A5"/>
    <w:rsid w:val="45E5444B"/>
    <w:rsid w:val="45EF323D"/>
    <w:rsid w:val="462C1348"/>
    <w:rsid w:val="46BB51AC"/>
    <w:rsid w:val="4741570E"/>
    <w:rsid w:val="47846BA6"/>
    <w:rsid w:val="47CF0F0F"/>
    <w:rsid w:val="481767EB"/>
    <w:rsid w:val="48210B1D"/>
    <w:rsid w:val="48883FAF"/>
    <w:rsid w:val="48945CC6"/>
    <w:rsid w:val="48A76385"/>
    <w:rsid w:val="48E7672C"/>
    <w:rsid w:val="49575660"/>
    <w:rsid w:val="495E2059"/>
    <w:rsid w:val="49911E8D"/>
    <w:rsid w:val="49CF5B75"/>
    <w:rsid w:val="49DE5B2D"/>
    <w:rsid w:val="4A171AF3"/>
    <w:rsid w:val="4A2E27D8"/>
    <w:rsid w:val="4A7E40B9"/>
    <w:rsid w:val="4AEA7D65"/>
    <w:rsid w:val="4B49241A"/>
    <w:rsid w:val="4B4B73DD"/>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5A5DC6"/>
    <w:rsid w:val="4E7D3BA7"/>
    <w:rsid w:val="4E8B3EC9"/>
    <w:rsid w:val="4F0B33B8"/>
    <w:rsid w:val="4F226EFA"/>
    <w:rsid w:val="4FC41575"/>
    <w:rsid w:val="4FEE5FA1"/>
    <w:rsid w:val="508825A3"/>
    <w:rsid w:val="50901C87"/>
    <w:rsid w:val="50976C5C"/>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C7438A"/>
    <w:rsid w:val="55D56177"/>
    <w:rsid w:val="55D87E1A"/>
    <w:rsid w:val="56113965"/>
    <w:rsid w:val="56A428C2"/>
    <w:rsid w:val="56B440F1"/>
    <w:rsid w:val="5708799A"/>
    <w:rsid w:val="57367C86"/>
    <w:rsid w:val="5745560C"/>
    <w:rsid w:val="57671164"/>
    <w:rsid w:val="57793690"/>
    <w:rsid w:val="57835872"/>
    <w:rsid w:val="57AD21B2"/>
    <w:rsid w:val="57BB14B0"/>
    <w:rsid w:val="57C4203E"/>
    <w:rsid w:val="57FA41E6"/>
    <w:rsid w:val="587A07F0"/>
    <w:rsid w:val="58B629CB"/>
    <w:rsid w:val="58EA047D"/>
    <w:rsid w:val="59401951"/>
    <w:rsid w:val="59600776"/>
    <w:rsid w:val="59DB7BE7"/>
    <w:rsid w:val="5A8F4244"/>
    <w:rsid w:val="5A9B7E0F"/>
    <w:rsid w:val="5AF7029F"/>
    <w:rsid w:val="5B2D3245"/>
    <w:rsid w:val="5B71396D"/>
    <w:rsid w:val="5BAF3E44"/>
    <w:rsid w:val="5BBA1ED4"/>
    <w:rsid w:val="5C7900C1"/>
    <w:rsid w:val="5C81097C"/>
    <w:rsid w:val="5CF31EC3"/>
    <w:rsid w:val="5D3F5F0C"/>
    <w:rsid w:val="5D6D6DA8"/>
    <w:rsid w:val="5DD576E5"/>
    <w:rsid w:val="5DFB7A90"/>
    <w:rsid w:val="5E2F405E"/>
    <w:rsid w:val="5E775EC5"/>
    <w:rsid w:val="5E9F14BD"/>
    <w:rsid w:val="5EF977BF"/>
    <w:rsid w:val="5F2F64F9"/>
    <w:rsid w:val="5F364BDB"/>
    <w:rsid w:val="5F443AD7"/>
    <w:rsid w:val="60010D30"/>
    <w:rsid w:val="60276F8D"/>
    <w:rsid w:val="60474DFD"/>
    <w:rsid w:val="604F618F"/>
    <w:rsid w:val="60536776"/>
    <w:rsid w:val="60884935"/>
    <w:rsid w:val="60DD4F0B"/>
    <w:rsid w:val="60F25ABA"/>
    <w:rsid w:val="61023DC3"/>
    <w:rsid w:val="61955BE0"/>
    <w:rsid w:val="61DE22EE"/>
    <w:rsid w:val="61F52ED8"/>
    <w:rsid w:val="620B3597"/>
    <w:rsid w:val="6213192F"/>
    <w:rsid w:val="625C2438"/>
    <w:rsid w:val="62A15DCF"/>
    <w:rsid w:val="63267838"/>
    <w:rsid w:val="63957059"/>
    <w:rsid w:val="6419156D"/>
    <w:rsid w:val="643F0D73"/>
    <w:rsid w:val="644222A4"/>
    <w:rsid w:val="64C33752"/>
    <w:rsid w:val="64C61FC9"/>
    <w:rsid w:val="64C7149A"/>
    <w:rsid w:val="652345F2"/>
    <w:rsid w:val="652F2B95"/>
    <w:rsid w:val="65301DE2"/>
    <w:rsid w:val="65577601"/>
    <w:rsid w:val="6563078E"/>
    <w:rsid w:val="65C504AF"/>
    <w:rsid w:val="65F07FB2"/>
    <w:rsid w:val="6603185C"/>
    <w:rsid w:val="66534A0E"/>
    <w:rsid w:val="66556854"/>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72951"/>
    <w:rsid w:val="6A0A3D2C"/>
    <w:rsid w:val="6A2D62D3"/>
    <w:rsid w:val="6A497272"/>
    <w:rsid w:val="6A7A6FA8"/>
    <w:rsid w:val="6AAC4779"/>
    <w:rsid w:val="6ABA5991"/>
    <w:rsid w:val="6AC63F9C"/>
    <w:rsid w:val="6AE65E85"/>
    <w:rsid w:val="6B126460"/>
    <w:rsid w:val="6B2C59DC"/>
    <w:rsid w:val="6B311A3F"/>
    <w:rsid w:val="6B4F21E3"/>
    <w:rsid w:val="6B915026"/>
    <w:rsid w:val="6BCE135A"/>
    <w:rsid w:val="6BE16838"/>
    <w:rsid w:val="6BFB42D8"/>
    <w:rsid w:val="6C1903D8"/>
    <w:rsid w:val="6C332ECB"/>
    <w:rsid w:val="6CBC34EB"/>
    <w:rsid w:val="6CCD308D"/>
    <w:rsid w:val="6DBC48D5"/>
    <w:rsid w:val="6DDC320B"/>
    <w:rsid w:val="6DF31972"/>
    <w:rsid w:val="6E8A1FF4"/>
    <w:rsid w:val="6E8B3D8C"/>
    <w:rsid w:val="6F002F61"/>
    <w:rsid w:val="6F15104E"/>
    <w:rsid w:val="6F2240AE"/>
    <w:rsid w:val="6F661837"/>
    <w:rsid w:val="6F781DDD"/>
    <w:rsid w:val="6FD04699"/>
    <w:rsid w:val="70191355"/>
    <w:rsid w:val="7030084F"/>
    <w:rsid w:val="703B4AE4"/>
    <w:rsid w:val="70422316"/>
    <w:rsid w:val="70ED2282"/>
    <w:rsid w:val="70FC187E"/>
    <w:rsid w:val="713A6130"/>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4A5026B"/>
    <w:rsid w:val="755F6708"/>
    <w:rsid w:val="75CC2D87"/>
    <w:rsid w:val="75DF65E3"/>
    <w:rsid w:val="76316E6F"/>
    <w:rsid w:val="76EA516E"/>
    <w:rsid w:val="770248CF"/>
    <w:rsid w:val="77F64F8C"/>
    <w:rsid w:val="7833083D"/>
    <w:rsid w:val="784309DA"/>
    <w:rsid w:val="7877401B"/>
    <w:rsid w:val="78BD69DE"/>
    <w:rsid w:val="78CC1807"/>
    <w:rsid w:val="792579EC"/>
    <w:rsid w:val="793B3B86"/>
    <w:rsid w:val="799139C7"/>
    <w:rsid w:val="7A19098A"/>
    <w:rsid w:val="7A5E1A26"/>
    <w:rsid w:val="7AA33F4E"/>
    <w:rsid w:val="7AAD6DF1"/>
    <w:rsid w:val="7AEB24C7"/>
    <w:rsid w:val="7B1F73F5"/>
    <w:rsid w:val="7B430CF1"/>
    <w:rsid w:val="7B580C40"/>
    <w:rsid w:val="7B5A7767"/>
    <w:rsid w:val="7B5E6224"/>
    <w:rsid w:val="7BAA2038"/>
    <w:rsid w:val="7C1867F4"/>
    <w:rsid w:val="7C4223E5"/>
    <w:rsid w:val="7C812D3F"/>
    <w:rsid w:val="7C814B0C"/>
    <w:rsid w:val="7CB41EA6"/>
    <w:rsid w:val="7CB73744"/>
    <w:rsid w:val="7D0C7D3D"/>
    <w:rsid w:val="7D1A5C1D"/>
    <w:rsid w:val="7D3C10E7"/>
    <w:rsid w:val="7D4E5E48"/>
    <w:rsid w:val="7D9D65DA"/>
    <w:rsid w:val="7DA21751"/>
    <w:rsid w:val="7DB44158"/>
    <w:rsid w:val="7DBF4FA6"/>
    <w:rsid w:val="7E413C0D"/>
    <w:rsid w:val="7E916D01"/>
    <w:rsid w:val="7E93587C"/>
    <w:rsid w:val="7EB443DF"/>
    <w:rsid w:val="7EBE0089"/>
    <w:rsid w:val="7EE36A72"/>
    <w:rsid w:val="7EF976A3"/>
    <w:rsid w:val="7EFF5D5B"/>
    <w:rsid w:val="7F0C3153"/>
    <w:rsid w:val="7F0F7867"/>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30</Pages>
  <Words>1802</Words>
  <Characters>1917</Characters>
  <Lines>39</Lines>
  <Paragraphs>11</Paragraphs>
  <TotalTime>4</TotalTime>
  <ScaleCrop>false</ScaleCrop>
  <LinksUpToDate>false</LinksUpToDate>
  <CharactersWithSpaces>1976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2026-03-17T00:42:50Z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