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0120E0F">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项目名称：南宁中心血站2026年资产安全运维平台规则库采购</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6011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南宁中心血站2026年资产安全运维平台规则库采购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w:t>
      </w:r>
      <w:r>
        <w:rPr>
          <w:rFonts w:hint="eastAsia" w:ascii="仿宋_GB2312" w:hAnsi="Courier New" w:eastAsia="仿宋_GB2312" w:cs="Courier New"/>
          <w:color w:val="000000"/>
          <w:kern w:val="0"/>
          <w:sz w:val="32"/>
          <w:szCs w:val="32"/>
          <w:lang w:val="zh-TW" w:eastAsia="zh-TW"/>
        </w:rPr>
        <w:t>对南宁中心血站2026年资产安全运维平台规则库进行采购，现就该项目邀请具有资质的单位进行响应，采购信息如下：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6011</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项目名称：南宁中心血站2026年资产安全运维平台规则库采购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壹万叁仟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13000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壹万叁仟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13000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货物</w:t>
      </w:r>
      <w:r>
        <w:rPr>
          <w:rFonts w:hint="eastAsia" w:ascii="仿宋_GB2312" w:hAnsi="Courier New" w:eastAsia="仿宋_GB2312" w:cs="Courier New"/>
          <w:color w:val="000000"/>
          <w:kern w:val="0"/>
          <w:sz w:val="32"/>
          <w:szCs w:val="32"/>
          <w:lang w:val="zh-TW" w:eastAsia="zh-TW" w:bidi="ar-SA"/>
        </w:rPr>
        <w:t>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bookmarkStart w:id="1" w:name="_GoBack"/>
      <w:bookmarkEnd w:id="1"/>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23</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594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资产安全运维平台规则库</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1个</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3969E62D">
            <w:pPr>
              <w:numPr>
                <w:ilvl w:val="0"/>
                <w:numId w:val="3"/>
              </w:numPr>
              <w:snapToGrid w:val="0"/>
              <w:rPr>
                <w:rFonts w:hint="eastAsia" w:ascii="宋体" w:hAnsi="宋体" w:cs="宋体"/>
                <w:szCs w:val="21"/>
              </w:rPr>
            </w:pPr>
            <w:r>
              <w:rPr>
                <w:rFonts w:hint="eastAsia" w:ascii="宋体" w:hAnsi="宋体" w:cs="宋体"/>
                <w:szCs w:val="21"/>
              </w:rPr>
              <w:t>产品名称：非凡资产安全运维平台</w:t>
            </w:r>
          </w:p>
          <w:p w14:paraId="2EB03121">
            <w:pPr>
              <w:numPr>
                <w:ilvl w:val="0"/>
                <w:numId w:val="3"/>
              </w:numPr>
              <w:snapToGrid w:val="0"/>
              <w:rPr>
                <w:rFonts w:hint="eastAsia" w:ascii="宋体" w:hAnsi="宋体" w:cs="宋体"/>
                <w:szCs w:val="21"/>
              </w:rPr>
            </w:pPr>
            <w:r>
              <w:rPr>
                <w:rFonts w:hint="eastAsia" w:ascii="宋体" w:hAnsi="宋体" w:cs="宋体"/>
                <w:szCs w:val="21"/>
              </w:rPr>
              <w:t>产品型号：OKscan-LA-X500</w:t>
            </w:r>
          </w:p>
          <w:p w14:paraId="2DC5D82E">
            <w:pPr>
              <w:numPr>
                <w:ilvl w:val="0"/>
                <w:numId w:val="0"/>
              </w:numPr>
              <w:spacing w:line="240" w:lineRule="auto"/>
              <w:jc w:val="left"/>
              <w:rPr>
                <w:rFonts w:hint="default"/>
                <w:color w:val="auto"/>
                <w:lang w:val="en-US" w:eastAsia="zh-CN"/>
              </w:rPr>
            </w:pPr>
            <w:r>
              <w:rPr>
                <w:rFonts w:hint="eastAsia" w:ascii="宋体" w:hAnsi="宋体" w:cs="宋体"/>
                <w:szCs w:val="21"/>
                <w:lang w:val="en-US" w:eastAsia="zh-CN"/>
              </w:rPr>
              <w:t>3.</w:t>
            </w:r>
            <w:r>
              <w:rPr>
                <w:rFonts w:hint="eastAsia" w:ascii="宋体" w:hAnsi="宋体" w:cs="宋体"/>
                <w:szCs w:val="21"/>
              </w:rPr>
              <w:t>要求：提供1年有效期的产品功能及规则库升级服务，服务覆盖设备全部授权功能模块，包括资产测绘与管理、主机漏洞扫描、弱口令扫描、漏洞管理、网站漏洞扫描、网站监测、配置核查、蜜罐诱捕、主机Agent监测、流量威胁检测等，保障设备在授权周期内持续具备有效、精准的威胁识别与防护能力，确保设备能够应对不断演进的网络攻击、新型漏洞与合规要求。</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13000.00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0F632803">
            <w:r>
              <w:rPr>
                <w:rFonts w:hint="eastAsia"/>
                <w:b/>
                <w:bCs/>
              </w:rPr>
              <w:t>一、合同签订期：</w:t>
            </w:r>
            <w:r>
              <w:rPr>
                <w:rFonts w:hint="eastAsia"/>
              </w:rPr>
              <w:t>自采购结果公告结束之日起 10个工作日内。</w:t>
            </w:r>
          </w:p>
          <w:p w14:paraId="6A02A74C">
            <w:r>
              <w:rPr>
                <w:rFonts w:hint="eastAsia"/>
                <w:b/>
                <w:bCs/>
              </w:rPr>
              <w:t>二、交货期：</w:t>
            </w:r>
            <w:r>
              <w:rPr>
                <w:rFonts w:hint="eastAsia"/>
              </w:rPr>
              <w:t xml:space="preserve">自合同签订之日起 </w:t>
            </w:r>
            <w:r>
              <w:rPr>
                <w:rFonts w:hint="eastAsia"/>
                <w:highlight w:val="none"/>
              </w:rPr>
              <w:t>5个工作日</w:t>
            </w:r>
            <w:r>
              <w:rPr>
                <w:rFonts w:hint="eastAsia"/>
              </w:rPr>
              <w:t>内一次性交付。</w:t>
            </w:r>
          </w:p>
          <w:p w14:paraId="02D8EEE5">
            <w:r>
              <w:rPr>
                <w:rFonts w:hint="eastAsia"/>
                <w:b/>
                <w:bCs/>
              </w:rPr>
              <w:t>三、交货地点：</w:t>
            </w:r>
            <w:r>
              <w:rPr>
                <w:rFonts w:hint="eastAsia"/>
              </w:rPr>
              <w:t>南宁中心血站指定地点（南宁市市内）。</w:t>
            </w:r>
          </w:p>
          <w:p w14:paraId="57518A53">
            <w:pPr>
              <w:rPr>
                <w:b/>
                <w:bCs/>
              </w:rPr>
            </w:pPr>
            <w:r>
              <w:rPr>
                <w:rFonts w:hint="eastAsia"/>
                <w:b/>
                <w:bCs/>
              </w:rPr>
              <w:t>四、交货方式及要求：</w:t>
            </w:r>
          </w:p>
          <w:p w14:paraId="6E3488C4">
            <w:r>
              <w:rPr>
                <w:rFonts w:hint="eastAsia"/>
              </w:rPr>
              <w:t>1.交货方式：现场交货。</w:t>
            </w:r>
          </w:p>
          <w:p w14:paraId="706FA649">
            <w:r>
              <w:rPr>
                <w:rFonts w:hint="eastAsia"/>
              </w:rPr>
              <w:t>2.交货要求：提供的产品必须是原厂生产的正品全新、完整、未使用过的合格产品，产品质量符合国家相关标准和规范，具备正规合法经销渠道。相关部件及服务须满足本项目需求中各项要求。货物到达后，成交供应商和采购人应在现场进行清点，清点过程中如果发现因包装或运输不当引起的货物外观或内部的损坏，成交供应商须负责更换，若发现错发/漏发情况，成交供应商须负责更换和补发。</w:t>
            </w:r>
          </w:p>
          <w:p w14:paraId="064B2BB2">
            <w:pPr>
              <w:rPr>
                <w:b/>
                <w:bCs/>
              </w:rPr>
            </w:pPr>
            <w:r>
              <w:rPr>
                <w:rFonts w:hint="eastAsia"/>
                <w:b/>
                <w:bCs/>
              </w:rPr>
              <w:t>五、验收方式及要求：</w:t>
            </w:r>
          </w:p>
          <w:p w14:paraId="0CD7F1CE">
            <w:pPr>
              <w:ind w:firstLine="420" w:firstLineChars="200"/>
            </w:pPr>
            <w:r>
              <w:rPr>
                <w:rFonts w:hint="eastAsia"/>
              </w:rPr>
              <w:t>交货时，所有产品均严格按采购需求上的技术参数要求，采购人按成交供应商响应和承诺的技术参数及性能和国家有关标准进行验收，达不到要求的不予验收，视为产品验收不合格，并且保留追究成交供应商虚假响应的法律责任。</w:t>
            </w:r>
          </w:p>
          <w:p w14:paraId="536430C5">
            <w:pPr>
              <w:rPr>
                <w:b/>
                <w:bCs/>
              </w:rPr>
            </w:pPr>
            <w:r>
              <w:rPr>
                <w:rFonts w:hint="eastAsia"/>
                <w:b/>
                <w:bCs/>
              </w:rPr>
              <w:t>六、售后服务及要求：</w:t>
            </w:r>
          </w:p>
          <w:p w14:paraId="05559337">
            <w:pPr>
              <w:ind w:firstLine="420" w:firstLineChars="200"/>
            </w:pPr>
            <w:r>
              <w:rPr>
                <w:rFonts w:hint="eastAsia"/>
              </w:rPr>
              <w:t>提供送货上门、安装调试（含系统初始化、基础功能配置）及操作人员培训服务。</w:t>
            </w:r>
          </w:p>
          <w:p w14:paraId="3EFD5768">
            <w:r>
              <w:rPr>
                <w:rFonts w:hint="eastAsia"/>
                <w:b/>
                <w:bCs/>
              </w:rPr>
              <w:t>七、其他要求：</w:t>
            </w:r>
          </w:p>
          <w:p w14:paraId="180F13FD">
            <w:r>
              <w:rPr>
                <w:rFonts w:hint="eastAsia"/>
              </w:rPr>
              <w:t>1.报价必须包含以下部分，包括：</w:t>
            </w:r>
          </w:p>
          <w:p w14:paraId="157E9745">
            <w:r>
              <w:rPr>
                <w:rFonts w:hint="eastAsia"/>
              </w:rPr>
              <w:t>（1）货物价格；</w:t>
            </w:r>
          </w:p>
          <w:p w14:paraId="4D52CB00">
            <w:pPr>
              <w:rPr>
                <w:rFonts w:hint="eastAsia"/>
              </w:rPr>
            </w:pPr>
            <w:r>
              <w:rPr>
                <w:rFonts w:hint="eastAsia"/>
              </w:rPr>
              <w:t>（2）</w:t>
            </w:r>
            <w:r>
              <w:rPr>
                <w:rFonts w:hint="eastAsia"/>
                <w:lang w:val="en-US" w:eastAsia="zh-CN"/>
              </w:rPr>
              <w:t>人工、</w:t>
            </w:r>
            <w:r>
              <w:rPr>
                <w:rFonts w:hint="eastAsia"/>
              </w:rPr>
              <w:t>安装、调试、技术支持、售后服务等费用；</w:t>
            </w:r>
          </w:p>
          <w:p w14:paraId="6014D20D">
            <w:r>
              <w:rPr>
                <w:rFonts w:hint="eastAsia"/>
                <w:lang w:eastAsia="zh-CN"/>
              </w:rPr>
              <w:t>（</w:t>
            </w:r>
            <w:r>
              <w:rPr>
                <w:rFonts w:hint="eastAsia"/>
                <w:lang w:val="en-US" w:eastAsia="zh-CN"/>
              </w:rPr>
              <w:t>3</w:t>
            </w:r>
            <w:r>
              <w:rPr>
                <w:rFonts w:hint="eastAsia"/>
                <w:lang w:eastAsia="zh-CN"/>
              </w:rPr>
              <w:t>）</w:t>
            </w:r>
            <w:r>
              <w:rPr>
                <w:rFonts w:hint="eastAsia"/>
              </w:rPr>
              <w:t>必要的保险及各项税费等全部费用。</w:t>
            </w:r>
          </w:p>
          <w:p w14:paraId="4B249C92">
            <w:pPr>
              <w:bidi w:val="0"/>
              <w:rPr>
                <w:rFonts w:hint="eastAsia" w:eastAsia="宋体"/>
                <w:lang w:val="en-US" w:eastAsia="zh-CN"/>
              </w:rPr>
            </w:pPr>
            <w:r>
              <w:rPr>
                <w:rFonts w:hint="eastAsia"/>
              </w:rPr>
              <w:t>2.付款方式：货物完全交付并经采购人验收合格后一次性支付合同款</w:t>
            </w:r>
            <w:r>
              <w:rPr>
                <w:rFonts w:hint="eastAsia"/>
                <w:lang w:eastAsia="zh-CN"/>
              </w:rPr>
              <w:t>（</w:t>
            </w:r>
            <w:r>
              <w:rPr>
                <w:rFonts w:hint="eastAsia"/>
              </w:rPr>
              <w:t>付款前成交供应商须开具等额合规的增值税普通发票给采购人</w:t>
            </w:r>
            <w:r>
              <w:rPr>
                <w:rFonts w:hint="eastAsia"/>
                <w:lang w:eastAsia="zh-CN"/>
              </w:rPr>
              <w:t>）</w:t>
            </w:r>
            <w:r>
              <w:rPr>
                <w:rFonts w:hint="eastAsia"/>
              </w:rPr>
              <w:t>。</w:t>
            </w:r>
          </w:p>
        </w:tc>
      </w:tr>
    </w:tbl>
    <w:p w14:paraId="73B00C06">
      <w:pPr>
        <w:pStyle w:val="8"/>
        <w:ind w:firstLine="560" w:firstLineChars="200"/>
        <w:jc w:val="left"/>
        <w:rPr>
          <w:rFonts w:hint="eastAsia"/>
          <w:sz w:val="28"/>
          <w:szCs w:val="28"/>
        </w:rPr>
      </w:pPr>
    </w:p>
    <w:p w14:paraId="755E676B">
      <w:pPr>
        <w:pStyle w:val="8"/>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南宁中心血站2026年资产安全运维平台规则库采购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南宁中心血站2026年资产安全运维平台规则库采购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718"/>
        <w:gridCol w:w="1697"/>
        <w:gridCol w:w="1697"/>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1718" w:type="dxa"/>
            <w:noWrap w:val="0"/>
            <w:vAlign w:val="center"/>
          </w:tcPr>
          <w:p w14:paraId="7873B19F">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名称</w:t>
            </w:r>
          </w:p>
        </w:tc>
        <w:tc>
          <w:tcPr>
            <w:tcW w:w="1697" w:type="dxa"/>
            <w:noWrap w:val="0"/>
            <w:vAlign w:val="center"/>
          </w:tcPr>
          <w:p w14:paraId="468E87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品牌、型号</w:t>
            </w:r>
          </w:p>
        </w:tc>
        <w:tc>
          <w:tcPr>
            <w:tcW w:w="1697"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个</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826"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500"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83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490"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718" w:type="dxa"/>
            <w:noWrap w:val="0"/>
            <w:vAlign w:val="center"/>
          </w:tcPr>
          <w:p w14:paraId="0A3C9723">
            <w:pPr>
              <w:jc w:val="center"/>
            </w:pPr>
            <w:r>
              <w:rPr>
                <w:rFonts w:hint="eastAsia"/>
              </w:rPr>
              <w:t>资产安全运维平台规则库</w:t>
            </w:r>
          </w:p>
        </w:tc>
        <w:tc>
          <w:tcPr>
            <w:tcW w:w="1697" w:type="dxa"/>
            <w:noWrap w:val="0"/>
            <w:vAlign w:val="center"/>
          </w:tcPr>
          <w:p w14:paraId="0A23D285">
            <w:pPr>
              <w:pStyle w:val="8"/>
              <w:jc w:val="center"/>
              <w:rPr>
                <w:rFonts w:hint="eastAsia" w:hAnsi="宋体" w:eastAsia="宋体" w:cs="宋体"/>
                <w:kern w:val="0"/>
                <w:sz w:val="20"/>
                <w:szCs w:val="21"/>
                <w:lang w:val="en-US" w:eastAsia="zh-CN"/>
              </w:rPr>
            </w:pPr>
            <w:r>
              <w:rPr>
                <w:rFonts w:hint="eastAsia" w:ascii="宋体" w:hAnsi="宋体" w:cs="宋体"/>
                <w:szCs w:val="21"/>
              </w:rPr>
              <w:t>OKscan-LA-X500</w:t>
            </w:r>
          </w:p>
        </w:tc>
        <w:tc>
          <w:tcPr>
            <w:tcW w:w="1697"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w:t>
            </w:r>
          </w:p>
        </w:tc>
        <w:tc>
          <w:tcPr>
            <w:tcW w:w="1826"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13</w:t>
            </w:r>
            <w:r>
              <w:rPr>
                <w:rFonts w:hint="eastAsia" w:asciiTheme="minorEastAsia" w:hAnsiTheme="minorEastAsia" w:cstheme="minorEastAsia"/>
                <w:b/>
                <w:color w:val="FF0000"/>
                <w:kern w:val="0"/>
                <w:sz w:val="22"/>
                <w:szCs w:val="22"/>
              </w:rPr>
              <w:t>000.00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1EC6B10"/>
    <w:p w14:paraId="1377B432">
      <w:pPr>
        <w:pStyle w:val="6"/>
      </w:pPr>
    </w:p>
    <w:p w14:paraId="37175697">
      <w:pPr>
        <w:pStyle w:val="6"/>
      </w:pPr>
    </w:p>
    <w:p w14:paraId="745B3B51">
      <w:pPr>
        <w:pStyle w:val="6"/>
      </w:pPr>
    </w:p>
    <w:p w14:paraId="7AC6424A">
      <w:pPr>
        <w:pStyle w:val="6"/>
      </w:pPr>
    </w:p>
    <w:p w14:paraId="0D2F04EC">
      <w:pPr>
        <w:pStyle w:val="6"/>
      </w:pPr>
    </w:p>
    <w:p w14:paraId="5FA4F646">
      <w:pPr>
        <w:pStyle w:val="6"/>
      </w:pPr>
    </w:p>
    <w:p w14:paraId="460B5A00">
      <w:pPr>
        <w:pStyle w:val="6"/>
      </w:pPr>
    </w:p>
    <w:p w14:paraId="074365ED">
      <w:pPr>
        <w:pStyle w:val="8"/>
        <w:spacing w:line="500" w:lineRule="exact"/>
        <w:ind w:firstLine="560" w:firstLineChars="200"/>
        <w:jc w:val="left"/>
        <w:rPr>
          <w:rFonts w:hint="eastAsia" w:asciiTheme="minorEastAsia" w:hAnsiTheme="minorEastAsia" w:cstheme="majorEastAsia"/>
          <w:bCs/>
          <w:color w:val="000000"/>
          <w:sz w:val="28"/>
          <w:szCs w:val="28"/>
        </w:rPr>
      </w:pPr>
    </w:p>
    <w:p w14:paraId="5F2332BE">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南宁中心血站2026年资产安全运维平台规则库采购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0EADAC30">
      <w:pPr>
        <w:spacing w:line="360" w:lineRule="auto"/>
        <w:jc w:val="center"/>
        <w:rPr>
          <w:rFonts w:hint="eastAsia" w:ascii="宋体" w:hAnsi="宋体"/>
          <w:b/>
          <w:color w:val="auto"/>
          <w:sz w:val="30"/>
          <w:szCs w:val="30"/>
        </w:rPr>
      </w:pPr>
    </w:p>
    <w:p w14:paraId="115EA58F">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7CBF39AF">
      <w:pPr>
        <w:rPr>
          <w:rFonts w:hint="eastAsia" w:hAnsi="宋体"/>
          <w:color w:val="auto"/>
        </w:rPr>
      </w:pPr>
    </w:p>
    <w:p w14:paraId="30A0622D">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6A76851E">
      <w:pPr>
        <w:spacing w:line="360" w:lineRule="auto"/>
        <w:rPr>
          <w:color w:val="auto"/>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54F2D2D1">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D5ABDD-3DE7-4BA4-9E8E-E20F7F521E04}"/>
  </w:font>
  <w:font w:name="Courier New">
    <w:panose1 w:val="02070309020205020404"/>
    <w:charset w:val="01"/>
    <w:family w:val="modern"/>
    <w:pitch w:val="default"/>
    <w:sig w:usb0="E0002EFF" w:usb1="C0007843" w:usb2="00000009" w:usb3="00000000" w:csb0="400001FF" w:csb1="FFFF0000"/>
    <w:embedRegular r:id="rId2" w:fontKey="{42CC6C10-7F5C-48BA-A87C-147A963E240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CC6511C-8F41-4383-92CD-92F7CE8F032B}"/>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7A8AD285-BE4D-416B-AF0B-C1854B307049}"/>
  </w:font>
  <w:font w:name="仿宋_GB2312">
    <w:panose1 w:val="02010609030101010101"/>
    <w:charset w:val="86"/>
    <w:family w:val="modern"/>
    <w:pitch w:val="default"/>
    <w:sig w:usb0="00000001" w:usb1="080E0000" w:usb2="00000000" w:usb3="00000000" w:csb0="00040000" w:csb1="00000000"/>
    <w:embedRegular r:id="rId5" w:fontKey="{AB008093-0682-4154-836A-294AC41BB8F3}"/>
  </w:font>
  <w:font w:name="方正楷体_GB2312">
    <w:panose1 w:val="02000000000000000000"/>
    <w:charset w:val="86"/>
    <w:family w:val="auto"/>
    <w:pitch w:val="default"/>
    <w:sig w:usb0="A00002BF" w:usb1="184F6CFA" w:usb2="00000012" w:usb3="00000000" w:csb0="00040001" w:csb1="00000000"/>
    <w:embedRegular r:id="rId6" w:fontKey="{C0757E0E-6A71-4B8B-AE7B-A6CE23FF732A}"/>
  </w:font>
  <w:font w:name="Wingdings 2">
    <w:panose1 w:val="05020102010507070707"/>
    <w:charset w:val="02"/>
    <w:family w:val="roman"/>
    <w:pitch w:val="default"/>
    <w:sig w:usb0="00000000" w:usb1="00000000" w:usb2="00000000" w:usb3="00000000" w:csb0="80000000" w:csb1="00000000"/>
    <w:embedRegular r:id="rId7" w:fontKey="{1F9A00AC-B083-49FD-83CD-EFD9972A53F3}"/>
  </w:font>
  <w:font w:name="仿宋">
    <w:panose1 w:val="02010609060101010101"/>
    <w:charset w:val="86"/>
    <w:family w:val="modern"/>
    <w:pitch w:val="default"/>
    <w:sig w:usb0="800002BF" w:usb1="38CF7CFA" w:usb2="00000016" w:usb3="00000000" w:csb0="00040001" w:csb1="00000000"/>
    <w:embedRegular r:id="rId8" w:fontKey="{74EEE82C-87A4-430A-8E19-EEDD4DD4E4C7}"/>
  </w:font>
  <w:font w:name="方正公文小标宋">
    <w:panose1 w:val="02000500000000000000"/>
    <w:charset w:val="86"/>
    <w:family w:val="auto"/>
    <w:pitch w:val="default"/>
    <w:sig w:usb0="A00002BF" w:usb1="38CF7CFA" w:usb2="00000016" w:usb3="00000000" w:csb0="00040001" w:csb1="00000000"/>
    <w:embedRegular r:id="rId9" w:fontKey="{730DA64D-8C2E-4C78-87E7-B82BAF1C8D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42320728"/>
    <w:multiLevelType w:val="singleLevel"/>
    <w:tmpl w:val="42320728"/>
    <w:lvl w:ilvl="0" w:tentative="0">
      <w:start w:val="1"/>
      <w:numFmt w:val="decimal"/>
      <w:lvlText w:val="%1."/>
      <w:lvlJc w:val="left"/>
      <w:pPr>
        <w:tabs>
          <w:tab w:val="left" w:pos="312"/>
        </w:tabs>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35C3"/>
    <w:rsid w:val="131B5197"/>
    <w:rsid w:val="133143D3"/>
    <w:rsid w:val="133424E4"/>
    <w:rsid w:val="13441F06"/>
    <w:rsid w:val="134B4B63"/>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9D0AA2"/>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C4EB2"/>
    <w:rsid w:val="599B45C2"/>
    <w:rsid w:val="59A85E17"/>
    <w:rsid w:val="59AD5375"/>
    <w:rsid w:val="59B273B0"/>
    <w:rsid w:val="59D2663D"/>
    <w:rsid w:val="59D54C0B"/>
    <w:rsid w:val="59E854F3"/>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19</Pages>
  <Words>8936</Words>
  <Characters>9453</Characters>
  <Lines>71</Lines>
  <Paragraphs>20</Paragraphs>
  <TotalTime>5</TotalTime>
  <ScaleCrop>false</ScaleCrop>
  <LinksUpToDate>false</LinksUpToDate>
  <CharactersWithSpaces>11346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2026-04-23T02:13:45Z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