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2335DAE4">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项目名称：南宁中心血站2026年铝合金帐篷采购</w:t>
      </w:r>
    </w:p>
    <w:p w14:paraId="24DFDF0E">
      <w:pPr>
        <w:spacing w:line="600" w:lineRule="exact"/>
        <w:ind w:firstLine="643" w:firstLineChars="200"/>
        <w:jc w:val="left"/>
        <w:rPr>
          <w:rFonts w:hint="default" w:ascii="仿宋_GB2312" w:hAnsi="Courier New" w:eastAsia="仿宋_GB2312" w:cs="Courier New"/>
          <w:b/>
          <w:bCs/>
          <w:color w:val="auto"/>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w:t>
      </w:r>
      <w:r>
        <w:rPr>
          <w:rFonts w:hint="eastAsia" w:ascii="仿宋_GB2312" w:hAnsi="Courier New" w:eastAsia="仿宋_GB2312" w:cs="Courier New"/>
          <w:b/>
          <w:bCs/>
          <w:color w:val="auto"/>
          <w:kern w:val="0"/>
          <w:sz w:val="32"/>
          <w:szCs w:val="32"/>
          <w:lang w:val="en-US" w:eastAsia="zh-CN"/>
        </w:rPr>
        <w:t>6014</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D358207">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0B57B526">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南宁中心血站2026年铝合金帐篷采购二次</w:t>
      </w: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公告</w:t>
      </w:r>
    </w:p>
    <w:p w14:paraId="0052D9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bookmarkStart w:id="21" w:name="_GoBack"/>
      <w:bookmarkEnd w:id="21"/>
      <w:r>
        <w:rPr>
          <w:rFonts w:hint="eastAsia" w:ascii="仿宋_GB2312" w:hAnsi="Courier New" w:eastAsia="仿宋_GB2312" w:cs="Courier New"/>
          <w:color w:val="000000"/>
          <w:kern w:val="0"/>
          <w:sz w:val="32"/>
          <w:szCs w:val="32"/>
          <w:lang w:val="zh-TW" w:eastAsia="zh-TW"/>
        </w:rPr>
        <w:t>南宁中心血站按照采购计划，</w:t>
      </w:r>
      <w:r>
        <w:rPr>
          <w:rFonts w:hint="eastAsia" w:ascii="仿宋_GB2312" w:hAnsi="Courier New" w:eastAsia="仿宋_GB2312" w:cs="Courier New"/>
          <w:color w:val="000000"/>
          <w:kern w:val="0"/>
          <w:sz w:val="32"/>
          <w:szCs w:val="32"/>
          <w:lang w:val="en-US" w:eastAsia="zh-CN"/>
        </w:rPr>
        <w:t>再次</w:t>
      </w:r>
      <w:r>
        <w:rPr>
          <w:rFonts w:hint="eastAsia" w:ascii="仿宋_GB2312" w:hAnsi="Courier New" w:eastAsia="仿宋_GB2312" w:cs="Courier New"/>
          <w:color w:val="000000"/>
          <w:kern w:val="0"/>
          <w:sz w:val="32"/>
          <w:szCs w:val="32"/>
          <w:lang w:val="zh-TW" w:eastAsia="zh-TW"/>
        </w:rPr>
        <w:t>对南宁中心血站2026年铝合金帐篷进行采购，现就该项目邀请具有资质的单位进行响应，采购信息如下：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110D0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w:t>
      </w:r>
      <w:r>
        <w:rPr>
          <w:rFonts w:hint="eastAsia" w:ascii="仿宋_GB2312" w:hAnsi="Courier New" w:eastAsia="仿宋_GB2312" w:cs="Courier New"/>
          <w:color w:val="auto"/>
          <w:kern w:val="0"/>
          <w:sz w:val="32"/>
          <w:szCs w:val="32"/>
          <w:lang w:val="en-US" w:eastAsia="zh-CN"/>
        </w:rPr>
        <w:t>6014</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项目名称：南宁中心血站2026年铝合金帐篷采购</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肆万元整（￥40000.00）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肆万元整（￥40000.00）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综合评分法。</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w:t>
      </w:r>
      <w:r>
        <w:rPr>
          <w:rFonts w:hint="eastAsia" w:ascii="仿宋_GB2312" w:hAnsi="Courier New" w:eastAsia="仿宋_GB2312" w:cs="Courier New"/>
          <w:color w:val="000000"/>
          <w:kern w:val="0"/>
          <w:sz w:val="32"/>
          <w:szCs w:val="32"/>
          <w:lang w:val="en-US" w:eastAsia="zh-CN"/>
        </w:rPr>
        <w:t>以响应文件为依据，</w:t>
      </w:r>
      <w:r>
        <w:rPr>
          <w:rFonts w:hint="eastAsia" w:ascii="仿宋_GB2312" w:hAnsi="Courier New" w:eastAsia="仿宋_GB2312" w:cs="Courier New"/>
          <w:color w:val="000000"/>
          <w:kern w:val="0"/>
          <w:sz w:val="32"/>
          <w:szCs w:val="32"/>
          <w:lang w:val="zh-TW" w:eastAsia="zh-TW"/>
        </w:rPr>
        <w:t>根据</w:t>
      </w:r>
      <w:r>
        <w:rPr>
          <w:rFonts w:hint="eastAsia" w:ascii="仿宋_GB2312" w:hAnsi="Courier New" w:eastAsia="仿宋_GB2312" w:cs="Courier New"/>
          <w:color w:val="000000"/>
          <w:kern w:val="0"/>
          <w:sz w:val="32"/>
          <w:szCs w:val="32"/>
          <w:lang w:val="en-US" w:eastAsia="zh-CN"/>
        </w:rPr>
        <w:t>响应文件的报价、技术、商务等内容进行百分制打分，按照评审得分最高者确定成交供应商（详见附件2）。</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922FA61">
      <w:pPr>
        <w:bidi w:val="0"/>
        <w:ind w:firstLine="640" w:firstLineChars="200"/>
        <w:rPr>
          <w:rFonts w:hint="eastAsia" w:ascii="仿宋_GB2312" w:hAnsi="仿宋_GB2312" w:eastAsia="仿宋_GB2312" w:cs="仿宋_GB2312"/>
          <w:sz w:val="32"/>
          <w:szCs w:val="32"/>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仿宋_GB2312" w:eastAsia="仿宋_GB2312" w:cs="仿宋_GB2312"/>
          <w:sz w:val="32"/>
          <w:szCs w:val="32"/>
          <w:lang w:val="en-US" w:eastAsia="zh-CN"/>
        </w:rPr>
        <w:t>提供采购需求一览表中要求的材料；</w:t>
      </w:r>
    </w:p>
    <w:p w14:paraId="2C088429">
      <w:pPr>
        <w:bidi w:val="0"/>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（十一）</w:t>
      </w:r>
      <w:r>
        <w:rPr>
          <w:rFonts w:hint="eastAsia" w:ascii="仿宋_GB2312" w:hAnsi="仿宋_GB2312" w:eastAsia="仿宋_GB2312" w:cs="仿宋_GB2312"/>
          <w:color w:val="FF0000"/>
          <w:sz w:val="32"/>
          <w:szCs w:val="32"/>
          <w:lang w:val="en-US" w:eastAsia="zh-CN"/>
        </w:rPr>
        <w:t>根据“附件2 评选方法及标准”提供样品、产品质量保障措施、售后服务方案、业绩及企业信誉实力证明材料。</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9</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w:t>
      </w:r>
      <w:r>
        <w:rPr>
          <w:rFonts w:hint="eastAsia" w:ascii="仿宋_GB2312" w:hAnsi="Courier New" w:eastAsia="仿宋_GB2312" w:cs="Courier New"/>
          <w:color w:val="000000"/>
          <w:kern w:val="0"/>
          <w:sz w:val="32"/>
          <w:szCs w:val="32"/>
          <w:lang w:val="en-US" w:eastAsia="zh-CN" w:bidi="ar-SA"/>
        </w:rPr>
        <w:t>得分由高到低排名</w:t>
      </w:r>
      <w:r>
        <w:rPr>
          <w:rFonts w:hint="eastAsia" w:ascii="仿宋_GB2312" w:hAnsi="Courier New" w:eastAsia="仿宋_GB2312" w:cs="Courier New"/>
          <w:color w:val="000000"/>
          <w:kern w:val="0"/>
          <w:sz w:val="32"/>
          <w:szCs w:val="32"/>
          <w:lang w:val="zh-TW" w:eastAsia="zh-TW" w:bidi="ar-SA"/>
        </w:rPr>
        <w:t>，确定</w:t>
      </w:r>
      <w:r>
        <w:rPr>
          <w:rFonts w:hint="eastAsia" w:ascii="仿宋_GB2312" w:hAnsi="Courier New" w:eastAsia="仿宋_GB2312" w:cs="Courier New"/>
          <w:color w:val="000000"/>
          <w:kern w:val="0"/>
          <w:sz w:val="32"/>
          <w:szCs w:val="32"/>
          <w:lang w:val="en-US" w:eastAsia="zh-CN" w:bidi="ar-SA"/>
        </w:rPr>
        <w:t>下一供应商为</w:t>
      </w:r>
      <w:r>
        <w:rPr>
          <w:rFonts w:hint="eastAsia" w:ascii="仿宋_GB2312" w:hAnsi="Courier New" w:eastAsia="仿宋_GB2312" w:cs="Courier New"/>
          <w:color w:val="000000"/>
          <w:kern w:val="0"/>
          <w:sz w:val="32"/>
          <w:szCs w:val="32"/>
          <w:lang w:val="zh-TW" w:eastAsia="zh-TW" w:bidi="ar-SA"/>
        </w:rPr>
        <w:t>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29</w:t>
      </w:r>
      <w:r>
        <w:rPr>
          <w:rFonts w:hint="eastAsia" w:ascii="仿宋_GB2312" w:hAnsi="Courier New" w:eastAsia="仿宋_GB2312" w:cs="Courier New"/>
          <w:color w:val="auto"/>
          <w:kern w:val="0"/>
          <w:sz w:val="32"/>
          <w:szCs w:val="32"/>
          <w:lang w:val="zh-TW" w:eastAsia="zh-CN" w:bidi="ar-SA"/>
        </w:rPr>
        <w:t>日17时</w:t>
      </w:r>
      <w:r>
        <w:rPr>
          <w:rFonts w:hint="eastAsia" w:ascii="仿宋_GB2312" w:hAnsi="Courier New" w:eastAsia="仿宋_GB2312" w:cs="Courier New"/>
          <w:color w:val="000000"/>
          <w:kern w:val="0"/>
          <w:sz w:val="32"/>
          <w:szCs w:val="32"/>
          <w:lang w:val="zh-TW" w:eastAsia="zh-CN" w:bidi="ar-SA"/>
        </w:rPr>
        <w:t>前以密封形式（封口处必须加盖公司公章）快件投递（</w:t>
      </w:r>
      <w:r>
        <w:rPr>
          <w:rFonts w:hint="eastAsia" w:ascii="仿宋_GB2312" w:hAnsi="Courier New" w:eastAsia="仿宋_GB2312" w:cs="Courier New"/>
          <w:b/>
          <w:bCs/>
          <w:color w:val="000000"/>
          <w:kern w:val="0"/>
          <w:sz w:val="32"/>
          <w:szCs w:val="32"/>
          <w:lang w:val="en-US" w:eastAsia="zh-CN" w:bidi="ar-SA"/>
        </w:rPr>
        <w:t>须与采购人确认是否送达</w:t>
      </w:r>
      <w:r>
        <w:rPr>
          <w:rFonts w:hint="eastAsia" w:ascii="仿宋_GB2312" w:hAnsi="Courier New" w:eastAsia="仿宋_GB2312" w:cs="Courier New"/>
          <w:color w:val="000000"/>
          <w:kern w:val="0"/>
          <w:sz w:val="32"/>
          <w:szCs w:val="32"/>
          <w:lang w:val="zh-TW" w:eastAsia="zh-CN" w:bidi="ar-SA"/>
        </w:rPr>
        <w:t>）或直接送达方式送达。</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594525F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72E4C65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22</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6363B87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6F4E051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DD176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说明：本采购需求一览表中标注</w:t>
      </w:r>
      <w:r>
        <w:rPr>
          <w:rFonts w:hint="eastAsia" w:ascii="宋体" w:hAnsi="宋体" w:eastAsia="宋体" w:cs="宋体"/>
          <w:b/>
          <w:bCs/>
          <w:kern w:val="2"/>
          <w:sz w:val="21"/>
          <w:szCs w:val="21"/>
        </w:rPr>
        <w:t>★</w:t>
      </w:r>
      <w:r>
        <w:rPr>
          <w:rFonts w:hint="eastAsia" w:asciiTheme="minorEastAsia" w:hAnsiTheme="minorEastAsia" w:eastAsiaTheme="minorEastAsia" w:cstheme="minorEastAsia"/>
          <w:b/>
          <w:kern w:val="1"/>
          <w:sz w:val="21"/>
          <w:szCs w:val="21"/>
        </w:rPr>
        <w:t>号的内容为实质性要求和条件，响应人必须满足或优于，不满足或负偏离视为无效响应。</w:t>
      </w:r>
    </w:p>
    <w:tbl>
      <w:tblPr>
        <w:tblStyle w:val="16"/>
        <w:tblW w:w="95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948"/>
        <w:gridCol w:w="1060"/>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lang w:val="en-US" w:eastAsia="zh-CN"/>
              </w:rPr>
              <w:t>货物</w:t>
            </w:r>
            <w:r>
              <w:rPr>
                <w:rFonts w:hint="eastAsia" w:ascii="宋体" w:hAnsi="宋体" w:cs="宋体"/>
                <w:b/>
                <w:bCs/>
              </w:rPr>
              <w:t>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48"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具体内容和要求</w:t>
            </w:r>
          </w:p>
        </w:tc>
        <w:tc>
          <w:tcPr>
            <w:tcW w:w="1060"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4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eastAsia" w:ascii="宋体" w:cs="Times New Roman"/>
                <w:lang w:val="zh-TW" w:eastAsia="zh-TW"/>
              </w:rPr>
              <w:t>铝合金帐篷</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80顶</w:t>
            </w:r>
          </w:p>
        </w:tc>
        <w:tc>
          <w:tcPr>
            <w:tcW w:w="5948" w:type="dxa"/>
            <w:tcBorders>
              <w:top w:val="single" w:color="auto" w:sz="4" w:space="0"/>
              <w:left w:val="single" w:color="auto" w:sz="4" w:space="0"/>
              <w:bottom w:val="single" w:color="auto" w:sz="4" w:space="0"/>
              <w:right w:val="single" w:color="auto" w:sz="4" w:space="0"/>
            </w:tcBorders>
            <w:vAlign w:val="center"/>
          </w:tcPr>
          <w:p w14:paraId="664CBB97">
            <w:pPr>
              <w:widowControl/>
              <w:numPr>
                <w:ilvl w:val="0"/>
                <w:numId w:val="0"/>
              </w:numPr>
              <w:spacing w:line="440" w:lineRule="exact"/>
              <w:jc w:val="left"/>
              <w:textAlignment w:val="center"/>
              <w:rPr>
                <w:rFonts w:hint="eastAsia" w:ascii="宋体" w:hAnsi="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1.功能要求：遮阳、避雨、挡风</w:t>
            </w:r>
            <w:r>
              <w:rPr>
                <w:rFonts w:hint="eastAsia" w:ascii="宋体" w:hAnsi="宋体" w:cs="宋体"/>
                <w:color w:val="auto"/>
                <w:kern w:val="2"/>
                <w:sz w:val="21"/>
                <w:szCs w:val="24"/>
                <w:lang w:val="en-US" w:eastAsia="zh-CN" w:bidi="ar-SA"/>
              </w:rPr>
              <w:t>。</w:t>
            </w:r>
          </w:p>
          <w:p w14:paraId="71534635">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2.高度：收起高度约1.47m，展开高度1.8-2m，顶部高度≥3m</w:t>
            </w:r>
            <w:r>
              <w:rPr>
                <w:rFonts w:hint="eastAsia" w:ascii="宋体" w:hAnsi="宋体" w:cs="宋体"/>
                <w:color w:val="auto"/>
                <w:kern w:val="2"/>
                <w:sz w:val="21"/>
                <w:szCs w:val="24"/>
                <w:lang w:val="en-US" w:eastAsia="zh-CN" w:bidi="ar-SA"/>
              </w:rPr>
              <w:t>。</w:t>
            </w:r>
          </w:p>
          <w:p w14:paraId="405ED207">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b/>
                <w:bCs/>
                <w:color w:val="auto"/>
                <w:kern w:val="2"/>
                <w:sz w:val="21"/>
                <w:szCs w:val="21"/>
              </w:rPr>
              <w:t>★</w:t>
            </w:r>
            <w:r>
              <w:rPr>
                <w:rFonts w:hint="eastAsia" w:ascii="宋体" w:hAnsi="宋体" w:eastAsia="宋体" w:cs="宋体"/>
                <w:color w:val="auto"/>
                <w:kern w:val="2"/>
                <w:sz w:val="21"/>
                <w:szCs w:val="24"/>
                <w:lang w:val="en-US" w:eastAsia="zh-CN" w:bidi="ar-SA"/>
              </w:rPr>
              <w:t>3.重量：20kg（±1kg）</w:t>
            </w:r>
            <w:r>
              <w:rPr>
                <w:rFonts w:hint="eastAsia" w:ascii="宋体" w:hAnsi="宋体" w:cs="宋体"/>
                <w:color w:val="auto"/>
                <w:kern w:val="2"/>
                <w:sz w:val="21"/>
                <w:szCs w:val="24"/>
                <w:lang w:val="en-US" w:eastAsia="zh-CN" w:bidi="ar-SA"/>
              </w:rPr>
              <w:t>。</w:t>
            </w:r>
          </w:p>
          <w:p w14:paraId="2E654FA5">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b/>
                <w:bCs/>
                <w:color w:val="auto"/>
                <w:kern w:val="2"/>
                <w:sz w:val="21"/>
                <w:szCs w:val="21"/>
              </w:rPr>
              <w:t>★</w:t>
            </w:r>
            <w:r>
              <w:rPr>
                <w:rFonts w:hint="eastAsia" w:ascii="宋体" w:hAnsi="宋体" w:eastAsia="宋体" w:cs="宋体"/>
                <w:color w:val="auto"/>
                <w:kern w:val="2"/>
                <w:sz w:val="21"/>
                <w:szCs w:val="24"/>
                <w:lang w:val="en-US" w:eastAsia="zh-CN" w:bidi="ar-SA"/>
              </w:rPr>
              <w:t>4.</w:t>
            </w:r>
            <w:r>
              <w:rPr>
                <w:rFonts w:hint="eastAsia" w:ascii="宋体" w:hAnsi="宋体" w:eastAsia="宋体" w:cs="宋体"/>
                <w:color w:val="auto"/>
              </w:rPr>
              <w:t>支架材质</w:t>
            </w:r>
            <w:r>
              <w:rPr>
                <w:rFonts w:hint="eastAsia" w:ascii="宋体" w:hAnsi="宋体" w:eastAsia="宋体" w:cs="宋体"/>
                <w:color w:val="auto"/>
                <w:lang w:eastAsia="zh-CN"/>
              </w:rPr>
              <w:t>：</w:t>
            </w:r>
            <w:r>
              <w:rPr>
                <w:rFonts w:hint="eastAsia" w:ascii="宋体" w:hAnsi="宋体" w:eastAsia="宋体" w:cs="宋体"/>
                <w:color w:val="auto"/>
                <w:lang w:val="en-US" w:eastAsia="zh-CN"/>
              </w:rPr>
              <w:t>铝合金</w:t>
            </w:r>
            <w:r>
              <w:rPr>
                <w:rFonts w:hint="eastAsia" w:ascii="宋体" w:hAnsi="宋体" w:cs="宋体"/>
                <w:color w:val="auto"/>
                <w:lang w:val="en-US" w:eastAsia="zh-CN"/>
              </w:rPr>
              <w:t>。</w:t>
            </w:r>
          </w:p>
          <w:p w14:paraId="782D888F">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5.支架</w:t>
            </w:r>
            <w:r>
              <w:rPr>
                <w:rFonts w:hint="eastAsia" w:ascii="宋体" w:hAnsi="宋体" w:eastAsia="宋体" w:cs="宋体"/>
                <w:color w:val="auto"/>
                <w:lang w:val="en-US" w:eastAsia="zh-CN"/>
              </w:rPr>
              <w:t>规格尺寸：</w:t>
            </w:r>
          </w:p>
          <w:p w14:paraId="57E391ED">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b/>
                <w:bCs/>
                <w:color w:val="auto"/>
                <w:kern w:val="2"/>
                <w:sz w:val="21"/>
                <w:szCs w:val="21"/>
              </w:rPr>
              <w:t>★</w:t>
            </w:r>
            <w:r>
              <w:rPr>
                <w:rFonts w:hint="eastAsia" w:ascii="宋体" w:hAnsi="宋体" w:eastAsia="宋体" w:cs="宋体"/>
                <w:color w:val="auto"/>
                <w:kern w:val="2"/>
                <w:sz w:val="21"/>
                <w:szCs w:val="24"/>
                <w:lang w:val="en-US" w:eastAsia="zh-CN" w:bidi="ar-SA"/>
              </w:rPr>
              <w:t>（1）</w:t>
            </w:r>
            <w:r>
              <w:rPr>
                <w:rFonts w:hint="eastAsia" w:ascii="宋体" w:hAnsi="宋体" w:eastAsia="宋体" w:cs="宋体"/>
                <w:color w:val="auto"/>
                <w:lang w:val="en-US" w:eastAsia="zh-CN"/>
              </w:rPr>
              <w:t>展开尺寸:3米*3米，四角支架：四角用30mm*30mm铝合金杆；</w:t>
            </w:r>
          </w:p>
          <w:p w14:paraId="42F6BCE4">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kern w:val="2"/>
                <w:sz w:val="21"/>
                <w:szCs w:val="24"/>
                <w:lang w:val="en-US" w:eastAsia="zh-CN" w:bidi="ar-SA"/>
              </w:rPr>
              <w:t>（2）</w:t>
            </w:r>
            <w:r>
              <w:rPr>
                <w:rFonts w:hint="eastAsia" w:ascii="宋体" w:hAnsi="宋体" w:eastAsia="宋体" w:cs="宋体"/>
                <w:color w:val="auto"/>
                <w:lang w:val="en-US" w:eastAsia="zh-CN"/>
              </w:rPr>
              <w:t>四角</w:t>
            </w:r>
            <w:r>
              <w:rPr>
                <w:rFonts w:hint="eastAsia" w:ascii="宋体" w:hAnsi="宋体" w:cs="宋体"/>
                <w:color w:val="auto"/>
                <w:lang w:val="en-US" w:eastAsia="zh-CN"/>
              </w:rPr>
              <w:t>尺寸：≥</w:t>
            </w:r>
            <w:r>
              <w:rPr>
                <w:rFonts w:hint="eastAsia" w:ascii="宋体" w:hAnsi="宋体" w:eastAsia="宋体" w:cs="宋体"/>
                <w:color w:val="auto"/>
                <w:lang w:val="en-US" w:eastAsia="zh-CN"/>
              </w:rPr>
              <w:t>26.1mm（管直径）*0.8mm（管厚度）；</w:t>
            </w:r>
          </w:p>
          <w:p w14:paraId="2FEFA3EC">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kern w:val="2"/>
                <w:sz w:val="21"/>
                <w:szCs w:val="24"/>
                <w:lang w:val="en-US" w:eastAsia="zh-CN" w:bidi="ar-SA"/>
              </w:rPr>
              <w:t>（3）</w:t>
            </w:r>
            <w:r>
              <w:rPr>
                <w:rFonts w:hint="eastAsia" w:ascii="宋体" w:hAnsi="宋体" w:eastAsia="宋体" w:cs="宋体"/>
                <w:color w:val="auto"/>
                <w:lang w:val="en-US" w:eastAsia="zh-CN"/>
              </w:rPr>
              <w:t>边杆：</w:t>
            </w:r>
            <w:r>
              <w:rPr>
                <w:rFonts w:hint="eastAsia" w:ascii="宋体" w:hAnsi="宋体" w:cs="宋体"/>
                <w:color w:val="auto"/>
                <w:lang w:val="en-US" w:eastAsia="zh-CN"/>
              </w:rPr>
              <w:t>边杆横切面尺寸为</w:t>
            </w:r>
            <w:r>
              <w:rPr>
                <w:rFonts w:hint="eastAsia" w:ascii="宋体" w:hAnsi="宋体" w:eastAsia="宋体" w:cs="宋体"/>
                <w:color w:val="auto"/>
                <w:lang w:val="en-US" w:eastAsia="zh-CN"/>
              </w:rPr>
              <w:t>15mm</w:t>
            </w:r>
            <w:r>
              <w:rPr>
                <w:rFonts w:hint="eastAsia" w:ascii="宋体" w:hAnsi="宋体" w:cs="宋体"/>
                <w:color w:val="auto"/>
                <w:lang w:val="en-US" w:eastAsia="zh-CN"/>
              </w:rPr>
              <w:t>（宽）</w:t>
            </w:r>
            <w:r>
              <w:rPr>
                <w:rFonts w:hint="eastAsia" w:ascii="宋体" w:hAnsi="宋体" w:eastAsia="宋体" w:cs="宋体"/>
                <w:color w:val="auto"/>
                <w:lang w:val="en-US" w:eastAsia="zh-CN"/>
              </w:rPr>
              <w:t>*30mm（</w:t>
            </w:r>
            <w:r>
              <w:rPr>
                <w:rFonts w:hint="eastAsia" w:ascii="宋体" w:hAnsi="宋体" w:cs="宋体"/>
                <w:color w:val="auto"/>
                <w:lang w:val="en-US" w:eastAsia="zh-CN"/>
              </w:rPr>
              <w:t>长</w:t>
            </w:r>
            <w:r>
              <w:rPr>
                <w:rFonts w:hint="eastAsia" w:ascii="宋体" w:hAnsi="宋体" w:eastAsia="宋体" w:cs="宋体"/>
                <w:color w:val="auto"/>
                <w:lang w:val="en-US" w:eastAsia="zh-CN"/>
              </w:rPr>
              <w:t>）*0.6mm（管厚度）</w:t>
            </w:r>
            <w:r>
              <w:rPr>
                <w:rFonts w:hint="eastAsia" w:ascii="宋体" w:hAnsi="宋体" w:cs="宋体"/>
                <w:color w:val="auto"/>
                <w:lang w:val="en-US" w:eastAsia="zh-CN"/>
              </w:rPr>
              <w:t>；</w:t>
            </w:r>
          </w:p>
          <w:p w14:paraId="46FB2F4C">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kern w:val="2"/>
                <w:sz w:val="21"/>
                <w:szCs w:val="24"/>
                <w:lang w:val="en-US" w:eastAsia="zh-CN" w:bidi="ar-SA"/>
              </w:rPr>
              <w:t>（4）</w:t>
            </w:r>
            <w:r>
              <w:rPr>
                <w:rFonts w:hint="eastAsia" w:ascii="宋体" w:hAnsi="宋体" w:eastAsia="宋体" w:cs="宋体"/>
                <w:color w:val="auto"/>
                <w:lang w:val="en-US" w:eastAsia="zh-CN"/>
              </w:rPr>
              <w:t>顶芯</w:t>
            </w:r>
            <w:r>
              <w:rPr>
                <w:rFonts w:hint="eastAsia" w:ascii="宋体" w:hAnsi="宋体" w:cs="宋体"/>
                <w:color w:val="auto"/>
                <w:lang w:val="en-US" w:eastAsia="zh-CN"/>
              </w:rPr>
              <w:t>：</w:t>
            </w:r>
            <w:r>
              <w:rPr>
                <w:rFonts w:hint="eastAsia" w:ascii="宋体" w:hAnsi="宋体" w:eastAsia="宋体" w:cs="宋体"/>
                <w:color w:val="auto"/>
                <w:lang w:val="en-US" w:eastAsia="zh-CN"/>
              </w:rPr>
              <w:t>方管20mm（管直径）*0.6mm（管厚度）。</w:t>
            </w:r>
          </w:p>
          <w:p w14:paraId="180C1198">
            <w:pPr>
              <w:widowControl/>
              <w:numPr>
                <w:ilvl w:val="0"/>
                <w:numId w:val="0"/>
              </w:numPr>
              <w:spacing w:line="440" w:lineRule="exact"/>
              <w:ind w:left="0" w:leftChars="0" w:firstLine="0" w:firstLineChars="0"/>
              <w:jc w:val="left"/>
              <w:textAlignment w:val="center"/>
              <w:rPr>
                <w:rFonts w:hint="eastAsia" w:ascii="宋体" w:hAnsi="宋体" w:eastAsia="宋体" w:cs="宋体"/>
                <w:color w:val="auto"/>
                <w:lang w:val="en-US" w:eastAsia="zh-CN"/>
              </w:rPr>
            </w:pPr>
            <w:r>
              <w:rPr>
                <w:rFonts w:hint="eastAsia" w:ascii="宋体" w:hAnsi="宋体" w:eastAsia="宋体" w:cs="宋体"/>
                <w:color w:val="auto"/>
                <w:kern w:val="2"/>
                <w:sz w:val="21"/>
                <w:szCs w:val="24"/>
                <w:lang w:val="en-US" w:eastAsia="zh-CN" w:bidi="ar-SA"/>
              </w:rPr>
              <w:t>6.</w:t>
            </w:r>
            <w:r>
              <w:rPr>
                <w:rFonts w:hint="eastAsia" w:ascii="宋体" w:hAnsi="宋体" w:eastAsia="宋体" w:cs="宋体"/>
                <w:color w:val="auto"/>
                <w:lang w:val="en-US" w:eastAsia="zh-CN"/>
              </w:rPr>
              <w:t>篷布规格：篷布垂边≥30mm</w:t>
            </w:r>
            <w:r>
              <w:rPr>
                <w:rFonts w:hint="eastAsia" w:ascii="宋体" w:hAnsi="宋体" w:cs="宋体"/>
                <w:color w:val="auto"/>
                <w:lang w:val="en-US" w:eastAsia="zh-CN"/>
              </w:rPr>
              <w:t>。</w:t>
            </w:r>
          </w:p>
          <w:p w14:paraId="665EB5EF">
            <w:pPr>
              <w:widowControl/>
              <w:numPr>
                <w:ilvl w:val="0"/>
                <w:numId w:val="0"/>
              </w:numPr>
              <w:spacing w:line="440" w:lineRule="exact"/>
              <w:ind w:left="0" w:leftChars="0" w:firstLine="0" w:firstLineChars="0"/>
              <w:jc w:val="left"/>
              <w:textAlignment w:val="center"/>
              <w:rPr>
                <w:rFonts w:hint="eastAsia" w:ascii="宋体" w:hAnsi="宋体" w:cs="宋体"/>
                <w:b/>
                <w:bCs/>
                <w:color w:val="auto"/>
                <w:lang w:val="en-US" w:eastAsia="zh-CN"/>
              </w:rPr>
            </w:pPr>
            <w:r>
              <w:rPr>
                <w:rFonts w:hint="eastAsia" w:ascii="宋体" w:hAnsi="宋体" w:eastAsia="宋体" w:cs="宋体"/>
                <w:b/>
                <w:bCs/>
                <w:color w:val="auto"/>
                <w:kern w:val="2"/>
                <w:sz w:val="21"/>
                <w:szCs w:val="21"/>
              </w:rPr>
              <w:t>★</w:t>
            </w:r>
            <w:r>
              <w:rPr>
                <w:rFonts w:hint="eastAsia" w:ascii="宋体" w:hAnsi="宋体" w:eastAsia="宋体" w:cs="宋体"/>
                <w:color w:val="auto"/>
                <w:kern w:val="2"/>
                <w:sz w:val="21"/>
                <w:szCs w:val="24"/>
                <w:lang w:val="en-US" w:eastAsia="zh-CN" w:bidi="ar-SA"/>
              </w:rPr>
              <w:t>7.</w:t>
            </w:r>
            <w:r>
              <w:rPr>
                <w:rFonts w:hint="eastAsia" w:ascii="宋体" w:hAnsi="宋体" w:eastAsia="宋体" w:cs="宋体"/>
                <w:color w:val="auto"/>
                <w:lang w:val="en-US" w:eastAsia="zh-CN"/>
              </w:rPr>
              <w:t>篷布材质：1200D涂银牛津布，要求防晒、 隔热、防紫外线 UPF50、 防水</w:t>
            </w:r>
            <w:r>
              <w:rPr>
                <w:rFonts w:hint="eastAsia" w:ascii="宋体" w:hAnsi="宋体" w:eastAsia="宋体" w:cs="宋体"/>
                <w:b/>
                <w:bCs/>
                <w:color w:val="auto"/>
                <w:lang w:val="en-US" w:eastAsia="zh-CN"/>
              </w:rPr>
              <w:t>（须提供采购人指定色号和材质要求的篷布材质样品，样品规格大小约10cm x10cm）</w:t>
            </w:r>
            <w:r>
              <w:rPr>
                <w:rFonts w:hint="eastAsia" w:ascii="宋体" w:hAnsi="宋体" w:cs="宋体"/>
                <w:b/>
                <w:bCs/>
                <w:color w:val="auto"/>
                <w:lang w:val="en-US" w:eastAsia="zh-CN"/>
              </w:rPr>
              <w:t>。</w:t>
            </w:r>
          </w:p>
          <w:p w14:paraId="3F0B10E0">
            <w:pPr>
              <w:widowControl/>
              <w:numPr>
                <w:ilvl w:val="0"/>
                <w:numId w:val="0"/>
              </w:numPr>
              <w:spacing w:line="440" w:lineRule="exact"/>
              <w:ind w:left="0" w:leftChars="0" w:firstLine="0" w:firstLineChars="0"/>
              <w:jc w:val="left"/>
              <w:textAlignment w:val="center"/>
              <w:rPr>
                <w:rFonts w:hint="eastAsia" w:ascii="宋体" w:hAnsi="宋体" w:cs="宋体"/>
                <w:b w:val="0"/>
                <w:bCs w:val="0"/>
                <w:color w:val="auto"/>
                <w:lang w:val="en-US" w:eastAsia="zh-CN"/>
              </w:rPr>
            </w:pPr>
            <w:r>
              <w:rPr>
                <w:rFonts w:hint="eastAsia" w:ascii="宋体" w:hAnsi="宋体" w:cs="宋体" w:eastAsiaTheme="minorEastAsia"/>
                <w:b w:val="0"/>
                <w:bCs w:val="0"/>
                <w:color w:val="auto"/>
                <w:kern w:val="2"/>
                <w:sz w:val="21"/>
                <w:szCs w:val="22"/>
                <w:lang w:val="en-US" w:eastAsia="zh-CN" w:bidi="ar-SA"/>
              </w:rPr>
              <w:t>★8.</w:t>
            </w:r>
            <w:r>
              <w:rPr>
                <w:rFonts w:hint="eastAsia" w:ascii="宋体" w:hAnsi="宋体" w:cs="宋体"/>
                <w:b w:val="0"/>
                <w:bCs w:val="0"/>
                <w:color w:val="auto"/>
                <w:lang w:val="en-US" w:eastAsia="zh-CN"/>
              </w:rPr>
              <w:t>执行标准：</w:t>
            </w:r>
          </w:p>
          <w:p w14:paraId="4B954135">
            <w:pPr>
              <w:widowControl/>
              <w:numPr>
                <w:ilvl w:val="0"/>
                <w:numId w:val="0"/>
              </w:numPr>
              <w:spacing w:line="440" w:lineRule="exact"/>
              <w:ind w:leftChars="0"/>
              <w:jc w:val="left"/>
              <w:textAlignment w:val="center"/>
              <w:rPr>
                <w:rFonts w:hint="eastAsia" w:ascii="宋体" w:hAnsi="宋体" w:cs="宋体"/>
                <w:b w:val="0"/>
                <w:bCs w:val="0"/>
                <w:color w:val="auto"/>
                <w:lang w:val="en-US" w:eastAsia="zh-CN"/>
              </w:rPr>
            </w:pPr>
            <w:r>
              <w:rPr>
                <w:rFonts w:hint="eastAsia" w:ascii="宋体" w:hAnsi="宋体" w:cs="宋体"/>
                <w:b w:val="0"/>
                <w:bCs w:val="0"/>
                <w:color w:val="auto"/>
                <w:lang w:val="en-US" w:eastAsia="zh-CN"/>
              </w:rPr>
              <w:t>（1）篷布：</w:t>
            </w:r>
          </w:p>
          <w:p w14:paraId="4B43D08E">
            <w:pPr>
              <w:widowControl/>
              <w:numPr>
                <w:ilvl w:val="0"/>
                <w:numId w:val="0"/>
              </w:numPr>
              <w:spacing w:line="440" w:lineRule="exact"/>
              <w:ind w:leftChars="0"/>
              <w:jc w:val="left"/>
              <w:textAlignment w:val="center"/>
              <w:rPr>
                <w:rFonts w:hint="eastAsia" w:ascii="宋体" w:hAnsi="宋体" w:cs="宋体"/>
                <w:b w:val="0"/>
                <w:bCs w:val="0"/>
                <w:color w:val="auto"/>
                <w:lang w:val="en-US" w:eastAsia="zh-CN"/>
              </w:rPr>
            </w:pPr>
            <w:r>
              <w:rPr>
                <w:rFonts w:hint="eastAsia" w:ascii="宋体" w:hAnsi="宋体" w:cs="宋体"/>
                <w:b w:val="0"/>
                <w:bCs w:val="0"/>
                <w:color w:val="auto"/>
                <w:lang w:val="en-US" w:eastAsia="zh-CN"/>
              </w:rPr>
              <w:t>GB/T 18830-2009《纺织品 防紫外线性能的评定》、</w:t>
            </w:r>
          </w:p>
          <w:p w14:paraId="3E262923">
            <w:pPr>
              <w:widowControl/>
              <w:numPr>
                <w:ilvl w:val="0"/>
                <w:numId w:val="0"/>
              </w:numPr>
              <w:spacing w:line="440" w:lineRule="exact"/>
              <w:ind w:leftChars="0"/>
              <w:jc w:val="left"/>
              <w:textAlignment w:val="center"/>
              <w:rPr>
                <w:rFonts w:hint="eastAsia" w:ascii="宋体" w:hAnsi="宋体" w:cs="宋体"/>
                <w:b w:val="0"/>
                <w:bCs w:val="0"/>
                <w:color w:val="auto"/>
                <w:lang w:val="en-US" w:eastAsia="zh-CN"/>
              </w:rPr>
            </w:pPr>
            <w:r>
              <w:rPr>
                <w:rFonts w:hint="eastAsia" w:ascii="宋体" w:hAnsi="宋体" w:cs="宋体"/>
                <w:b w:val="0"/>
                <w:bCs w:val="0"/>
                <w:color w:val="auto"/>
                <w:lang w:val="en-US" w:eastAsia="zh-CN"/>
              </w:rPr>
              <w:t>GB/T 4745-2012《纺织品 防水性能的检测和评价 沾水法》</w:t>
            </w:r>
          </w:p>
          <w:p w14:paraId="16B2B85E">
            <w:pPr>
              <w:widowControl/>
              <w:numPr>
                <w:ilvl w:val="0"/>
                <w:numId w:val="0"/>
              </w:numPr>
              <w:spacing w:line="440" w:lineRule="exact"/>
              <w:ind w:left="0" w:leftChars="0"/>
              <w:jc w:val="left"/>
              <w:textAlignment w:val="center"/>
              <w:rPr>
                <w:rFonts w:hint="eastAsia" w:ascii="宋体" w:hAnsi="宋体" w:cs="宋体"/>
                <w:b w:val="0"/>
                <w:bCs w:val="0"/>
                <w:color w:val="auto"/>
                <w:lang w:val="en-US" w:eastAsia="zh-CN"/>
              </w:rPr>
            </w:pPr>
            <w:r>
              <w:rPr>
                <w:rFonts w:hint="eastAsia" w:ascii="宋体" w:hAnsi="宋体" w:cs="宋体" w:eastAsiaTheme="minorEastAsia"/>
                <w:b w:val="0"/>
                <w:bCs w:val="0"/>
                <w:color w:val="auto"/>
                <w:kern w:val="2"/>
                <w:sz w:val="21"/>
                <w:szCs w:val="22"/>
                <w:lang w:val="en-US" w:eastAsia="zh-CN" w:bidi="ar-SA"/>
              </w:rPr>
              <w:t>（2）</w:t>
            </w:r>
            <w:r>
              <w:rPr>
                <w:rFonts w:hint="eastAsia" w:ascii="宋体" w:hAnsi="宋体" w:cs="宋体"/>
                <w:b w:val="0"/>
                <w:bCs w:val="0"/>
                <w:color w:val="auto"/>
                <w:lang w:val="en-US" w:eastAsia="zh-CN"/>
              </w:rPr>
              <w:t>支架：</w:t>
            </w:r>
          </w:p>
          <w:p w14:paraId="6B7659BE">
            <w:pPr>
              <w:widowControl/>
              <w:numPr>
                <w:ilvl w:val="0"/>
                <w:numId w:val="0"/>
              </w:numPr>
              <w:spacing w:line="440" w:lineRule="exact"/>
              <w:jc w:val="left"/>
              <w:textAlignment w:val="center"/>
              <w:rPr>
                <w:rFonts w:hint="default" w:ascii="宋体" w:hAnsi="宋体" w:cs="宋体"/>
                <w:b w:val="0"/>
                <w:bCs w:val="0"/>
                <w:color w:val="auto"/>
                <w:lang w:val="en-US" w:eastAsia="zh-CN"/>
              </w:rPr>
            </w:pPr>
            <w:r>
              <w:rPr>
                <w:rFonts w:hint="default" w:ascii="宋体" w:hAnsi="宋体" w:cs="宋体"/>
                <w:b w:val="0"/>
                <w:bCs w:val="0"/>
                <w:color w:val="auto"/>
                <w:lang w:val="en-US" w:eastAsia="zh-CN"/>
              </w:rPr>
              <w:t>GB/T 5237.1-2017《铝合金建筑型材 第1部分：基材》</w:t>
            </w:r>
          </w:p>
          <w:p w14:paraId="680F971F">
            <w:pPr>
              <w:widowControl/>
              <w:numPr>
                <w:ilvl w:val="0"/>
                <w:numId w:val="0"/>
              </w:numPr>
              <w:spacing w:line="440" w:lineRule="exact"/>
              <w:ind w:leftChars="0"/>
              <w:jc w:val="left"/>
              <w:textAlignment w:val="center"/>
              <w:rPr>
                <w:rFonts w:hint="default" w:ascii="宋体" w:hAnsi="宋体" w:cs="宋体"/>
                <w:b w:val="0"/>
                <w:bCs w:val="0"/>
                <w:color w:val="auto"/>
                <w:lang w:val="en-US" w:eastAsia="zh-CN"/>
              </w:rPr>
            </w:pPr>
            <w:r>
              <w:rPr>
                <w:rFonts w:hint="eastAsia" w:ascii="宋体" w:hAnsi="宋体" w:cs="宋体"/>
                <w:b w:val="0"/>
                <w:bCs w:val="0"/>
                <w:color w:val="auto"/>
                <w:lang w:val="en-US" w:eastAsia="zh-CN"/>
              </w:rPr>
              <w:t>★9.提供供货产品检测报告：供货时提供具有CNAS或CMA资质的第三方检测机构出具的检测报告复印件（检测依据见第8点执行标准）；响应供应商须在响应文件中对提供的第三方检测报告真实性以书面形式进行承诺，响应文件中提供承诺函（格式自拟）。</w:t>
            </w:r>
          </w:p>
          <w:p w14:paraId="4AAC5339">
            <w:pPr>
              <w:widowControl/>
              <w:numPr>
                <w:ilvl w:val="0"/>
                <w:numId w:val="0"/>
              </w:numPr>
              <w:spacing w:line="440" w:lineRule="exact"/>
              <w:ind w:left="0" w:leftChars="0" w:firstLine="0" w:firstLineChars="0"/>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10.篷布颜色：宝洁色卡22号绿色。</w:t>
            </w:r>
          </w:p>
          <w:p w14:paraId="27A4580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color w:val="auto"/>
                <w:sz w:val="28"/>
                <w:szCs w:val="28"/>
                <w:lang w:eastAsia="zh-CN"/>
              </w:rPr>
            </w:pPr>
            <w:r>
              <w:rPr>
                <w:rFonts w:hint="eastAsia" w:ascii="仿宋_GB2312" w:eastAsia="仿宋_GB2312"/>
                <w:color w:val="auto"/>
                <w:sz w:val="28"/>
                <w:szCs w:val="28"/>
                <w:lang w:eastAsia="zh-CN"/>
              </w:rPr>
              <w:drawing>
                <wp:anchor distT="0" distB="0" distL="114300" distR="114300" simplePos="0" relativeHeight="251659264" behindDoc="0" locked="0" layoutInCell="1" allowOverlap="1">
                  <wp:simplePos x="0" y="0"/>
                  <wp:positionH relativeFrom="column">
                    <wp:posOffset>10795</wp:posOffset>
                  </wp:positionH>
                  <wp:positionV relativeFrom="paragraph">
                    <wp:posOffset>32385</wp:posOffset>
                  </wp:positionV>
                  <wp:extent cx="2503805" cy="1024890"/>
                  <wp:effectExtent l="0" t="0" r="10795" b="3810"/>
                  <wp:wrapNone/>
                  <wp:docPr id="3" name="图片 1" descr="1727082834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1727082834715"/>
                          <pic:cNvPicPr>
                            <a:picLocks noChangeAspect="1"/>
                          </pic:cNvPicPr>
                        </pic:nvPicPr>
                        <pic:blipFill>
                          <a:blip r:embed="rId5"/>
                          <a:stretch>
                            <a:fillRect/>
                          </a:stretch>
                        </pic:blipFill>
                        <pic:spPr>
                          <a:xfrm>
                            <a:off x="0" y="0"/>
                            <a:ext cx="2503805" cy="1024890"/>
                          </a:xfrm>
                          <a:prstGeom prst="rect">
                            <a:avLst/>
                          </a:prstGeom>
                          <a:noFill/>
                          <a:ln>
                            <a:noFill/>
                          </a:ln>
                        </pic:spPr>
                      </pic:pic>
                    </a:graphicData>
                  </a:graphic>
                </wp:anchor>
              </w:drawing>
            </w:r>
          </w:p>
          <w:p w14:paraId="7003A1F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color w:val="auto"/>
                <w:sz w:val="28"/>
                <w:szCs w:val="28"/>
                <w:lang w:val="en-US" w:eastAsia="zh-CN"/>
              </w:rPr>
            </w:pPr>
          </w:p>
          <w:p w14:paraId="16AFFB7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color w:val="auto"/>
                <w:sz w:val="28"/>
                <w:szCs w:val="28"/>
                <w:lang w:val="en-US" w:eastAsia="zh-CN"/>
              </w:rPr>
            </w:pPr>
          </w:p>
          <w:p w14:paraId="2A5994F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color w:val="auto"/>
                <w:sz w:val="28"/>
                <w:szCs w:val="28"/>
                <w:lang w:val="en-US" w:eastAsia="zh-CN"/>
              </w:rPr>
            </w:pPr>
          </w:p>
          <w:p w14:paraId="503E6DA6">
            <w:pPr>
              <w:widowControl/>
              <w:numPr>
                <w:ilvl w:val="0"/>
                <w:numId w:val="0"/>
              </w:numPr>
              <w:spacing w:line="440" w:lineRule="exact"/>
              <w:ind w:left="0" w:leftChars="0" w:firstLine="0" w:firstLineChars="0"/>
              <w:jc w:val="left"/>
              <w:textAlignment w:val="center"/>
              <w:rPr>
                <w:rFonts w:hint="eastAsia" w:ascii="宋体" w:hAnsi="宋体" w:eastAsia="宋体" w:cs="宋体"/>
                <w:color w:val="auto"/>
                <w:lang w:val="en-US" w:eastAsia="zh-CN"/>
              </w:rPr>
            </w:pPr>
            <w:r>
              <w:rPr>
                <w:rFonts w:hint="eastAsia" w:ascii="宋体" w:hAnsi="宋体" w:eastAsia="宋体" w:cs="宋体"/>
                <w:color w:val="auto"/>
                <w:kern w:val="2"/>
                <w:sz w:val="21"/>
                <w:szCs w:val="24"/>
                <w:lang w:val="en-US" w:eastAsia="zh-CN" w:bidi="ar-SA"/>
              </w:rPr>
              <w:t>11.</w:t>
            </w:r>
            <w:r>
              <w:rPr>
                <w:rFonts w:hint="eastAsia" w:ascii="宋体" w:hAnsi="宋体" w:eastAsia="宋体" w:cs="宋体"/>
                <w:color w:val="auto"/>
                <w:lang w:val="en-US" w:eastAsia="zh-CN"/>
              </w:rPr>
              <w:t>帐篷双针接顶，双针包边(多缝线)：安装快捷，能够在1分钟内完成搭建，携带方便，易于拆卸。</w:t>
            </w:r>
          </w:p>
          <w:p w14:paraId="7266674E">
            <w:pPr>
              <w:widowControl/>
              <w:numPr>
                <w:ilvl w:val="0"/>
                <w:numId w:val="0"/>
              </w:numPr>
              <w:spacing w:line="440" w:lineRule="exact"/>
              <w:ind w:left="0" w:leftChars="0" w:firstLine="0" w:firstLineChars="0"/>
              <w:jc w:val="left"/>
              <w:textAlignment w:val="center"/>
              <w:rPr>
                <w:rFonts w:hint="eastAsia" w:ascii="宋体" w:hAnsi="宋体" w:eastAsia="宋体" w:cs="宋体"/>
                <w:color w:val="auto"/>
                <w:lang w:val="en-US" w:eastAsia="zh-CN"/>
              </w:rPr>
            </w:pPr>
            <w:r>
              <w:rPr>
                <w:rFonts w:hint="eastAsia" w:ascii="宋体" w:hAnsi="宋体" w:eastAsia="宋体" w:cs="宋体"/>
                <w:color w:val="auto"/>
                <w:kern w:val="2"/>
                <w:sz w:val="21"/>
                <w:szCs w:val="24"/>
                <w:lang w:val="en-US" w:eastAsia="zh-CN" w:bidi="ar-SA"/>
              </w:rPr>
              <w:t>12.</w:t>
            </w:r>
            <w:r>
              <w:rPr>
                <w:rFonts w:hint="eastAsia" w:ascii="宋体" w:hAnsi="宋体" w:eastAsia="宋体" w:cs="宋体"/>
                <w:color w:val="auto"/>
                <w:lang w:val="en-US" w:eastAsia="zh-CN"/>
              </w:rPr>
              <w:t>伸缩支柱：可以根据不同环境和地形需要调节帐篷高度。</w:t>
            </w:r>
          </w:p>
          <w:p w14:paraId="27CC96BE">
            <w:pPr>
              <w:widowControl/>
              <w:numPr>
                <w:ilvl w:val="0"/>
                <w:numId w:val="0"/>
              </w:numPr>
              <w:spacing w:line="440" w:lineRule="exact"/>
              <w:ind w:left="0" w:leftChars="0" w:firstLine="0" w:firstLineChars="0"/>
              <w:jc w:val="left"/>
              <w:textAlignment w:val="center"/>
              <w:rPr>
                <w:rFonts w:hint="eastAsia" w:ascii="宋体" w:hAnsi="宋体" w:eastAsia="宋体" w:cs="宋体"/>
                <w:color w:val="auto"/>
                <w:lang w:val="en-US" w:eastAsia="zh-CN"/>
              </w:rPr>
            </w:pPr>
            <w:r>
              <w:rPr>
                <w:rFonts w:hint="eastAsia" w:ascii="宋体" w:hAnsi="宋体" w:eastAsia="宋体" w:cs="宋体"/>
                <w:color w:val="auto"/>
                <w:kern w:val="2"/>
                <w:sz w:val="21"/>
                <w:szCs w:val="24"/>
                <w:lang w:val="en-US" w:eastAsia="zh-CN" w:bidi="ar-SA"/>
              </w:rPr>
              <w:t>13.</w:t>
            </w:r>
            <w:r>
              <w:rPr>
                <w:rFonts w:hint="eastAsia" w:ascii="宋体" w:hAnsi="宋体" w:eastAsia="宋体" w:cs="宋体"/>
                <w:color w:val="auto"/>
                <w:lang w:val="en-US" w:eastAsia="zh-CN"/>
              </w:rPr>
              <w:t>加固处理：帐篷顶部内侧附有一层衬布，增强耐磨性和耐用性。</w:t>
            </w:r>
          </w:p>
          <w:p w14:paraId="0535BC87">
            <w:pPr>
              <w:widowControl/>
              <w:numPr>
                <w:ilvl w:val="0"/>
                <w:numId w:val="0"/>
              </w:numPr>
              <w:spacing w:line="440" w:lineRule="exact"/>
              <w:ind w:left="0" w:leftChars="0" w:firstLine="0" w:firstLineChars="0"/>
              <w:jc w:val="left"/>
              <w:textAlignment w:val="center"/>
              <w:rPr>
                <w:rFonts w:hint="eastAsia" w:ascii="宋体" w:hAnsi="宋体" w:eastAsia="宋体" w:cs="宋体"/>
                <w:color w:val="auto"/>
                <w:lang w:val="en-US" w:eastAsia="zh-CN"/>
              </w:rPr>
            </w:pPr>
            <w:r>
              <w:rPr>
                <w:rFonts w:hint="eastAsia" w:ascii="宋体" w:hAnsi="宋体" w:eastAsia="宋体" w:cs="宋体"/>
                <w:b/>
                <w:bCs/>
                <w:color w:val="auto"/>
                <w:kern w:val="2"/>
                <w:sz w:val="21"/>
                <w:szCs w:val="21"/>
              </w:rPr>
              <w:t>★</w:t>
            </w:r>
            <w:r>
              <w:rPr>
                <w:rFonts w:hint="eastAsia" w:ascii="宋体" w:hAnsi="宋体" w:eastAsia="宋体" w:cs="宋体"/>
                <w:color w:val="auto"/>
                <w:kern w:val="2"/>
                <w:sz w:val="21"/>
                <w:szCs w:val="24"/>
                <w:lang w:val="en-US" w:eastAsia="zh-CN" w:bidi="ar-SA"/>
              </w:rPr>
              <w:t>14.</w:t>
            </w:r>
            <w:r>
              <w:rPr>
                <w:rFonts w:hint="eastAsia" w:ascii="宋体" w:hAnsi="宋体" w:eastAsia="宋体" w:cs="宋体"/>
                <w:color w:val="auto"/>
                <w:lang w:val="en-US" w:eastAsia="zh-CN"/>
              </w:rPr>
              <w:t>排水设计：帐篷杆高设为1米，有助于雨水顺畅排出。</w:t>
            </w:r>
          </w:p>
          <w:p w14:paraId="53A0CB57">
            <w:pPr>
              <w:widowControl/>
              <w:numPr>
                <w:ilvl w:val="0"/>
                <w:numId w:val="0"/>
              </w:numPr>
              <w:spacing w:line="440" w:lineRule="exact"/>
              <w:ind w:left="0" w:leftChars="0" w:firstLine="0" w:firstLineChars="0"/>
              <w:jc w:val="left"/>
              <w:textAlignment w:val="center"/>
              <w:rPr>
                <w:rFonts w:hint="eastAsia" w:ascii="宋体" w:hAnsi="宋体" w:eastAsia="宋体" w:cs="宋体"/>
                <w:color w:val="auto"/>
                <w:lang w:val="en-US" w:eastAsia="zh-CN"/>
              </w:rPr>
            </w:pPr>
            <w:r>
              <w:rPr>
                <w:rFonts w:hint="eastAsia" w:ascii="宋体" w:hAnsi="宋体" w:eastAsia="宋体" w:cs="宋体"/>
                <w:b/>
                <w:bCs/>
                <w:color w:val="auto"/>
                <w:kern w:val="2"/>
                <w:sz w:val="21"/>
                <w:szCs w:val="21"/>
              </w:rPr>
              <w:t>★</w:t>
            </w:r>
            <w:r>
              <w:rPr>
                <w:rFonts w:hint="eastAsia" w:ascii="宋体" w:hAnsi="宋体" w:eastAsia="宋体" w:cs="宋体"/>
                <w:b w:val="0"/>
                <w:bCs w:val="0"/>
                <w:color w:val="auto"/>
                <w:kern w:val="2"/>
                <w:sz w:val="21"/>
                <w:szCs w:val="21"/>
                <w:lang w:val="en-US" w:eastAsia="zh-CN"/>
              </w:rPr>
              <w:t>15.</w:t>
            </w:r>
            <w:r>
              <w:rPr>
                <w:rFonts w:hint="eastAsia" w:ascii="宋体" w:hAnsi="宋体" w:eastAsia="宋体" w:cs="宋体"/>
                <w:color w:val="auto"/>
                <w:lang w:val="en-US" w:eastAsia="zh-CN"/>
              </w:rPr>
              <w:t>边缘处理：吊边宽度30厘米，可供选择直边或波浪边样式，印制</w:t>
            </w:r>
            <w:r>
              <w:rPr>
                <w:rFonts w:hint="eastAsia" w:ascii="宋体" w:hAnsi="宋体" w:cs="宋体"/>
                <w:color w:val="auto"/>
                <w:lang w:val="en-US" w:eastAsia="zh-CN"/>
              </w:rPr>
              <w:t>采购人</w:t>
            </w:r>
            <w:r>
              <w:rPr>
                <w:rFonts w:hint="eastAsia" w:ascii="宋体" w:hAnsi="宋体" w:eastAsia="宋体" w:cs="宋体"/>
                <w:color w:val="auto"/>
                <w:lang w:val="en-US" w:eastAsia="zh-CN"/>
              </w:rPr>
              <w:t>提供的logo。</w:t>
            </w:r>
          </w:p>
          <w:p w14:paraId="48488334">
            <w:pPr>
              <w:widowControl/>
              <w:numPr>
                <w:ilvl w:val="0"/>
                <w:numId w:val="0"/>
              </w:numPr>
              <w:spacing w:line="440" w:lineRule="exact"/>
              <w:ind w:left="0" w:leftChars="0" w:firstLine="0" w:firstLineChars="0"/>
              <w:jc w:val="left"/>
              <w:textAlignment w:val="center"/>
              <w:rPr>
                <w:rFonts w:hint="eastAsia" w:ascii="宋体" w:hAnsi="宋体" w:eastAsia="宋体" w:cs="宋体"/>
                <w:color w:val="auto"/>
                <w:lang w:val="en-US" w:eastAsia="zh-CN"/>
              </w:rPr>
            </w:pPr>
            <w:r>
              <w:rPr>
                <w:rFonts w:hint="eastAsia" w:ascii="宋体" w:hAnsi="宋体" w:eastAsia="宋体" w:cs="宋体"/>
                <w:color w:val="auto"/>
                <w:kern w:val="2"/>
                <w:sz w:val="21"/>
                <w:szCs w:val="24"/>
                <w:lang w:val="en-US" w:eastAsia="zh-CN" w:bidi="ar-SA"/>
              </w:rPr>
              <w:t>16.</w:t>
            </w:r>
            <w:r>
              <w:rPr>
                <w:rFonts w:hint="eastAsia" w:ascii="宋体" w:hAnsi="宋体" w:eastAsia="宋体" w:cs="宋体"/>
                <w:color w:val="auto"/>
                <w:lang w:val="en-US" w:eastAsia="zh-CN"/>
              </w:rPr>
              <w:t>车缝均匀、无线头线尾、掉线及漏线等现象，整体外观美观、无歪斜，摆放稳定。</w:t>
            </w:r>
          </w:p>
          <w:p w14:paraId="116464E8">
            <w:pPr>
              <w:widowControl/>
              <w:numPr>
                <w:ilvl w:val="0"/>
                <w:numId w:val="0"/>
              </w:numPr>
              <w:spacing w:line="440" w:lineRule="exact"/>
              <w:ind w:left="0" w:leftChars="0" w:firstLine="0" w:firstLineChars="0"/>
              <w:jc w:val="left"/>
              <w:textAlignment w:val="center"/>
              <w:rPr>
                <w:rFonts w:hint="default" w:ascii="宋体" w:hAnsi="宋体" w:eastAsia="宋体" w:cs="宋体"/>
                <w:color w:val="auto"/>
                <w:lang w:val="en-US" w:eastAsia="zh-CN"/>
              </w:rPr>
            </w:pPr>
            <w:r>
              <w:rPr>
                <w:rFonts w:hint="eastAsia" w:ascii="宋体" w:hAnsi="宋体" w:eastAsia="宋体" w:cs="宋体"/>
                <w:color w:val="auto"/>
                <w:lang w:val="en-US" w:eastAsia="zh-CN"/>
              </w:rPr>
              <w:t>★</w:t>
            </w:r>
            <w:r>
              <w:rPr>
                <w:rFonts w:hint="eastAsia" w:ascii="宋体" w:hAnsi="宋体" w:eastAsia="宋体" w:cs="宋体"/>
                <w:color w:val="auto"/>
                <w:kern w:val="2"/>
                <w:sz w:val="21"/>
                <w:szCs w:val="24"/>
                <w:lang w:val="en-US" w:eastAsia="zh-CN" w:bidi="ar-SA"/>
              </w:rPr>
              <w:t>17.</w:t>
            </w:r>
            <w:r>
              <w:rPr>
                <w:rFonts w:hint="eastAsia" w:ascii="宋体" w:hAnsi="宋体" w:eastAsia="宋体" w:cs="宋体"/>
                <w:color w:val="auto"/>
                <w:lang w:val="en-US" w:eastAsia="zh-CN"/>
              </w:rPr>
              <w:t>帐篷围布：每顶帐篷配备透明的帐篷围布，可围挡帐篷三面。</w:t>
            </w:r>
          </w:p>
          <w:p w14:paraId="316317C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lang w:val="en-US" w:eastAsia="zh-CN"/>
              </w:rPr>
            </w:pPr>
            <w:r>
              <w:rPr>
                <w:rFonts w:hint="eastAsia" w:ascii="宋体" w:hAnsi="宋体" w:eastAsia="宋体" w:cs="宋体"/>
                <w:lang w:val="en-US" w:eastAsia="zh-CN"/>
              </w:rPr>
              <w:t>18.采用五层双瓦楞纸箱包装，确保产品在运输过程中不受损。</w:t>
            </w:r>
          </w:p>
        </w:tc>
        <w:tc>
          <w:tcPr>
            <w:tcW w:w="1060"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lang w:val="en-US"/>
              </w:rPr>
            </w:pPr>
            <w:r>
              <w:rPr>
                <w:rFonts w:hint="eastAsia" w:ascii="宋体" w:hAnsi="宋体" w:cs="宋体"/>
                <w:lang w:val="en-US" w:eastAsia="zh-CN"/>
              </w:rPr>
              <w:t>40000.00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3AA5DDFF">
            <w:pPr>
              <w:widowControl/>
              <w:shd w:val="clear" w:color="auto" w:fill="FFFFFF"/>
              <w:spacing w:line="360" w:lineRule="auto"/>
              <w:rPr>
                <w:rFonts w:ascii="宋体" w:hAnsi="宋体"/>
                <w:szCs w:val="21"/>
              </w:rPr>
            </w:pPr>
            <w:r>
              <w:rPr>
                <w:rFonts w:hint="eastAsia" w:ascii="宋体" w:hAnsi="宋体"/>
                <w:b/>
                <w:bCs/>
                <w:szCs w:val="21"/>
              </w:rPr>
              <w:t>一、合同签订期：</w:t>
            </w:r>
            <w:r>
              <w:rPr>
                <w:rFonts w:hint="eastAsia" w:ascii="宋体" w:hAnsi="宋体"/>
                <w:szCs w:val="21"/>
              </w:rPr>
              <w:t>自采购结果公告结束之日起</w:t>
            </w:r>
            <w:r>
              <w:rPr>
                <w:rFonts w:hint="eastAsia" w:ascii="宋体" w:hAnsi="宋体"/>
                <w:szCs w:val="21"/>
                <w:u w:val="single"/>
              </w:rPr>
              <w:t xml:space="preserve">  </w:t>
            </w:r>
            <w:r>
              <w:rPr>
                <w:rFonts w:hint="eastAsia" w:ascii="宋体" w:hAnsi="宋体"/>
                <w:szCs w:val="21"/>
                <w:u w:val="single"/>
                <w:lang w:val="en-US" w:eastAsia="zh-CN"/>
              </w:rPr>
              <w:t>10</w:t>
            </w:r>
            <w:r>
              <w:rPr>
                <w:rFonts w:hint="eastAsia" w:ascii="宋体" w:hAnsi="宋体"/>
                <w:szCs w:val="21"/>
                <w:u w:val="single"/>
              </w:rPr>
              <w:t xml:space="preserve"> </w:t>
            </w:r>
            <w:r>
              <w:rPr>
                <w:rFonts w:hint="eastAsia" w:ascii="宋体" w:hAnsi="宋体"/>
                <w:szCs w:val="21"/>
              </w:rPr>
              <w:t>个</w:t>
            </w:r>
            <w:r>
              <w:rPr>
                <w:rFonts w:ascii="宋体" w:hAnsi="宋体"/>
                <w:szCs w:val="21"/>
              </w:rPr>
              <w:t>工作日</w:t>
            </w:r>
            <w:r>
              <w:rPr>
                <w:rFonts w:hint="eastAsia" w:ascii="宋体" w:hAnsi="宋体"/>
                <w:szCs w:val="21"/>
              </w:rPr>
              <w:t>内。</w:t>
            </w:r>
          </w:p>
          <w:p w14:paraId="7814C732">
            <w:pPr>
              <w:widowControl/>
              <w:shd w:val="clear" w:color="auto" w:fill="FFFFFF"/>
              <w:spacing w:line="360" w:lineRule="auto"/>
              <w:rPr>
                <w:rFonts w:ascii="宋体" w:hAnsi="宋体"/>
                <w:szCs w:val="21"/>
                <w:u w:val="single"/>
              </w:rPr>
            </w:pPr>
            <w:r>
              <w:rPr>
                <w:rFonts w:hint="eastAsia" w:ascii="宋体" w:hAnsi="宋体"/>
                <w:b/>
                <w:bCs/>
                <w:szCs w:val="21"/>
              </w:rPr>
              <w:t>二、交货期：</w:t>
            </w:r>
            <w:r>
              <w:rPr>
                <w:rFonts w:hint="eastAsia" w:ascii="宋体" w:hAnsi="宋体"/>
                <w:szCs w:val="21"/>
              </w:rPr>
              <w:t>自合同签订之日起</w:t>
            </w:r>
            <w:r>
              <w:rPr>
                <w:rFonts w:hint="eastAsia" w:ascii="宋体" w:hAnsi="宋体"/>
                <w:szCs w:val="21"/>
                <w:u w:val="single"/>
                <w:lang w:val="en-US" w:eastAsia="zh-CN"/>
              </w:rPr>
              <w:t>20</w:t>
            </w:r>
            <w:r>
              <w:rPr>
                <w:rFonts w:hint="eastAsia" w:ascii="宋体" w:hAnsi="宋体"/>
                <w:szCs w:val="21"/>
              </w:rPr>
              <w:t>日内交付全部货物。</w:t>
            </w:r>
          </w:p>
          <w:p w14:paraId="15DC9E9B">
            <w:pPr>
              <w:widowControl/>
              <w:shd w:val="clear" w:color="auto" w:fill="FFFFFF"/>
              <w:spacing w:line="360" w:lineRule="auto"/>
              <w:rPr>
                <w:rFonts w:ascii="宋体" w:hAnsi="宋体"/>
                <w:bCs/>
                <w:szCs w:val="21"/>
                <w:u w:val="single"/>
              </w:rPr>
            </w:pPr>
            <w:r>
              <w:rPr>
                <w:rFonts w:hint="eastAsia" w:ascii="宋体" w:hAnsi="宋体"/>
                <w:b/>
                <w:bCs/>
                <w:szCs w:val="21"/>
              </w:rPr>
              <w:t>三、交货地点：</w:t>
            </w:r>
            <w:r>
              <w:rPr>
                <w:rFonts w:hint="eastAsia" w:ascii="宋体" w:hAnsi="宋体"/>
                <w:bCs/>
                <w:szCs w:val="21"/>
                <w:u w:val="single"/>
              </w:rPr>
              <w:t xml:space="preserve">  南宁中心</w:t>
            </w:r>
            <w:r>
              <w:rPr>
                <w:rFonts w:ascii="宋体" w:hAnsi="宋体"/>
                <w:bCs/>
                <w:szCs w:val="21"/>
                <w:u w:val="single"/>
              </w:rPr>
              <w:t>血站</w:t>
            </w:r>
            <w:r>
              <w:rPr>
                <w:rFonts w:hint="eastAsia" w:ascii="宋体" w:hAnsi="宋体"/>
                <w:bCs/>
                <w:szCs w:val="21"/>
                <w:u w:val="single"/>
              </w:rPr>
              <w:t xml:space="preserve">指定地点。 </w:t>
            </w:r>
          </w:p>
          <w:p w14:paraId="55FAECBB">
            <w:pPr>
              <w:widowControl/>
              <w:shd w:val="clear" w:color="auto" w:fill="FFFFFF"/>
              <w:spacing w:line="360" w:lineRule="auto"/>
              <w:rPr>
                <w:rFonts w:ascii="宋体" w:hAnsi="宋体"/>
                <w:b/>
                <w:bCs w:val="0"/>
                <w:szCs w:val="21"/>
              </w:rPr>
            </w:pPr>
            <w:r>
              <w:rPr>
                <w:rFonts w:hint="eastAsia" w:ascii="宋体" w:hAnsi="宋体"/>
                <w:b/>
                <w:bCs w:val="0"/>
                <w:szCs w:val="21"/>
              </w:rPr>
              <w:t>四、交货方式及要求：</w:t>
            </w:r>
          </w:p>
          <w:p w14:paraId="650E3C19">
            <w:pPr>
              <w:widowControl/>
              <w:shd w:val="clear" w:color="auto" w:fill="FFFFFF"/>
              <w:spacing w:line="360" w:lineRule="auto"/>
              <w:rPr>
                <w:rFonts w:hint="eastAsia" w:ascii="宋体" w:hAnsi="宋体" w:eastAsia="宋体"/>
                <w:bCs/>
                <w:szCs w:val="21"/>
                <w:lang w:eastAsia="zh-CN"/>
              </w:rPr>
            </w:pPr>
            <w:r>
              <w:rPr>
                <w:rFonts w:hint="eastAsia" w:ascii="宋体" w:hAnsi="宋体"/>
                <w:bCs/>
                <w:szCs w:val="21"/>
              </w:rPr>
              <w:t>1</w:t>
            </w:r>
            <w:r>
              <w:rPr>
                <w:rFonts w:hint="eastAsia" w:ascii="宋体" w:hAnsi="宋体"/>
                <w:bCs/>
                <w:szCs w:val="21"/>
                <w:lang w:val="en-US" w:eastAsia="zh-CN"/>
              </w:rPr>
              <w:t>.</w:t>
            </w:r>
            <w:r>
              <w:rPr>
                <w:rFonts w:hint="eastAsia" w:ascii="宋体" w:hAnsi="宋体"/>
                <w:bCs/>
                <w:szCs w:val="21"/>
              </w:rPr>
              <w:t>交货方式：现场交货</w:t>
            </w:r>
            <w:r>
              <w:rPr>
                <w:rFonts w:hint="eastAsia" w:ascii="宋体" w:hAnsi="宋体"/>
                <w:bCs/>
                <w:szCs w:val="21"/>
                <w:lang w:eastAsia="zh-CN"/>
              </w:rPr>
              <w:t>；</w:t>
            </w:r>
          </w:p>
          <w:p w14:paraId="7E92EE8C">
            <w:pPr>
              <w:widowControl/>
              <w:shd w:val="clear" w:color="auto" w:fill="FFFFFF"/>
              <w:spacing w:line="360" w:lineRule="auto"/>
              <w:rPr>
                <w:rFonts w:ascii="宋体" w:hAnsi="宋体"/>
                <w:bCs/>
                <w:szCs w:val="21"/>
              </w:rPr>
            </w:pPr>
            <w:r>
              <w:rPr>
                <w:rFonts w:hint="eastAsia" w:ascii="宋体" w:hAnsi="宋体"/>
                <w:bCs/>
                <w:szCs w:val="21"/>
              </w:rPr>
              <w:t>2</w:t>
            </w:r>
            <w:r>
              <w:rPr>
                <w:rFonts w:hint="eastAsia" w:ascii="宋体" w:hAnsi="宋体"/>
                <w:bCs/>
                <w:szCs w:val="21"/>
                <w:lang w:val="en-US" w:eastAsia="zh-CN"/>
              </w:rPr>
              <w:t>.</w:t>
            </w:r>
            <w:r>
              <w:rPr>
                <w:rFonts w:hint="eastAsia" w:ascii="宋体" w:hAnsi="宋体"/>
                <w:bCs/>
                <w:szCs w:val="21"/>
              </w:rPr>
              <w:t>交货要求：</w:t>
            </w:r>
            <w:r>
              <w:rPr>
                <w:rFonts w:hint="eastAsia" w:ascii="宋体" w:hAnsi="宋体"/>
                <w:bCs/>
                <w:szCs w:val="21"/>
                <w:lang w:val="en-US" w:eastAsia="zh-CN"/>
              </w:rPr>
              <w:t>成交供应商</w:t>
            </w:r>
            <w:r>
              <w:rPr>
                <w:rFonts w:hint="eastAsia" w:ascii="宋体" w:hAnsi="宋体"/>
                <w:bCs/>
                <w:szCs w:val="21"/>
              </w:rPr>
              <w:t>向采购人提供的货物必须是全新、完整、未使用过的，货物到达后，</w:t>
            </w:r>
            <w:r>
              <w:rPr>
                <w:rFonts w:hint="eastAsia" w:ascii="宋体" w:hAnsi="宋体"/>
                <w:bCs/>
                <w:szCs w:val="21"/>
                <w:lang w:val="en-US" w:eastAsia="zh-CN"/>
              </w:rPr>
              <w:t>成交供应商</w:t>
            </w:r>
            <w:r>
              <w:rPr>
                <w:rFonts w:hint="eastAsia" w:ascii="宋体" w:hAnsi="宋体"/>
                <w:bCs/>
                <w:szCs w:val="21"/>
              </w:rPr>
              <w:t>和采购人在现场进行清点，清点过程中如果发现因包装或运输不当引起的产品外观或内部的损坏，</w:t>
            </w:r>
            <w:r>
              <w:rPr>
                <w:rFonts w:hint="eastAsia" w:ascii="宋体" w:hAnsi="宋体"/>
                <w:bCs/>
                <w:szCs w:val="21"/>
                <w:lang w:val="en-US" w:eastAsia="zh-CN"/>
              </w:rPr>
              <w:t>成交供应商</w:t>
            </w:r>
            <w:r>
              <w:rPr>
                <w:rFonts w:hint="eastAsia" w:ascii="宋体" w:hAnsi="宋体"/>
                <w:bCs/>
                <w:szCs w:val="21"/>
              </w:rPr>
              <w:t>负责更换，若发现错发/漏发情况，</w:t>
            </w:r>
            <w:r>
              <w:rPr>
                <w:rFonts w:hint="eastAsia" w:ascii="宋体" w:hAnsi="宋体"/>
                <w:bCs/>
                <w:szCs w:val="21"/>
                <w:lang w:val="en-US" w:eastAsia="zh-CN"/>
              </w:rPr>
              <w:t>成交供应商</w:t>
            </w:r>
            <w:r>
              <w:rPr>
                <w:rFonts w:hint="eastAsia" w:ascii="宋体" w:hAnsi="宋体"/>
                <w:bCs/>
                <w:szCs w:val="21"/>
              </w:rPr>
              <w:t>负责更换和补发。</w:t>
            </w:r>
          </w:p>
          <w:p w14:paraId="036BD9FF">
            <w:pPr>
              <w:widowControl/>
              <w:shd w:val="clear" w:color="auto" w:fill="FFFFFF"/>
              <w:spacing w:line="360" w:lineRule="auto"/>
              <w:rPr>
                <w:rFonts w:ascii="宋体" w:hAnsi="宋体"/>
                <w:b/>
                <w:bCs/>
                <w:szCs w:val="21"/>
              </w:rPr>
            </w:pPr>
            <w:r>
              <w:rPr>
                <w:rFonts w:hint="eastAsia" w:ascii="宋体" w:hAnsi="宋体"/>
                <w:b/>
                <w:bCs/>
                <w:szCs w:val="21"/>
              </w:rPr>
              <w:t>五、验收方式及要求：</w:t>
            </w:r>
          </w:p>
          <w:p w14:paraId="1C900BCE">
            <w:pPr>
              <w:widowControl/>
              <w:shd w:val="clear" w:color="auto" w:fill="FFFFFF"/>
              <w:spacing w:line="360" w:lineRule="auto"/>
              <w:rPr>
                <w:rFonts w:ascii="宋体" w:hAnsi="宋体"/>
                <w:bCs/>
                <w:szCs w:val="21"/>
              </w:rPr>
            </w:pPr>
            <w:r>
              <w:rPr>
                <w:rFonts w:ascii="宋体" w:hAnsi="宋体"/>
                <w:bCs/>
                <w:szCs w:val="21"/>
              </w:rPr>
              <w:t>1</w:t>
            </w:r>
            <w:r>
              <w:rPr>
                <w:rFonts w:hint="eastAsia" w:ascii="宋体" w:hAnsi="宋体"/>
                <w:bCs/>
                <w:szCs w:val="21"/>
                <w:lang w:val="en-US" w:eastAsia="zh-CN"/>
              </w:rPr>
              <w:t>.</w:t>
            </w:r>
            <w:r>
              <w:rPr>
                <w:rFonts w:ascii="宋体" w:hAnsi="宋体"/>
                <w:bCs/>
                <w:szCs w:val="21"/>
              </w:rPr>
              <w:t>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lang w:val="en-US" w:eastAsia="zh-CN"/>
              </w:rPr>
              <w:t>成交供应商</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lang w:val="en-US" w:eastAsia="zh-CN"/>
              </w:rPr>
              <w:t>响应</w:t>
            </w:r>
            <w:r>
              <w:rPr>
                <w:rFonts w:ascii="宋体" w:hAnsi="宋体"/>
                <w:bCs/>
                <w:szCs w:val="21"/>
              </w:rPr>
              <w:t>的法律责任。</w:t>
            </w:r>
          </w:p>
          <w:p w14:paraId="5C24F061">
            <w:pPr>
              <w:widowControl/>
              <w:shd w:val="clear" w:color="auto" w:fill="FFFFFF"/>
              <w:spacing w:line="360" w:lineRule="auto"/>
              <w:rPr>
                <w:rFonts w:ascii="宋体" w:hAnsi="宋体"/>
                <w:bCs/>
                <w:szCs w:val="21"/>
              </w:rPr>
            </w:pPr>
            <w:r>
              <w:rPr>
                <w:rFonts w:hint="eastAsia" w:ascii="宋体" w:hAnsi="宋体"/>
                <w:bCs/>
                <w:szCs w:val="21"/>
              </w:rPr>
              <w:t>2</w:t>
            </w:r>
            <w:r>
              <w:rPr>
                <w:rFonts w:hint="eastAsia" w:ascii="宋体" w:hAnsi="宋体"/>
                <w:bCs/>
                <w:szCs w:val="21"/>
                <w:lang w:val="en-US" w:eastAsia="zh-CN"/>
              </w:rPr>
              <w:t>.</w:t>
            </w:r>
            <w:r>
              <w:rPr>
                <w:rFonts w:hint="eastAsia" w:ascii="宋体" w:hAnsi="宋体"/>
                <w:bCs/>
                <w:szCs w:val="21"/>
              </w:rPr>
              <w:t>按要求供货到现场(包括包装、卸货及搬运)。</w:t>
            </w:r>
          </w:p>
          <w:p w14:paraId="632BECE2">
            <w:pPr>
              <w:widowControl/>
              <w:shd w:val="clear" w:color="auto" w:fill="FFFFFF"/>
              <w:spacing w:line="360" w:lineRule="auto"/>
              <w:rPr>
                <w:rFonts w:ascii="宋体" w:hAnsi="宋体"/>
                <w:b/>
                <w:bCs/>
                <w:szCs w:val="21"/>
              </w:rPr>
            </w:pPr>
            <w:r>
              <w:rPr>
                <w:rFonts w:hint="eastAsia" w:ascii="宋体" w:hAnsi="宋体"/>
                <w:b/>
                <w:bCs/>
                <w:szCs w:val="21"/>
              </w:rPr>
              <w:t>六、售后服务要求：</w:t>
            </w:r>
          </w:p>
          <w:p w14:paraId="319AC183">
            <w:pPr>
              <w:widowControl/>
              <w:shd w:val="clear" w:color="auto" w:fill="FFFFFF"/>
              <w:spacing w:line="360" w:lineRule="auto"/>
            </w:pPr>
            <w:r>
              <w:rPr>
                <w:rFonts w:hint="eastAsia" w:ascii="宋体" w:hAnsi="宋体"/>
                <w:szCs w:val="21"/>
              </w:rPr>
              <w:t>1</w:t>
            </w:r>
            <w:r>
              <w:rPr>
                <w:rFonts w:hint="eastAsia" w:ascii="宋体" w:hAnsi="宋体"/>
                <w:szCs w:val="21"/>
                <w:lang w:val="en-US" w:eastAsia="zh-CN"/>
              </w:rPr>
              <w:t>.</w:t>
            </w:r>
            <w:r>
              <w:rPr>
                <w:rFonts w:hint="eastAsia" w:ascii="宋体" w:hAnsi="宋体"/>
                <w:szCs w:val="21"/>
              </w:rPr>
              <w:t>质量保证期</w:t>
            </w:r>
            <w:r>
              <w:rPr>
                <w:rFonts w:hint="eastAsia" w:ascii="宋体" w:hAnsi="宋体"/>
                <w:szCs w:val="21"/>
                <w:u w:val="single"/>
              </w:rPr>
              <w:t xml:space="preserve">  1  </w:t>
            </w:r>
            <w:r>
              <w:rPr>
                <w:rFonts w:hint="eastAsia" w:ascii="宋体" w:hAnsi="宋体"/>
                <w:szCs w:val="21"/>
              </w:rPr>
              <w:t>年（自交货并验收合格之日起计），质量保证期内按国家有关产品“三包”规定执行“三包”，质量保证期内因产品质量问题发生的相关费用由成交供应商承担。</w:t>
            </w:r>
          </w:p>
          <w:p w14:paraId="304F5B51">
            <w:pPr>
              <w:pStyle w:val="35"/>
              <w:kinsoku w:val="0"/>
              <w:overflowPunct w:val="0"/>
              <w:spacing w:before="29"/>
              <w:rPr>
                <w:rFonts w:hint="default" w:ascii="宋体" w:hAnsi="宋体"/>
                <w:sz w:val="21"/>
                <w:szCs w:val="21"/>
              </w:rPr>
            </w:pPr>
            <w:r>
              <w:rPr>
                <w:rFonts w:ascii="宋体" w:hAnsi="宋体"/>
                <w:sz w:val="21"/>
                <w:szCs w:val="21"/>
              </w:rPr>
              <w:t>2</w:t>
            </w:r>
            <w:r>
              <w:rPr>
                <w:rFonts w:hint="eastAsia" w:ascii="宋体" w:hAnsi="宋体"/>
                <w:sz w:val="21"/>
                <w:szCs w:val="21"/>
                <w:lang w:val="en-US" w:eastAsia="zh-CN"/>
              </w:rPr>
              <w:t>.</w:t>
            </w:r>
            <w:r>
              <w:rPr>
                <w:rFonts w:ascii="宋体" w:hAnsi="宋体"/>
                <w:sz w:val="21"/>
                <w:szCs w:val="21"/>
              </w:rPr>
              <w:t>服务响应时间：</w:t>
            </w:r>
            <w:r>
              <w:rPr>
                <w:rFonts w:ascii="宋体" w:cs="宋体"/>
                <w:sz w:val="21"/>
                <w:szCs w:val="21"/>
              </w:rPr>
              <w:t>对于服务请求，须在</w:t>
            </w:r>
            <w:r>
              <w:rPr>
                <w:rFonts w:ascii="宋体" w:cs="宋体"/>
                <w:spacing w:val="-47"/>
                <w:sz w:val="21"/>
                <w:szCs w:val="21"/>
              </w:rPr>
              <w:t xml:space="preserve"> </w:t>
            </w:r>
            <w:r>
              <w:rPr>
                <w:rFonts w:ascii="宋体" w:cs="宋体"/>
                <w:sz w:val="21"/>
                <w:szCs w:val="21"/>
              </w:rPr>
              <w:t>20</w:t>
            </w:r>
            <w:r>
              <w:rPr>
                <w:rFonts w:ascii="宋体" w:cs="宋体"/>
                <w:spacing w:val="-45"/>
                <w:sz w:val="21"/>
                <w:szCs w:val="21"/>
              </w:rPr>
              <w:t xml:space="preserve"> </w:t>
            </w:r>
            <w:r>
              <w:rPr>
                <w:rFonts w:ascii="宋体" w:cs="宋体"/>
                <w:sz w:val="21"/>
                <w:szCs w:val="21"/>
              </w:rPr>
              <w:t>分钟内响应；一般问题</w:t>
            </w:r>
            <w:r>
              <w:rPr>
                <w:rFonts w:ascii="宋体" w:cs="宋体"/>
                <w:spacing w:val="-48"/>
                <w:sz w:val="21"/>
                <w:szCs w:val="21"/>
              </w:rPr>
              <w:t xml:space="preserve"> 8</w:t>
            </w:r>
            <w:r>
              <w:rPr>
                <w:rFonts w:ascii="宋体" w:cs="宋体"/>
                <w:sz w:val="21"/>
                <w:szCs w:val="21"/>
              </w:rPr>
              <w:t>小时内解决；对于重大问题不能超过</w:t>
            </w:r>
            <w:r>
              <w:rPr>
                <w:rFonts w:ascii="宋体" w:cs="宋体"/>
                <w:spacing w:val="-47"/>
                <w:sz w:val="21"/>
                <w:szCs w:val="21"/>
              </w:rPr>
              <w:t xml:space="preserve"> </w:t>
            </w:r>
            <w:r>
              <w:rPr>
                <w:rFonts w:ascii="宋体" w:cs="宋体"/>
                <w:sz w:val="21"/>
                <w:szCs w:val="21"/>
              </w:rPr>
              <w:t>48</w:t>
            </w:r>
            <w:r>
              <w:rPr>
                <w:rFonts w:ascii="宋体" w:cs="宋体"/>
                <w:spacing w:val="-45"/>
                <w:sz w:val="21"/>
                <w:szCs w:val="21"/>
              </w:rPr>
              <w:t xml:space="preserve"> </w:t>
            </w:r>
            <w:r>
              <w:rPr>
                <w:rFonts w:ascii="宋体" w:cs="宋体"/>
                <w:sz w:val="21"/>
                <w:szCs w:val="21"/>
              </w:rPr>
              <w:t>小时解决且要求</w:t>
            </w:r>
            <w:r>
              <w:rPr>
                <w:rFonts w:ascii="宋体" w:cs="宋体"/>
                <w:spacing w:val="-46"/>
                <w:sz w:val="21"/>
                <w:szCs w:val="21"/>
              </w:rPr>
              <w:t xml:space="preserve"> </w:t>
            </w:r>
            <w:r>
              <w:rPr>
                <w:rFonts w:ascii="宋体" w:cs="宋体"/>
                <w:sz w:val="21"/>
                <w:szCs w:val="21"/>
              </w:rPr>
              <w:t>4</w:t>
            </w:r>
            <w:r>
              <w:rPr>
                <w:rFonts w:ascii="宋体" w:cs="宋体"/>
                <w:spacing w:val="-45"/>
                <w:sz w:val="21"/>
                <w:szCs w:val="21"/>
              </w:rPr>
              <w:t xml:space="preserve"> </w:t>
            </w:r>
            <w:r>
              <w:rPr>
                <w:rFonts w:ascii="宋体" w:cs="宋体"/>
                <w:sz w:val="21"/>
                <w:szCs w:val="21"/>
              </w:rPr>
              <w:t>小时内到现场服务</w:t>
            </w:r>
            <w:r>
              <w:rPr>
                <w:rFonts w:ascii="宋体" w:cs="宋体"/>
                <w:spacing w:val="-2"/>
                <w:sz w:val="21"/>
                <w:szCs w:val="21"/>
              </w:rPr>
              <w:t>。</w:t>
            </w:r>
          </w:p>
          <w:p w14:paraId="0FFA5131">
            <w:pPr>
              <w:spacing w:line="360" w:lineRule="auto"/>
              <w:rPr>
                <w:rFonts w:ascii="宋体" w:hAnsi="宋体"/>
                <w:b/>
                <w:bCs/>
                <w:szCs w:val="21"/>
              </w:rPr>
            </w:pPr>
            <w:r>
              <w:rPr>
                <w:rFonts w:hint="eastAsia" w:ascii="宋体" w:hAnsi="宋体"/>
                <w:b/>
                <w:bCs/>
                <w:szCs w:val="21"/>
              </w:rPr>
              <w:t>七、其他要求：</w:t>
            </w:r>
          </w:p>
          <w:p w14:paraId="1D35B49A">
            <w:pPr>
              <w:spacing w:line="360" w:lineRule="auto"/>
              <w:rPr>
                <w:rFonts w:ascii="宋体" w:hAnsi="宋体"/>
                <w:szCs w:val="21"/>
              </w:rPr>
            </w:pPr>
            <w:r>
              <w:rPr>
                <w:rFonts w:hint="eastAsia" w:ascii="宋体" w:hAnsi="宋体"/>
                <w:szCs w:val="21"/>
              </w:rPr>
              <w:t>1</w:t>
            </w:r>
            <w:r>
              <w:rPr>
                <w:rFonts w:hint="eastAsia" w:ascii="宋体" w:hAnsi="宋体"/>
                <w:szCs w:val="21"/>
                <w:lang w:val="en-US" w:eastAsia="zh-CN"/>
              </w:rPr>
              <w:t>.</w:t>
            </w:r>
            <w:r>
              <w:rPr>
                <w:rFonts w:hint="eastAsia" w:ascii="宋体" w:hAnsi="宋体"/>
                <w:szCs w:val="21"/>
              </w:rPr>
              <w:t>投标报价为采购人指定地点的现场交货价，包括：</w:t>
            </w:r>
          </w:p>
          <w:p w14:paraId="47C03CC8">
            <w:pPr>
              <w:spacing w:line="360" w:lineRule="auto"/>
              <w:rPr>
                <w:rFonts w:ascii="宋体" w:hAnsi="宋体"/>
                <w:szCs w:val="21"/>
              </w:rPr>
            </w:pPr>
            <w:r>
              <w:rPr>
                <w:rFonts w:hint="eastAsia" w:ascii="宋体" w:hAnsi="宋体"/>
                <w:szCs w:val="21"/>
              </w:rPr>
              <w:t>（1）货物的价格；</w:t>
            </w:r>
          </w:p>
          <w:p w14:paraId="5A0B7B12">
            <w:pPr>
              <w:spacing w:line="360" w:lineRule="auto"/>
              <w:rPr>
                <w:rFonts w:ascii="宋体" w:hAnsi="宋体"/>
                <w:szCs w:val="21"/>
              </w:rPr>
            </w:pPr>
            <w:r>
              <w:rPr>
                <w:rFonts w:hint="eastAsia" w:ascii="宋体" w:hAnsi="宋体"/>
                <w:szCs w:val="21"/>
              </w:rPr>
              <w:t>（2）货物的标准附件、备品备件、专用工具的价格；</w:t>
            </w:r>
          </w:p>
          <w:p w14:paraId="4743B5B5">
            <w:pPr>
              <w:spacing w:line="360" w:lineRule="auto"/>
              <w:rPr>
                <w:rFonts w:ascii="宋体" w:hAnsi="宋体"/>
                <w:szCs w:val="21"/>
              </w:rPr>
            </w:pPr>
            <w:r>
              <w:rPr>
                <w:rFonts w:hint="eastAsia" w:ascii="宋体" w:hAnsi="宋体"/>
                <w:szCs w:val="21"/>
              </w:rPr>
              <w:t>（3）运输、装卸、搬运、技术支持、售后服务等费用；</w:t>
            </w:r>
          </w:p>
          <w:p w14:paraId="4E6D6AB2">
            <w:pPr>
              <w:spacing w:line="360" w:lineRule="auto"/>
              <w:rPr>
                <w:rFonts w:hint="eastAsia" w:ascii="宋体" w:hAnsi="宋体" w:eastAsia="宋体"/>
                <w:szCs w:val="21"/>
                <w:lang w:eastAsia="zh-CN"/>
              </w:rPr>
            </w:pPr>
            <w:r>
              <w:rPr>
                <w:rFonts w:hint="eastAsia" w:ascii="宋体" w:hAnsi="宋体"/>
                <w:szCs w:val="21"/>
              </w:rPr>
              <w:t>（4）必要的保险费用和各项税费</w:t>
            </w:r>
            <w:r>
              <w:rPr>
                <w:rFonts w:hint="eastAsia" w:ascii="宋体" w:hAnsi="宋体"/>
                <w:szCs w:val="21"/>
                <w:lang w:eastAsia="zh-CN"/>
              </w:rPr>
              <w:t>。</w:t>
            </w:r>
          </w:p>
          <w:p w14:paraId="608D28A2">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Theme="minorEastAsia" w:hAnsiTheme="minorEastAsia" w:eastAsiaTheme="minorEastAsia" w:cstheme="minorEastAsia"/>
              </w:rPr>
            </w:pPr>
            <w:r>
              <w:rPr>
                <w:rFonts w:hint="eastAsia" w:ascii="宋体" w:hAnsi="宋体"/>
                <w:sz w:val="21"/>
                <w:szCs w:val="21"/>
              </w:rPr>
              <w:t>2</w:t>
            </w:r>
            <w:r>
              <w:rPr>
                <w:rFonts w:hint="eastAsia" w:ascii="宋体" w:hAnsi="宋体"/>
                <w:sz w:val="21"/>
                <w:szCs w:val="21"/>
                <w:lang w:val="en-US" w:eastAsia="zh-CN"/>
              </w:rPr>
              <w:t>.</w:t>
            </w:r>
            <w:r>
              <w:rPr>
                <w:rFonts w:hint="eastAsia" w:ascii="宋体" w:hAnsi="宋体"/>
                <w:sz w:val="21"/>
                <w:szCs w:val="21"/>
              </w:rPr>
              <w:t>付款方式：货物</w:t>
            </w:r>
            <w:r>
              <w:rPr>
                <w:rFonts w:hint="eastAsia" w:ascii="宋体" w:hAnsi="宋体"/>
                <w:sz w:val="21"/>
                <w:szCs w:val="21"/>
                <w:lang w:val="en-US" w:eastAsia="zh-CN"/>
              </w:rPr>
              <w:t>交付完毕并经采购人</w:t>
            </w:r>
            <w:r>
              <w:rPr>
                <w:rFonts w:hint="eastAsia" w:ascii="宋体" w:hAnsi="宋体"/>
                <w:sz w:val="21"/>
                <w:szCs w:val="21"/>
              </w:rPr>
              <w:t>验收合格后一次性支付合同款（付款前</w:t>
            </w:r>
            <w:r>
              <w:rPr>
                <w:rFonts w:hint="eastAsia" w:ascii="宋体" w:hAnsi="宋体"/>
                <w:bCs/>
                <w:szCs w:val="21"/>
                <w:lang w:val="en-US" w:eastAsia="zh-CN"/>
              </w:rPr>
              <w:t>成交供应商须</w:t>
            </w:r>
            <w:r>
              <w:rPr>
                <w:rFonts w:hint="eastAsia" w:ascii="宋体" w:hAnsi="宋体"/>
                <w:sz w:val="21"/>
                <w:szCs w:val="21"/>
              </w:rPr>
              <w:t>开具等额合规的增值税普通发票</w:t>
            </w:r>
            <w:r>
              <w:rPr>
                <w:rFonts w:hint="eastAsia" w:ascii="宋体" w:hAnsi="宋体"/>
                <w:sz w:val="21"/>
                <w:szCs w:val="21"/>
                <w:lang w:val="en-US" w:eastAsia="zh-CN"/>
              </w:rPr>
              <w:t>给采购人</w:t>
            </w:r>
            <w:r>
              <w:rPr>
                <w:rFonts w:hint="eastAsia" w:ascii="宋体" w:hAnsi="宋体"/>
                <w:sz w:val="21"/>
                <w:szCs w:val="21"/>
              </w:rPr>
              <w:t>）。</w:t>
            </w:r>
            <w:r>
              <w:rPr>
                <w:rFonts w:hint="default" w:ascii="宋体" w:hAnsi="宋体" w:cs="Times New Roman"/>
                <w:szCs w:val="21"/>
                <w:lang w:val="en-US" w:eastAsia="zh-CN"/>
              </w:rPr>
              <w:t xml:space="preserve"> </w:t>
            </w:r>
            <w:r>
              <w:rPr>
                <w:rFonts w:hint="eastAsia" w:asciiTheme="minorEastAsia" w:hAnsiTheme="minorEastAsia" w:eastAsiaTheme="minorEastAsia" w:cstheme="minorEastAsia"/>
              </w:rPr>
              <w:t xml:space="preserve">          </w:t>
            </w:r>
          </w:p>
        </w:tc>
      </w:tr>
    </w:tbl>
    <w:p w14:paraId="34379FB2">
      <w:pPr>
        <w:pStyle w:val="38"/>
        <w:ind w:firstLine="460" w:firstLineChars="200"/>
        <w:rPr>
          <w:rFonts w:hint="eastAsia"/>
          <w:sz w:val="21"/>
          <w:szCs w:val="21"/>
          <w:lang w:val="en-US" w:eastAsia="zh-CN"/>
        </w:rPr>
        <w:sectPr>
          <w:pgSz w:w="11906" w:h="16838"/>
          <w:pgMar w:top="1984" w:right="1474" w:bottom="1984" w:left="1587" w:header="851" w:footer="992" w:gutter="0"/>
          <w:pgNumType w:fmt="numberInDash"/>
          <w:cols w:space="425" w:num="1"/>
          <w:docGrid w:type="lines" w:linePitch="312" w:charSpace="0"/>
        </w:sectPr>
      </w:pPr>
    </w:p>
    <w:p w14:paraId="34C7292E">
      <w:pPr>
        <w:pStyle w:val="7"/>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27B0DD07">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w:t>
      </w:r>
    </w:p>
    <w:p w14:paraId="04DE5CDF">
      <w:pPr>
        <w:spacing w:line="360" w:lineRule="exact"/>
        <w:ind w:firstLine="413" w:firstLineChars="196"/>
        <w:rPr>
          <w:rFonts w:hint="eastAsia" w:ascii="宋体" w:hAnsi="宋体"/>
          <w:b/>
          <w:bCs/>
          <w:color w:val="auto"/>
          <w:kern w:val="0"/>
          <w:szCs w:val="21"/>
          <w:highlight w:val="none"/>
        </w:rPr>
      </w:pPr>
    </w:p>
    <w:p w14:paraId="2466226D">
      <w:pPr>
        <w:spacing w:line="360" w:lineRule="exact"/>
        <w:ind w:firstLine="413" w:firstLineChars="196"/>
        <w:rPr>
          <w:rFonts w:ascii="宋体" w:hAnsi="宋体"/>
          <w:b/>
          <w:bCs/>
          <w:color w:val="auto"/>
          <w:kern w:val="0"/>
          <w:szCs w:val="21"/>
          <w:highlight w:val="none"/>
        </w:rPr>
      </w:pPr>
      <w:r>
        <w:rPr>
          <w:rFonts w:hint="eastAsia" w:ascii="宋体" w:hAnsi="宋体"/>
          <w:b/>
          <w:bCs/>
          <w:color w:val="auto"/>
          <w:kern w:val="0"/>
          <w:szCs w:val="21"/>
          <w:highlight w:val="none"/>
        </w:rPr>
        <w:t>一、评</w:t>
      </w:r>
      <w:r>
        <w:rPr>
          <w:rFonts w:hint="eastAsia" w:ascii="宋体" w:hAnsi="宋体"/>
          <w:b/>
          <w:bCs/>
          <w:color w:val="auto"/>
          <w:kern w:val="0"/>
          <w:szCs w:val="21"/>
          <w:highlight w:val="none"/>
          <w:lang w:val="en-US" w:eastAsia="zh-CN"/>
        </w:rPr>
        <w:t>选</w:t>
      </w:r>
      <w:r>
        <w:rPr>
          <w:rFonts w:hint="eastAsia" w:ascii="宋体" w:hAnsi="宋体"/>
          <w:b/>
          <w:bCs/>
          <w:color w:val="auto"/>
          <w:kern w:val="0"/>
          <w:szCs w:val="21"/>
          <w:highlight w:val="none"/>
        </w:rPr>
        <w:t>原则</w:t>
      </w:r>
    </w:p>
    <w:p w14:paraId="1125C113">
      <w:pPr>
        <w:spacing w:line="360" w:lineRule="exact"/>
        <w:ind w:firstLine="420" w:firstLineChars="200"/>
        <w:rPr>
          <w:rFonts w:hint="default" w:ascii="宋体" w:hAnsi="宋体" w:eastAsiaTheme="minorEastAsia"/>
          <w:bCs/>
          <w:color w:val="auto"/>
          <w:kern w:val="0"/>
          <w:szCs w:val="21"/>
          <w:highlight w:val="none"/>
          <w:lang w:val="en-US" w:eastAsia="zh-CN"/>
        </w:rPr>
      </w:pPr>
      <w:r>
        <w:rPr>
          <w:rFonts w:hint="eastAsia" w:ascii="宋体" w:hAnsi="宋体"/>
          <w:bCs/>
          <w:color w:val="auto"/>
          <w:kern w:val="0"/>
          <w:szCs w:val="21"/>
          <w:highlight w:val="none"/>
        </w:rPr>
        <w:t>（一）</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小组构成：本项目的</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小组由采购人</w:t>
      </w:r>
      <w:r>
        <w:rPr>
          <w:rFonts w:hint="eastAsia" w:ascii="宋体" w:hAnsi="宋体"/>
          <w:bCs/>
          <w:color w:val="auto"/>
          <w:kern w:val="0"/>
          <w:szCs w:val="21"/>
          <w:highlight w:val="none"/>
          <w:lang w:val="en-US" w:eastAsia="zh-CN"/>
        </w:rPr>
        <w:t>立项科室代表和采购人专家库成员</w:t>
      </w:r>
      <w:r>
        <w:rPr>
          <w:rFonts w:hint="eastAsia" w:ascii="宋体" w:hAnsi="宋体"/>
          <w:bCs/>
          <w:color w:val="auto"/>
          <w:kern w:val="0"/>
          <w:szCs w:val="21"/>
          <w:highlight w:val="none"/>
        </w:rPr>
        <w:t>组成</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成员人数为</w:t>
      </w:r>
      <w:r>
        <w:rPr>
          <w:rFonts w:hint="eastAsia" w:ascii="宋体" w:hAnsi="宋体"/>
          <w:bCs/>
          <w:color w:val="auto"/>
          <w:kern w:val="0"/>
          <w:szCs w:val="21"/>
          <w:highlight w:val="none"/>
          <w:lang w:val="en-US" w:eastAsia="zh-CN"/>
        </w:rPr>
        <w:t>3</w:t>
      </w:r>
      <w:r>
        <w:rPr>
          <w:rFonts w:hint="eastAsia" w:ascii="宋体" w:hAnsi="宋体"/>
          <w:bCs/>
          <w:color w:val="auto"/>
          <w:kern w:val="0"/>
          <w:szCs w:val="21"/>
          <w:highlight w:val="none"/>
        </w:rPr>
        <w:t>人</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其中立项科室代表为1人。</w:t>
      </w:r>
    </w:p>
    <w:p w14:paraId="7328498E">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（二）评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小组将以</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文件为评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依据进行评审，对</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供应商的报价、技术、商务等内容按百分制打分。</w:t>
      </w:r>
    </w:p>
    <w:p w14:paraId="57343592">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（三）评标方法：综合评分法。</w:t>
      </w:r>
    </w:p>
    <w:p w14:paraId="00236FD8">
      <w:pPr>
        <w:spacing w:line="360" w:lineRule="exact"/>
        <w:ind w:firstLine="413" w:firstLineChars="196"/>
        <w:rPr>
          <w:rFonts w:hint="default" w:ascii="宋体" w:hAnsi="宋体" w:eastAsiaTheme="minorEastAsia"/>
          <w:b/>
          <w:bCs/>
          <w:color w:val="auto"/>
          <w:kern w:val="0"/>
          <w:szCs w:val="21"/>
          <w:highlight w:val="none"/>
          <w:lang w:val="en-US" w:eastAsia="zh-CN"/>
        </w:rPr>
      </w:pPr>
      <w:r>
        <w:rPr>
          <w:rFonts w:hint="eastAsia" w:ascii="宋体" w:hAnsi="宋体"/>
          <w:b/>
          <w:bCs/>
          <w:color w:val="auto"/>
          <w:kern w:val="0"/>
          <w:szCs w:val="21"/>
          <w:highlight w:val="none"/>
        </w:rPr>
        <w:t>二、评</w:t>
      </w:r>
      <w:r>
        <w:rPr>
          <w:rFonts w:hint="eastAsia" w:ascii="宋体" w:hAnsi="宋体"/>
          <w:b/>
          <w:bCs/>
          <w:color w:val="auto"/>
          <w:kern w:val="0"/>
          <w:szCs w:val="21"/>
          <w:highlight w:val="none"/>
          <w:lang w:val="en-US" w:eastAsia="zh-CN"/>
        </w:rPr>
        <w:t>选细则</w:t>
      </w:r>
    </w:p>
    <w:p w14:paraId="2B8545F5">
      <w:pPr>
        <w:spacing w:line="360" w:lineRule="exact"/>
        <w:ind w:firstLine="420" w:firstLineChars="200"/>
        <w:outlineLvl w:val="0"/>
        <w:rPr>
          <w:rFonts w:hint="eastAsia" w:ascii="宋体" w:hAnsi="宋体"/>
          <w:color w:val="auto"/>
          <w:kern w:val="0"/>
          <w:szCs w:val="21"/>
          <w:highlight w:val="none"/>
        </w:rPr>
      </w:pPr>
      <w:bookmarkStart w:id="0" w:name="_Toc31553"/>
      <w:bookmarkStart w:id="1" w:name="_Toc940151"/>
      <w:bookmarkStart w:id="2" w:name="_Toc24280"/>
      <w:r>
        <w:rPr>
          <w:rFonts w:hint="eastAsia" w:ascii="宋体" w:hAnsi="宋体"/>
          <w:color w:val="auto"/>
          <w:kern w:val="0"/>
          <w:szCs w:val="21"/>
          <w:highlight w:val="none"/>
        </w:rPr>
        <w:t>计分办法（</w:t>
      </w:r>
      <w:r>
        <w:rPr>
          <w:rFonts w:hint="eastAsia" w:ascii="宋体" w:hAnsi="宋体"/>
          <w:color w:val="auto"/>
          <w:kern w:val="0"/>
          <w:szCs w:val="21"/>
          <w:highlight w:val="none"/>
          <w:lang w:val="en-US" w:eastAsia="zh-CN"/>
        </w:rPr>
        <w:t>保留两位小数</w:t>
      </w:r>
      <w:r>
        <w:rPr>
          <w:rFonts w:hint="eastAsia" w:ascii="宋体" w:hAnsi="宋体"/>
          <w:color w:val="auto"/>
          <w:kern w:val="0"/>
          <w:szCs w:val="21"/>
          <w:highlight w:val="none"/>
        </w:rPr>
        <w:t>）：</w:t>
      </w:r>
      <w:bookmarkEnd w:id="0"/>
      <w:bookmarkEnd w:id="1"/>
      <w:bookmarkEnd w:id="2"/>
    </w:p>
    <w:tbl>
      <w:tblPr>
        <w:tblStyle w:val="16"/>
        <w:tblW w:w="9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065"/>
        <w:gridCol w:w="1758"/>
        <w:gridCol w:w="6016"/>
      </w:tblGrid>
      <w:tr w14:paraId="23B95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92" w:type="dxa"/>
            <w:gridSpan w:val="2"/>
            <w:noWrap w:val="0"/>
            <w:vAlign w:val="center"/>
          </w:tcPr>
          <w:p w14:paraId="5197D372">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1758" w:type="dxa"/>
            <w:noWrap w:val="0"/>
            <w:vAlign w:val="center"/>
          </w:tcPr>
          <w:p w14:paraId="61EE179C">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评分因素</w:t>
            </w:r>
          </w:p>
        </w:tc>
        <w:tc>
          <w:tcPr>
            <w:tcW w:w="6016" w:type="dxa"/>
            <w:noWrap w:val="0"/>
            <w:vAlign w:val="center"/>
          </w:tcPr>
          <w:p w14:paraId="445B5F21">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评分标准</w:t>
            </w:r>
          </w:p>
        </w:tc>
      </w:tr>
      <w:tr w14:paraId="176A1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dxa"/>
            <w:noWrap w:val="0"/>
            <w:vAlign w:val="center"/>
          </w:tcPr>
          <w:p w14:paraId="115A9B15">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065" w:type="dxa"/>
            <w:noWrap w:val="0"/>
            <w:vAlign w:val="center"/>
          </w:tcPr>
          <w:p w14:paraId="1DBD260B">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价格分（满分</w:t>
            </w:r>
            <w:r>
              <w:rPr>
                <w:rFonts w:hint="eastAsia" w:ascii="宋体" w:hAnsi="宋体" w:cs="宋体"/>
                <w:b/>
                <w:color w:val="auto"/>
                <w:szCs w:val="21"/>
                <w:highlight w:val="none"/>
                <w:lang w:val="en-US" w:eastAsia="zh-CN"/>
              </w:rPr>
              <w:t>30</w:t>
            </w:r>
            <w:r>
              <w:rPr>
                <w:rFonts w:hint="eastAsia" w:ascii="宋体" w:hAnsi="宋体" w:cs="宋体"/>
                <w:b/>
                <w:color w:val="auto"/>
                <w:szCs w:val="21"/>
                <w:highlight w:val="none"/>
              </w:rPr>
              <w:t>分）</w:t>
            </w:r>
          </w:p>
        </w:tc>
        <w:tc>
          <w:tcPr>
            <w:tcW w:w="1758" w:type="dxa"/>
            <w:noWrap w:val="0"/>
            <w:vAlign w:val="center"/>
          </w:tcPr>
          <w:p w14:paraId="674B9750">
            <w:pPr>
              <w:adjustRightInd w:val="0"/>
              <w:spacing w:line="400" w:lineRule="exact"/>
              <w:jc w:val="center"/>
              <w:textAlignment w:val="baseline"/>
              <w:rPr>
                <w:rFonts w:hint="eastAsia" w:eastAsia="宋体"/>
                <w:lang w:eastAsia="zh-CN"/>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p>
        </w:tc>
        <w:tc>
          <w:tcPr>
            <w:tcW w:w="6016" w:type="dxa"/>
            <w:noWrap w:val="0"/>
            <w:vAlign w:val="center"/>
          </w:tcPr>
          <w:p w14:paraId="663E699E">
            <w:pPr>
              <w:numPr>
                <w:ilvl w:val="0"/>
                <w:numId w:val="0"/>
              </w:num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kern w:val="2"/>
                <w:sz w:val="21"/>
                <w:szCs w:val="22"/>
                <w:lang w:val="en-US" w:eastAsia="zh-CN" w:bidi="ar-SA"/>
              </w:rPr>
              <w:t>1.</w:t>
            </w:r>
            <w:r>
              <w:rPr>
                <w:rFonts w:hint="eastAsia" w:asciiTheme="minorEastAsia" w:hAnsiTheme="minorEastAsia" w:eastAsiaTheme="minorEastAsia" w:cstheme="minorEastAsia"/>
              </w:rPr>
              <w:t>评标基准价为满足</w:t>
            </w:r>
            <w:r>
              <w:rPr>
                <w:rFonts w:hint="eastAsia" w:asciiTheme="minorEastAsia" w:hAnsiTheme="minorEastAsia" w:eastAsiaTheme="minorEastAsia" w:cstheme="minorEastAsia"/>
                <w:lang w:val="en-US" w:eastAsia="zh-CN"/>
              </w:rPr>
              <w:t>采购文件</w:t>
            </w:r>
            <w:r>
              <w:rPr>
                <w:rFonts w:hint="eastAsia" w:asciiTheme="minorEastAsia" w:hAnsiTheme="minorEastAsia" w:eastAsiaTheme="minorEastAsia" w:cstheme="minorEastAsia"/>
              </w:rPr>
              <w:t>要求且通过符合性审查的最低有效</w:t>
            </w: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报价。</w:t>
            </w:r>
          </w:p>
          <w:p w14:paraId="4C39BBE4">
            <w:pPr>
              <w:numPr>
                <w:ilvl w:val="0"/>
                <w:numId w:val="0"/>
              </w:num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2.响应</w:t>
            </w:r>
            <w:r>
              <w:rPr>
                <w:rFonts w:hint="eastAsia" w:asciiTheme="minorEastAsia" w:hAnsiTheme="minorEastAsia" w:eastAsiaTheme="minorEastAsia" w:cstheme="minorEastAsia"/>
              </w:rPr>
              <w:t>报价超过</w:t>
            </w:r>
            <w:r>
              <w:rPr>
                <w:rFonts w:hint="eastAsia" w:asciiTheme="minorEastAsia" w:hAnsiTheme="minorEastAsia" w:eastAsiaTheme="minorEastAsia" w:cstheme="minorEastAsia"/>
                <w:lang w:val="en-US" w:eastAsia="zh-CN"/>
              </w:rPr>
              <w:t>项目最高限价</w:t>
            </w:r>
            <w:r>
              <w:rPr>
                <w:rFonts w:hint="eastAsia" w:asciiTheme="minorEastAsia" w:hAnsiTheme="minorEastAsia" w:eastAsiaTheme="minorEastAsia" w:cstheme="minorEastAsia"/>
              </w:rPr>
              <w:t>的为无效</w:t>
            </w: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w:t>
            </w:r>
          </w:p>
          <w:p w14:paraId="739273F1">
            <w:pPr>
              <w:numPr>
                <w:ilvl w:val="0"/>
                <w:numId w:val="0"/>
              </w:num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kern w:val="2"/>
                <w:sz w:val="21"/>
                <w:szCs w:val="22"/>
                <w:lang w:val="en-US" w:eastAsia="zh-CN" w:bidi="ar-SA"/>
              </w:rPr>
              <w:t>3.</w:t>
            </w:r>
            <w:r>
              <w:rPr>
                <w:rFonts w:hint="eastAsia" w:asciiTheme="minorEastAsia" w:hAnsiTheme="minorEastAsia" w:eastAsiaTheme="minorEastAsia" w:cstheme="minorEastAsia"/>
              </w:rPr>
              <w:t>价格分公式计算：</w:t>
            </w:r>
          </w:p>
          <w:p w14:paraId="0703EEA9">
            <w:pPr>
              <w:spacing w:line="400" w:lineRule="exact"/>
              <w:ind w:firstLine="2940" w:firstLineChars="1400"/>
              <w:jc w:val="left"/>
              <w:rPr>
                <w:rFonts w:hint="default" w:ascii="宋体" w:hAnsi="宋体" w:cs="宋体" w:eastAsiaTheme="minorEastAsia"/>
                <w:color w:val="auto"/>
                <w:szCs w:val="21"/>
                <w:highlight w:val="none"/>
                <w:lang w:val="en-US" w:eastAsia="zh-CN"/>
              </w:rPr>
            </w:pPr>
            <w:r>
              <w:rPr>
                <w:rFonts w:hint="eastAsia" w:ascii="宋体" w:hAnsi="宋体" w:cs="宋体"/>
                <w:color w:val="auto"/>
                <w:szCs w:val="21"/>
                <w:highlight w:val="none"/>
                <w:lang w:val="en-US" w:eastAsia="zh-CN"/>
              </w:rPr>
              <w:t>评标基准价</w:t>
            </w:r>
          </w:p>
          <w:p w14:paraId="26FA0F5C">
            <w:pPr>
              <w:spacing w:line="400" w:lineRule="exact"/>
              <w:jc w:val="left"/>
              <w:rPr>
                <w:rFonts w:ascii="宋体" w:hAnsi="宋体" w:cs="宋体"/>
                <w:color w:val="auto"/>
                <w:szCs w:val="21"/>
                <w:highlight w:val="none"/>
              </w:rPr>
            </w:pPr>
            <w:r>
              <w:rPr>
                <w:rFonts w:ascii="宋体" w:hAnsi="宋体" w:cs="宋体"/>
                <w:color w:val="auto"/>
                <w:szCs w:val="21"/>
                <w:highlight w:val="none"/>
              </w:rPr>
              <mc:AlternateContent>
                <mc:Choice Requires="wps">
                  <w:drawing>
                    <wp:anchor distT="0" distB="0" distL="114300" distR="114300" simplePos="0" relativeHeight="251660288"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1" name="直接箭头连接符 1"/>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60288;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JkFkLXAAAACQEAAA8AAAAAAAAAAQAgAAAA&#10;IgAAAGRycy9kb3ducmV2LnhtbFBLAQIUABQAAAAIAIdO4kANN2++DAIAAAcEAAAOAAAAAAAAAAEA&#10;IAAAACYBAABkcnMvZTJvRG9jLnhtbFBLBQYAAAAABgAGAFkBAACkBQAAAAA=&#10;">
                      <v:fill on="f" focussize="0,0"/>
                      <v:stroke color="#000000" joinstyle="round"/>
                      <v:imagedata o:title=""/>
                      <o:lock v:ext="edit" aspectratio="f"/>
                    </v:shape>
                  </w:pict>
                </mc:Fallback>
              </mc:AlternateContent>
            </w: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 xml:space="preserve">供应商价格分＝                           × </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 xml:space="preserve"> 分</w:t>
            </w:r>
          </w:p>
          <w:p w14:paraId="6A4C5E37">
            <w:pPr>
              <w:spacing w:line="400" w:lineRule="exact"/>
              <w:ind w:firstLine="2520" w:firstLineChars="1200"/>
              <w:jc w:val="left"/>
              <w:rPr>
                <w:rFonts w:hAnsi="宋体"/>
                <w:color w:val="auto"/>
                <w:highlight w:val="none"/>
              </w:rPr>
            </w:pP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供应商</w:t>
            </w:r>
            <w:r>
              <w:rPr>
                <w:rFonts w:hint="eastAsia" w:ascii="宋体" w:hAnsi="宋体" w:cs="宋体"/>
                <w:color w:val="auto"/>
                <w:szCs w:val="21"/>
                <w:highlight w:val="none"/>
                <w:lang w:val="en-US" w:eastAsia="zh-CN"/>
              </w:rPr>
              <w:t>响应报价</w:t>
            </w:r>
          </w:p>
          <w:p w14:paraId="2B9D7CAC">
            <w:pPr>
              <w:spacing w:line="400" w:lineRule="exact"/>
              <w:rPr>
                <w:rFonts w:hint="eastAsia" w:ascii="宋体" w:hAnsi="宋体" w:cs="宋体"/>
                <w:bCs/>
                <w:color w:val="auto"/>
                <w:szCs w:val="21"/>
                <w:highlight w:val="none"/>
              </w:rPr>
            </w:pPr>
          </w:p>
          <w:p w14:paraId="2E686242">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注：</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小组应当将其作为无效</w:t>
            </w:r>
            <w:r>
              <w:rPr>
                <w:rFonts w:hint="eastAsia" w:ascii="宋体" w:hAnsi="宋体" w:cs="宋体"/>
                <w:bCs/>
                <w:color w:val="auto"/>
                <w:szCs w:val="21"/>
                <w:highlight w:val="none"/>
                <w:lang w:val="en-US" w:eastAsia="zh-CN"/>
              </w:rPr>
              <w:t>响应</w:t>
            </w:r>
            <w:r>
              <w:rPr>
                <w:rFonts w:hint="eastAsia" w:ascii="宋体" w:hAnsi="宋体" w:cs="宋体"/>
                <w:bCs/>
                <w:color w:val="auto"/>
                <w:szCs w:val="21"/>
                <w:highlight w:val="none"/>
              </w:rPr>
              <w:t>处理。</w:t>
            </w:r>
          </w:p>
          <w:p w14:paraId="40F150B7">
            <w:pPr>
              <w:pStyle w:val="40"/>
            </w:pPr>
          </w:p>
        </w:tc>
      </w:tr>
      <w:tr w14:paraId="0EC8F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5" w:hRule="atLeast"/>
          <w:jc w:val="center"/>
        </w:trPr>
        <w:tc>
          <w:tcPr>
            <w:tcW w:w="527" w:type="dxa"/>
            <w:vMerge w:val="restart"/>
            <w:noWrap w:val="0"/>
            <w:vAlign w:val="center"/>
          </w:tcPr>
          <w:p w14:paraId="198A698C">
            <w:pPr>
              <w:adjustRightInd w:val="0"/>
              <w:snapToGrid w:val="0"/>
              <w:spacing w:line="400" w:lineRule="exact"/>
              <w:jc w:val="center"/>
              <w:textAlignment w:val="baseline"/>
              <w:rPr>
                <w:rFonts w:hint="eastAsia" w:ascii="宋体" w:hAnsi="宋体" w:cs="宋体" w:eastAsiaTheme="minorEastAsia"/>
                <w:b/>
                <w:color w:val="auto"/>
                <w:szCs w:val="21"/>
                <w:highlight w:val="none"/>
                <w:lang w:val="en-US" w:eastAsia="zh-CN"/>
              </w:rPr>
            </w:pPr>
            <w:r>
              <w:rPr>
                <w:rFonts w:hint="eastAsia" w:ascii="宋体" w:hAnsi="宋体" w:cs="宋体"/>
                <w:b/>
                <w:color w:val="auto"/>
                <w:szCs w:val="21"/>
                <w:highlight w:val="none"/>
                <w:lang w:val="en-US" w:eastAsia="zh-CN"/>
              </w:rPr>
              <w:t>2</w:t>
            </w:r>
          </w:p>
        </w:tc>
        <w:tc>
          <w:tcPr>
            <w:tcW w:w="1065" w:type="dxa"/>
            <w:vMerge w:val="restart"/>
            <w:noWrap w:val="0"/>
            <w:vAlign w:val="center"/>
          </w:tcPr>
          <w:p w14:paraId="417F054B">
            <w:pPr>
              <w:snapToGrid w:val="0"/>
              <w:spacing w:line="400" w:lineRule="exact"/>
              <w:jc w:val="center"/>
              <w:rPr>
                <w:rFonts w:hint="eastAsia" w:ascii="宋体" w:hAnsi="宋体" w:cs="宋体"/>
                <w:b/>
                <w:color w:val="auto"/>
                <w:spacing w:val="-2"/>
                <w:szCs w:val="21"/>
                <w:highlight w:val="none"/>
              </w:rPr>
            </w:pPr>
            <w:r>
              <w:rPr>
                <w:rFonts w:hint="eastAsia" w:ascii="宋体" w:hAnsi="宋体" w:cs="宋体"/>
                <w:b/>
                <w:color w:val="auto"/>
                <w:spacing w:val="-2"/>
                <w:szCs w:val="21"/>
                <w:highlight w:val="none"/>
              </w:rPr>
              <w:t>技术分</w:t>
            </w:r>
          </w:p>
          <w:p w14:paraId="3CDFB88A">
            <w:pPr>
              <w:snapToGrid w:val="0"/>
              <w:spacing w:line="400" w:lineRule="exact"/>
              <w:jc w:val="center"/>
              <w:rPr>
                <w:rFonts w:ascii="宋体" w:hAnsi="宋体" w:cs="宋体"/>
                <w:b/>
                <w:color w:val="auto"/>
                <w:spacing w:val="-2"/>
                <w:szCs w:val="21"/>
                <w:highlight w:val="none"/>
              </w:rPr>
            </w:pPr>
            <w:r>
              <w:rPr>
                <w:rFonts w:hint="eastAsia" w:ascii="宋体" w:hAnsi="宋体" w:cs="宋体"/>
                <w:b/>
                <w:color w:val="auto"/>
                <w:spacing w:val="-2"/>
                <w:szCs w:val="21"/>
                <w:highlight w:val="none"/>
              </w:rPr>
              <w:t>（满分</w:t>
            </w:r>
            <w:r>
              <w:rPr>
                <w:rFonts w:hint="eastAsia" w:ascii="宋体" w:hAnsi="宋体" w:cs="宋体"/>
                <w:b/>
                <w:color w:val="auto"/>
                <w:spacing w:val="-2"/>
                <w:szCs w:val="21"/>
                <w:highlight w:val="none"/>
                <w:lang w:val="en-US" w:eastAsia="zh-CN"/>
              </w:rPr>
              <w:t>52</w:t>
            </w:r>
            <w:r>
              <w:rPr>
                <w:rFonts w:hint="eastAsia" w:ascii="宋体" w:hAnsi="宋体" w:cs="宋体"/>
                <w:b/>
                <w:color w:val="auto"/>
                <w:spacing w:val="-2"/>
                <w:szCs w:val="21"/>
                <w:highlight w:val="none"/>
              </w:rPr>
              <w:t>分）</w:t>
            </w:r>
          </w:p>
        </w:tc>
        <w:tc>
          <w:tcPr>
            <w:tcW w:w="1758" w:type="dxa"/>
            <w:noWrap w:val="0"/>
            <w:vAlign w:val="center"/>
          </w:tcPr>
          <w:p w14:paraId="0E409647">
            <w:pPr>
              <w:snapToGrid w:val="0"/>
              <w:spacing w:line="380" w:lineRule="exact"/>
              <w:rPr>
                <w:rFonts w:ascii="宋体" w:hAnsi="宋体" w:cs="宋体"/>
                <w:b/>
                <w:color w:val="auto"/>
                <w:szCs w:val="21"/>
                <w:highlight w:val="none"/>
              </w:rPr>
            </w:pPr>
            <w:r>
              <w:rPr>
                <w:rFonts w:hint="eastAsia" w:ascii="宋体" w:hAnsi="宋体" w:cs="宋体"/>
                <w:b/>
                <w:color w:val="auto"/>
                <w:szCs w:val="21"/>
                <w:highlight w:val="none"/>
                <w:lang w:val="en-US" w:eastAsia="zh-CN"/>
              </w:rPr>
              <w:t>技术响应分（满分10分）</w:t>
            </w:r>
          </w:p>
        </w:tc>
        <w:tc>
          <w:tcPr>
            <w:tcW w:w="6016" w:type="dxa"/>
            <w:noWrap w:val="0"/>
            <w:vAlign w:val="center"/>
          </w:tcPr>
          <w:p w14:paraId="56B73835">
            <w:pPr>
              <w:pStyle w:val="3"/>
              <w:rPr>
                <w:color w:val="auto"/>
                <w:highlight w:val="none"/>
              </w:rPr>
            </w:pPr>
            <w:r>
              <w:rPr>
                <w:rFonts w:hint="eastAsia"/>
                <w:bCs/>
                <w:color w:val="auto"/>
                <w:highlight w:val="none"/>
              </w:rPr>
              <w:t>完全满足</w:t>
            </w:r>
            <w:r>
              <w:rPr>
                <w:rFonts w:hint="eastAsia"/>
                <w:bCs/>
                <w:color w:val="auto"/>
                <w:highlight w:val="none"/>
                <w:lang w:val="en-US" w:eastAsia="zh-CN"/>
              </w:rPr>
              <w:t>采购需求</w:t>
            </w:r>
            <w:r>
              <w:rPr>
                <w:rFonts w:hint="eastAsia"/>
                <w:bCs/>
                <w:color w:val="auto"/>
                <w:highlight w:val="none"/>
              </w:rPr>
              <w:t>要求，无负偏离，得10分。</w:t>
            </w:r>
            <w:r>
              <w:rPr>
                <w:rFonts w:hint="eastAsia"/>
                <w:bCs/>
                <w:color w:val="auto"/>
                <w:highlight w:val="none"/>
                <w:lang w:val="en-US" w:eastAsia="zh-CN"/>
              </w:rPr>
              <w:t>未标注</w:t>
            </w:r>
            <w:r>
              <w:rPr>
                <w:rFonts w:hint="eastAsia" w:ascii="宋体" w:hAnsi="宋体" w:eastAsia="宋体" w:cs="宋体"/>
                <w:b/>
                <w:bCs/>
                <w:color w:val="auto"/>
                <w:kern w:val="2"/>
                <w:sz w:val="21"/>
                <w:szCs w:val="21"/>
              </w:rPr>
              <w:t>★</w:t>
            </w:r>
            <w:r>
              <w:rPr>
                <w:rFonts w:hint="eastAsia" w:ascii="宋体" w:hAnsi="宋体" w:cs="宋体"/>
                <w:b w:val="0"/>
                <w:bCs w:val="0"/>
                <w:color w:val="auto"/>
                <w:kern w:val="2"/>
                <w:sz w:val="21"/>
                <w:szCs w:val="21"/>
                <w:lang w:val="en-US" w:eastAsia="zh-CN"/>
              </w:rPr>
              <w:t>号的</w:t>
            </w:r>
            <w:r>
              <w:rPr>
                <w:rFonts w:hint="eastAsia"/>
                <w:bCs/>
                <w:color w:val="auto"/>
                <w:highlight w:val="none"/>
              </w:rPr>
              <w:t>每出现一个负偏离或漏项，每1个扣5分，直到扣完本项分值。</w:t>
            </w:r>
          </w:p>
        </w:tc>
      </w:tr>
      <w:tr w14:paraId="4A941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527" w:type="dxa"/>
            <w:vMerge w:val="continue"/>
            <w:noWrap w:val="0"/>
            <w:vAlign w:val="center"/>
          </w:tcPr>
          <w:p w14:paraId="48CD4371">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60F6D040">
            <w:pPr>
              <w:snapToGrid w:val="0"/>
              <w:spacing w:line="400" w:lineRule="exact"/>
              <w:jc w:val="center"/>
              <w:rPr>
                <w:rFonts w:ascii="宋体" w:hAnsi="宋体" w:cs="宋体"/>
                <w:b/>
                <w:color w:val="auto"/>
                <w:spacing w:val="-2"/>
                <w:szCs w:val="21"/>
                <w:highlight w:val="none"/>
              </w:rPr>
            </w:pPr>
          </w:p>
        </w:tc>
        <w:tc>
          <w:tcPr>
            <w:tcW w:w="1758" w:type="dxa"/>
            <w:shd w:val="clear" w:color="auto" w:fill="auto"/>
            <w:noWrap w:val="0"/>
            <w:vAlign w:val="center"/>
          </w:tcPr>
          <w:p w14:paraId="3F772DDA">
            <w:pPr>
              <w:snapToGrid w:val="0"/>
              <w:spacing w:line="380" w:lineRule="exact"/>
              <w:rPr>
                <w:rFonts w:hint="eastAsia" w:ascii="宋体" w:hAnsi="宋体" w:cs="宋体" w:eastAsiaTheme="minorEastAsia"/>
                <w:b/>
                <w:color w:val="auto"/>
                <w:kern w:val="2"/>
                <w:sz w:val="21"/>
                <w:szCs w:val="21"/>
                <w:highlight w:val="none"/>
                <w:lang w:val="en-US" w:eastAsia="zh-CN" w:bidi="ar-SA"/>
              </w:rPr>
            </w:pPr>
            <w:r>
              <w:rPr>
                <w:rFonts w:hint="eastAsia" w:ascii="宋体" w:hAnsi="宋体" w:cs="宋体"/>
                <w:b/>
                <w:color w:val="auto"/>
                <w:szCs w:val="21"/>
                <w:highlight w:val="none"/>
                <w:lang w:val="en-US" w:eastAsia="zh-CN"/>
              </w:rPr>
              <w:t>样品质量分（满分15分）</w:t>
            </w:r>
          </w:p>
        </w:tc>
        <w:tc>
          <w:tcPr>
            <w:tcW w:w="6016" w:type="dxa"/>
            <w:shd w:val="clear" w:color="auto" w:fill="auto"/>
            <w:noWrap w:val="0"/>
            <w:vAlign w:val="center"/>
          </w:tcPr>
          <w:p w14:paraId="53AE9AD4">
            <w:pPr>
              <w:adjustRightInd w:val="0"/>
              <w:spacing w:line="360" w:lineRule="exact"/>
              <w:jc w:val="left"/>
              <w:textAlignment w:val="baseline"/>
              <w:rPr>
                <w:rFonts w:hint="eastAsia" w:eastAsiaTheme="minorEastAsia"/>
                <w:bCs/>
                <w:color w:val="auto"/>
                <w:highlight w:val="none"/>
                <w:lang w:eastAsia="zh-CN"/>
              </w:rPr>
            </w:pPr>
            <w:r>
              <w:rPr>
                <w:rFonts w:hint="eastAsia"/>
                <w:bCs/>
                <w:color w:val="auto"/>
                <w:highlight w:val="none"/>
              </w:rPr>
              <w:t>根据</w:t>
            </w:r>
            <w:r>
              <w:rPr>
                <w:rFonts w:hint="eastAsia"/>
                <w:bCs/>
                <w:color w:val="auto"/>
                <w:highlight w:val="none"/>
                <w:lang w:val="en-US" w:eastAsia="zh-CN"/>
              </w:rPr>
              <w:t>响应</w:t>
            </w:r>
            <w:r>
              <w:rPr>
                <w:rFonts w:hint="eastAsia"/>
                <w:bCs/>
                <w:color w:val="auto"/>
                <w:highlight w:val="none"/>
              </w:rPr>
              <w:t>人提供的样品质量进行现场评审</w:t>
            </w:r>
            <w:r>
              <w:rPr>
                <w:rFonts w:hint="eastAsia"/>
                <w:bCs/>
                <w:color w:val="auto"/>
                <w:highlight w:val="none"/>
                <w:lang w:eastAsia="zh-CN"/>
              </w:rPr>
              <w:t>：</w:t>
            </w:r>
          </w:p>
          <w:p w14:paraId="739A87FA">
            <w:pPr>
              <w:adjustRightInd w:val="0"/>
              <w:spacing w:line="360" w:lineRule="exact"/>
              <w:jc w:val="left"/>
              <w:textAlignment w:val="baseline"/>
              <w:rPr>
                <w:bCs/>
                <w:color w:val="auto"/>
                <w:highlight w:val="none"/>
              </w:rPr>
            </w:pPr>
            <w:r>
              <w:rPr>
                <w:rFonts w:hint="eastAsia"/>
                <w:bCs/>
                <w:color w:val="auto"/>
                <w:highlight w:val="none"/>
              </w:rPr>
              <w:t>一档（</w:t>
            </w:r>
            <w:r>
              <w:rPr>
                <w:rFonts w:hint="eastAsia"/>
                <w:bCs/>
                <w:color w:val="auto"/>
                <w:highlight w:val="none"/>
                <w:lang w:val="en-US" w:eastAsia="zh-CN"/>
              </w:rPr>
              <w:t>5</w:t>
            </w:r>
            <w:r>
              <w:rPr>
                <w:rFonts w:hint="eastAsia"/>
                <w:bCs/>
                <w:color w:val="auto"/>
                <w:highlight w:val="none"/>
              </w:rPr>
              <w:t>分）：样品</w:t>
            </w:r>
            <w:r>
              <w:rPr>
                <w:rFonts w:hint="eastAsia"/>
                <w:bCs/>
                <w:color w:val="auto"/>
                <w:highlight w:val="none"/>
                <w:lang w:val="en-US" w:eastAsia="zh-CN"/>
              </w:rPr>
              <w:t>基本满足需求</w:t>
            </w:r>
            <w:r>
              <w:rPr>
                <w:rFonts w:hint="eastAsia"/>
                <w:bCs/>
                <w:color w:val="auto"/>
                <w:highlight w:val="none"/>
              </w:rPr>
              <w:t>，无明显瑕疵</w:t>
            </w:r>
            <w:r>
              <w:rPr>
                <w:rFonts w:hint="eastAsia"/>
                <w:bCs/>
                <w:color w:val="auto"/>
                <w:highlight w:val="none"/>
                <w:lang w:eastAsia="zh-CN"/>
              </w:rPr>
              <w:t>，简易倒水试验，表面有明显的水珠滚落，无水珠处无浸润现象</w:t>
            </w:r>
            <w:r>
              <w:rPr>
                <w:rFonts w:hint="eastAsia"/>
                <w:bCs/>
                <w:color w:val="auto"/>
                <w:highlight w:val="none"/>
              </w:rPr>
              <w:t>；</w:t>
            </w:r>
          </w:p>
          <w:p w14:paraId="667C371E">
            <w:pPr>
              <w:adjustRightInd w:val="0"/>
              <w:spacing w:line="360" w:lineRule="exact"/>
              <w:jc w:val="left"/>
              <w:textAlignment w:val="baseline"/>
              <w:rPr>
                <w:bCs/>
                <w:color w:val="auto"/>
                <w:highlight w:val="none"/>
              </w:rPr>
            </w:pPr>
            <w:r>
              <w:rPr>
                <w:rFonts w:hint="eastAsia"/>
                <w:bCs/>
                <w:color w:val="auto"/>
                <w:highlight w:val="none"/>
              </w:rPr>
              <w:t>二档（</w:t>
            </w:r>
            <w:r>
              <w:rPr>
                <w:rFonts w:hint="eastAsia"/>
                <w:bCs/>
                <w:color w:val="auto"/>
                <w:highlight w:val="none"/>
                <w:lang w:val="en-US" w:eastAsia="zh-CN"/>
              </w:rPr>
              <w:t>10</w:t>
            </w:r>
            <w:r>
              <w:rPr>
                <w:rFonts w:hint="eastAsia"/>
                <w:bCs/>
                <w:color w:val="auto"/>
                <w:highlight w:val="none"/>
              </w:rPr>
              <w:t>分）：在满足一档基础上，整体质量更好，涂银层均匀、牢固，无掉银/裂纹/白痕</w:t>
            </w:r>
            <w:r>
              <w:rPr>
                <w:rFonts w:hint="eastAsia"/>
                <w:bCs/>
                <w:color w:val="auto"/>
                <w:highlight w:val="none"/>
                <w:lang w:eastAsia="zh-CN"/>
              </w:rPr>
              <w:t>。简易倒水试验，水珠在表面独立滚动，静置3分钟后观察，水珠覆盖处仍无水渍或浸润痕迹</w:t>
            </w:r>
            <w:r>
              <w:rPr>
                <w:rFonts w:hint="eastAsia"/>
                <w:bCs/>
                <w:color w:val="auto"/>
                <w:highlight w:val="none"/>
              </w:rPr>
              <w:t>；</w:t>
            </w:r>
          </w:p>
          <w:p w14:paraId="669CD62B">
            <w:pPr>
              <w:adjustRightInd w:val="0"/>
              <w:spacing w:line="360" w:lineRule="exact"/>
              <w:jc w:val="left"/>
              <w:textAlignment w:val="baseline"/>
              <w:rPr>
                <w:rFonts w:hint="eastAsia" w:ascii="Calibri" w:hAnsi="Calibri" w:eastAsia="宋体" w:cs="Times New Roman"/>
                <w:color w:val="auto"/>
                <w:kern w:val="2"/>
                <w:sz w:val="21"/>
                <w:szCs w:val="22"/>
                <w:highlight w:val="none"/>
                <w:lang w:val="en-US" w:eastAsia="zh-CN" w:bidi="ar-SA"/>
              </w:rPr>
            </w:pPr>
            <w:r>
              <w:rPr>
                <w:rFonts w:hint="eastAsia"/>
                <w:bCs/>
                <w:color w:val="auto"/>
                <w:highlight w:val="none"/>
              </w:rPr>
              <w:t>三档（</w:t>
            </w:r>
            <w:r>
              <w:rPr>
                <w:rFonts w:hint="eastAsia"/>
                <w:bCs/>
                <w:color w:val="auto"/>
                <w:highlight w:val="none"/>
                <w:lang w:val="en-US" w:eastAsia="zh-CN"/>
              </w:rPr>
              <w:t>15</w:t>
            </w:r>
            <w:r>
              <w:rPr>
                <w:rFonts w:hint="eastAsia"/>
                <w:bCs/>
                <w:color w:val="auto"/>
                <w:highlight w:val="none"/>
              </w:rPr>
              <w:t>分）：在满足二档基础上，材质、工艺、性能完全满足或优于</w:t>
            </w:r>
            <w:r>
              <w:rPr>
                <w:rFonts w:hint="eastAsia"/>
                <w:bCs/>
                <w:color w:val="auto"/>
                <w:highlight w:val="none"/>
                <w:lang w:val="en-US" w:eastAsia="zh-CN"/>
              </w:rPr>
              <w:t>采购文件</w:t>
            </w:r>
            <w:r>
              <w:rPr>
                <w:rFonts w:hint="eastAsia"/>
                <w:bCs/>
                <w:color w:val="auto"/>
                <w:highlight w:val="none"/>
              </w:rPr>
              <w:t>要求，做工精细</w:t>
            </w:r>
            <w:r>
              <w:rPr>
                <w:rFonts w:hint="eastAsia"/>
                <w:bCs/>
                <w:color w:val="auto"/>
                <w:highlight w:val="none"/>
                <w:lang w:eastAsia="zh-CN"/>
              </w:rPr>
              <w:t>，涂银层高亮均匀、无任何瑕疵，反复揉搓不掉银。</w:t>
            </w:r>
            <w:r>
              <w:rPr>
                <w:rFonts w:hint="eastAsia"/>
                <w:bCs/>
                <w:color w:val="auto"/>
                <w:highlight w:val="none"/>
                <w:lang w:val="en-US" w:eastAsia="zh-CN"/>
              </w:rPr>
              <w:t>简易倒水试验，水珠在表面迅速滚落，用干燥的纸巾用力按压水珠区域，纸巾保持干燥，完全不湿润</w:t>
            </w:r>
            <w:r>
              <w:rPr>
                <w:rFonts w:hint="eastAsia"/>
                <w:bCs/>
                <w:color w:val="auto"/>
                <w:highlight w:val="none"/>
                <w:lang w:eastAsia="zh-CN"/>
              </w:rPr>
              <w:t>。</w:t>
            </w:r>
          </w:p>
        </w:tc>
      </w:tr>
      <w:tr w14:paraId="43CDA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5" w:hRule="atLeast"/>
          <w:jc w:val="center"/>
        </w:trPr>
        <w:tc>
          <w:tcPr>
            <w:tcW w:w="527" w:type="dxa"/>
            <w:vMerge w:val="continue"/>
            <w:noWrap w:val="0"/>
            <w:vAlign w:val="center"/>
          </w:tcPr>
          <w:p w14:paraId="0C29F729">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080F2CAB">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4EF9FB74">
            <w:pPr>
              <w:widowControl/>
              <w:spacing w:line="4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产品质量保障措施分（满分</w:t>
            </w:r>
            <w:r>
              <w:rPr>
                <w:rFonts w:hint="eastAsia" w:ascii="宋体" w:hAnsi="宋体" w:cs="宋体"/>
                <w:b/>
                <w:color w:val="auto"/>
                <w:szCs w:val="21"/>
                <w:highlight w:val="none"/>
                <w:lang w:val="en-US" w:eastAsia="zh-CN"/>
              </w:rPr>
              <w:t>15</w:t>
            </w:r>
            <w:r>
              <w:rPr>
                <w:rFonts w:hint="eastAsia" w:ascii="宋体" w:hAnsi="宋体" w:cs="宋体"/>
                <w:b/>
                <w:color w:val="auto"/>
                <w:szCs w:val="21"/>
                <w:highlight w:val="none"/>
              </w:rPr>
              <w:t>分）</w:t>
            </w:r>
          </w:p>
        </w:tc>
        <w:tc>
          <w:tcPr>
            <w:tcW w:w="6016" w:type="dxa"/>
            <w:noWrap w:val="0"/>
            <w:vAlign w:val="center"/>
          </w:tcPr>
          <w:p w14:paraId="62030604">
            <w:pPr>
              <w:pStyle w:val="3"/>
              <w:rPr>
                <w:color w:val="auto"/>
                <w:highlight w:val="none"/>
              </w:rPr>
            </w:pPr>
            <w:r>
              <w:rPr>
                <w:rFonts w:hint="eastAsia"/>
                <w:color w:val="auto"/>
                <w:highlight w:val="none"/>
              </w:rPr>
              <w:t>一档（</w:t>
            </w:r>
            <w:r>
              <w:rPr>
                <w:rFonts w:hint="eastAsia"/>
                <w:color w:val="auto"/>
                <w:highlight w:val="none"/>
                <w:lang w:val="en-US" w:eastAsia="zh-CN"/>
              </w:rPr>
              <w:t>5</w:t>
            </w:r>
            <w:r>
              <w:rPr>
                <w:rFonts w:hint="eastAsia"/>
                <w:color w:val="auto"/>
                <w:highlight w:val="none"/>
              </w:rPr>
              <w:t xml:space="preserve">分）：提供简单的产品质量保障措施，有简单的产品质量标准要求； </w:t>
            </w:r>
          </w:p>
          <w:p w14:paraId="4A7FB75C">
            <w:pPr>
              <w:pStyle w:val="3"/>
              <w:rPr>
                <w:color w:val="auto"/>
                <w:highlight w:val="none"/>
              </w:rPr>
            </w:pPr>
            <w:r>
              <w:rPr>
                <w:rFonts w:hint="eastAsia"/>
                <w:color w:val="auto"/>
                <w:highlight w:val="none"/>
              </w:rPr>
              <w:t>二档（</w:t>
            </w:r>
            <w:r>
              <w:rPr>
                <w:rFonts w:hint="eastAsia"/>
                <w:color w:val="auto"/>
                <w:highlight w:val="none"/>
                <w:lang w:val="en-US" w:eastAsia="zh-CN"/>
              </w:rPr>
              <w:t>10</w:t>
            </w:r>
            <w:r>
              <w:rPr>
                <w:rFonts w:hint="eastAsia"/>
                <w:color w:val="auto"/>
                <w:highlight w:val="none"/>
              </w:rPr>
              <w:t xml:space="preserve">分）：提供的产品质量保障措施优于一档，明确产品质量标准、制定严格的生产管理流程和质量控制标准，确保每一道工序都符合质量要求； </w:t>
            </w:r>
          </w:p>
          <w:p w14:paraId="041CB85A">
            <w:pPr>
              <w:pStyle w:val="3"/>
              <w:rPr>
                <w:color w:val="auto"/>
                <w:highlight w:val="none"/>
              </w:rPr>
            </w:pPr>
            <w:r>
              <w:rPr>
                <w:rFonts w:hint="eastAsia"/>
                <w:color w:val="auto"/>
                <w:highlight w:val="none"/>
              </w:rPr>
              <w:t>三档（</w:t>
            </w:r>
            <w:r>
              <w:rPr>
                <w:rFonts w:hint="eastAsia"/>
                <w:color w:val="auto"/>
                <w:highlight w:val="none"/>
                <w:lang w:val="en-US" w:eastAsia="zh-CN"/>
              </w:rPr>
              <w:t>15</w:t>
            </w:r>
            <w:r>
              <w:rPr>
                <w:rFonts w:hint="eastAsia"/>
                <w:color w:val="auto"/>
                <w:highlight w:val="none"/>
              </w:rPr>
              <w:t>分）：提供的产品质量保障措施优于二档，明确产品质量标准、制定严格的生产管理流程和质量控制标准，承诺产品从设计到制作、从原材料到成品的每一个环节都符合质量要求。建立反馈机制，定期收集产品的反馈意见，分析并改进产品中存在的问题，不断提高产品质量 。</w:t>
            </w:r>
          </w:p>
          <w:p w14:paraId="371820B5">
            <w:pPr>
              <w:adjustRightInd w:val="0"/>
              <w:spacing w:line="400" w:lineRule="exact"/>
              <w:textAlignment w:val="baseline"/>
              <w:rPr>
                <w:rFonts w:hint="eastAsia"/>
              </w:rPr>
            </w:pPr>
            <w:r>
              <w:rPr>
                <w:rFonts w:hint="eastAsia"/>
                <w:color w:val="auto"/>
                <w:highlight w:val="none"/>
              </w:rPr>
              <w:t>注：未提供或不满足进档要求的不得分。</w:t>
            </w:r>
          </w:p>
        </w:tc>
      </w:tr>
      <w:tr w14:paraId="4E12B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0B33C6FC">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5AFB1E29">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39037788">
            <w:pPr>
              <w:snapToGrid w:val="0"/>
              <w:spacing w:line="380" w:lineRule="exact"/>
              <w:rPr>
                <w:rFonts w:ascii="宋体" w:hAnsi="宋体" w:cs="宋体"/>
                <w:b/>
                <w:color w:val="auto"/>
                <w:szCs w:val="21"/>
                <w:highlight w:val="none"/>
              </w:rPr>
            </w:pPr>
            <w:r>
              <w:rPr>
                <w:rFonts w:hint="eastAsia" w:ascii="宋体" w:hAnsi="宋体" w:cs="宋体"/>
                <w:b/>
                <w:color w:val="auto"/>
                <w:kern w:val="0"/>
                <w:szCs w:val="21"/>
                <w:highlight w:val="none"/>
              </w:rPr>
              <w:t>售后服务方案分</w:t>
            </w:r>
            <w:r>
              <w:rPr>
                <w:rFonts w:ascii="宋体" w:hAnsi="宋体" w:cs="宋体"/>
                <w:b/>
                <w:color w:val="auto"/>
                <w:kern w:val="0"/>
                <w:szCs w:val="21"/>
                <w:highlight w:val="none"/>
              </w:rPr>
              <w:t>（</w:t>
            </w:r>
            <w:r>
              <w:rPr>
                <w:rFonts w:hint="eastAsia" w:ascii="宋体" w:hAnsi="宋体" w:cs="宋体"/>
                <w:b/>
                <w:color w:val="auto"/>
                <w:kern w:val="0"/>
                <w:szCs w:val="21"/>
                <w:highlight w:val="none"/>
              </w:rPr>
              <w:t>满分</w:t>
            </w:r>
            <w:r>
              <w:rPr>
                <w:rFonts w:hint="eastAsia" w:ascii="宋体" w:hAnsi="宋体" w:cs="宋体"/>
                <w:b/>
                <w:color w:val="auto"/>
                <w:kern w:val="0"/>
                <w:szCs w:val="21"/>
                <w:highlight w:val="none"/>
                <w:lang w:val="en-US" w:eastAsia="zh-CN"/>
              </w:rPr>
              <w:t>12</w:t>
            </w:r>
            <w:r>
              <w:rPr>
                <w:rFonts w:ascii="宋体" w:hAnsi="宋体" w:cs="宋体"/>
                <w:b/>
                <w:color w:val="auto"/>
                <w:kern w:val="0"/>
                <w:szCs w:val="21"/>
                <w:highlight w:val="none"/>
              </w:rPr>
              <w:t>分）</w:t>
            </w:r>
          </w:p>
        </w:tc>
        <w:tc>
          <w:tcPr>
            <w:tcW w:w="6016" w:type="dxa"/>
            <w:noWrap w:val="0"/>
            <w:vAlign w:val="center"/>
          </w:tcPr>
          <w:p w14:paraId="6CFAE8A8">
            <w:pPr>
              <w:pStyle w:val="3"/>
              <w:rPr>
                <w:rFonts w:hint="eastAsia"/>
                <w:color w:val="auto"/>
                <w:highlight w:val="none"/>
              </w:rPr>
            </w:pPr>
          </w:p>
          <w:p w14:paraId="6B248995">
            <w:pPr>
              <w:pStyle w:val="3"/>
              <w:rPr>
                <w:color w:val="auto"/>
                <w:highlight w:val="none"/>
              </w:rPr>
            </w:pPr>
            <w:r>
              <w:rPr>
                <w:rFonts w:hint="eastAsia"/>
                <w:color w:val="auto"/>
                <w:highlight w:val="none"/>
              </w:rPr>
              <w:t>一档（</w:t>
            </w:r>
            <w:r>
              <w:rPr>
                <w:rFonts w:hint="eastAsia"/>
                <w:color w:val="auto"/>
                <w:highlight w:val="none"/>
                <w:lang w:val="en-US" w:eastAsia="zh-CN"/>
              </w:rPr>
              <w:t>4</w:t>
            </w:r>
            <w:r>
              <w:rPr>
                <w:rFonts w:hint="eastAsia"/>
                <w:color w:val="auto"/>
                <w:highlight w:val="none"/>
              </w:rPr>
              <w:t>分）：提供简单的售后服务方案，</w:t>
            </w:r>
            <w:r>
              <w:rPr>
                <w:rFonts w:hint="eastAsia"/>
                <w:color w:val="auto"/>
                <w:highlight w:val="none"/>
                <w:lang w:val="en-US" w:eastAsia="zh-CN"/>
              </w:rPr>
              <w:t>包含响应时间</w:t>
            </w:r>
            <w:r>
              <w:rPr>
                <w:rFonts w:hint="eastAsia"/>
                <w:color w:val="auto"/>
                <w:highlight w:val="none"/>
              </w:rPr>
              <w:t>、出现</w:t>
            </w:r>
            <w:r>
              <w:rPr>
                <w:rFonts w:hint="eastAsia"/>
                <w:color w:val="auto"/>
                <w:highlight w:val="none"/>
                <w:lang w:val="en-US" w:eastAsia="zh-CN"/>
              </w:rPr>
              <w:t>问题</w:t>
            </w:r>
            <w:r>
              <w:rPr>
                <w:rFonts w:hint="eastAsia"/>
                <w:color w:val="auto"/>
                <w:highlight w:val="none"/>
              </w:rPr>
              <w:t>解决方案等内容；</w:t>
            </w:r>
          </w:p>
          <w:p w14:paraId="6061A0DB">
            <w:pPr>
              <w:pStyle w:val="3"/>
              <w:rPr>
                <w:color w:val="auto"/>
                <w:highlight w:val="none"/>
              </w:rPr>
            </w:pPr>
            <w:r>
              <w:rPr>
                <w:rFonts w:hint="eastAsia"/>
                <w:color w:val="auto"/>
                <w:highlight w:val="none"/>
              </w:rPr>
              <w:t>二档（</w:t>
            </w:r>
            <w:r>
              <w:rPr>
                <w:rFonts w:hint="eastAsia"/>
                <w:color w:val="auto"/>
                <w:highlight w:val="none"/>
                <w:lang w:val="en-US" w:eastAsia="zh-CN"/>
              </w:rPr>
              <w:t>8</w:t>
            </w:r>
            <w:r>
              <w:rPr>
                <w:rFonts w:hint="eastAsia"/>
                <w:color w:val="auto"/>
                <w:highlight w:val="none"/>
              </w:rPr>
              <w:t>分）：售后服务方案优于一档，包含</w:t>
            </w:r>
            <w:r>
              <w:rPr>
                <w:rFonts w:hint="eastAsia"/>
                <w:color w:val="auto"/>
                <w:highlight w:val="none"/>
                <w:lang w:val="en-US" w:eastAsia="zh-CN"/>
              </w:rPr>
              <w:t>响应时间</w:t>
            </w:r>
            <w:r>
              <w:rPr>
                <w:rFonts w:hint="eastAsia"/>
                <w:color w:val="auto"/>
                <w:highlight w:val="none"/>
              </w:rPr>
              <w:t>、出现</w:t>
            </w:r>
            <w:r>
              <w:rPr>
                <w:rFonts w:hint="eastAsia"/>
                <w:color w:val="auto"/>
                <w:highlight w:val="none"/>
                <w:lang w:val="en-US" w:eastAsia="zh-CN"/>
              </w:rPr>
              <w:t>问题</w:t>
            </w:r>
            <w:r>
              <w:rPr>
                <w:rFonts w:hint="eastAsia"/>
                <w:color w:val="auto"/>
                <w:highlight w:val="none"/>
              </w:rPr>
              <w:t>解决方案、售后服务机构及团队、</w:t>
            </w:r>
            <w:r>
              <w:rPr>
                <w:rFonts w:hint="eastAsia"/>
                <w:color w:val="auto"/>
                <w:highlight w:val="none"/>
                <w:lang w:val="en-US" w:eastAsia="zh-CN"/>
              </w:rPr>
              <w:t>与采购人沟通机制，应急预案等内容</w:t>
            </w:r>
            <w:r>
              <w:rPr>
                <w:rFonts w:hint="eastAsia"/>
                <w:color w:val="auto"/>
                <w:highlight w:val="none"/>
              </w:rPr>
              <w:t xml:space="preserve">； </w:t>
            </w:r>
          </w:p>
          <w:p w14:paraId="3A99E95D">
            <w:pPr>
              <w:pStyle w:val="3"/>
              <w:rPr>
                <w:color w:val="auto"/>
                <w:highlight w:val="none"/>
              </w:rPr>
            </w:pPr>
            <w:r>
              <w:rPr>
                <w:rFonts w:hint="eastAsia"/>
                <w:color w:val="auto"/>
                <w:highlight w:val="none"/>
              </w:rPr>
              <w:t>三档（</w:t>
            </w:r>
            <w:r>
              <w:rPr>
                <w:rFonts w:hint="eastAsia"/>
                <w:color w:val="auto"/>
                <w:highlight w:val="none"/>
                <w:lang w:val="en-US" w:eastAsia="zh-CN"/>
              </w:rPr>
              <w:t>12</w:t>
            </w:r>
            <w:r>
              <w:rPr>
                <w:rFonts w:hint="eastAsia"/>
                <w:color w:val="auto"/>
                <w:highlight w:val="none"/>
              </w:rPr>
              <w:t>分）：售后服务方案优于二档，包含</w:t>
            </w:r>
            <w:r>
              <w:rPr>
                <w:rFonts w:hint="eastAsia"/>
                <w:color w:val="auto"/>
                <w:highlight w:val="none"/>
                <w:lang w:val="en-US" w:eastAsia="zh-CN"/>
              </w:rPr>
              <w:t>响应时间</w:t>
            </w:r>
            <w:r>
              <w:rPr>
                <w:rFonts w:hint="eastAsia"/>
                <w:color w:val="auto"/>
                <w:highlight w:val="none"/>
              </w:rPr>
              <w:t>、出现</w:t>
            </w:r>
            <w:r>
              <w:rPr>
                <w:rFonts w:hint="eastAsia"/>
                <w:color w:val="auto"/>
                <w:highlight w:val="none"/>
                <w:lang w:val="en-US" w:eastAsia="zh-CN"/>
              </w:rPr>
              <w:t>问题</w:t>
            </w:r>
            <w:r>
              <w:rPr>
                <w:rFonts w:hint="eastAsia"/>
                <w:color w:val="auto"/>
                <w:highlight w:val="none"/>
              </w:rPr>
              <w:t>解决方案、售后服务机构及团队、</w:t>
            </w:r>
            <w:r>
              <w:rPr>
                <w:rFonts w:hint="eastAsia"/>
                <w:color w:val="auto"/>
                <w:highlight w:val="none"/>
                <w:lang w:val="en-US" w:eastAsia="zh-CN"/>
              </w:rPr>
              <w:t>与采购人沟通机制，应急预案、保密机制等内容</w:t>
            </w:r>
            <w:r>
              <w:rPr>
                <w:rFonts w:hint="eastAsia"/>
                <w:color w:val="auto"/>
                <w:highlight w:val="none"/>
              </w:rPr>
              <w:t>，能提供本地化服务，本地化服务须提供相关证明材料（例如项目售后服务机构基本情况、售后服务人员配置等）。</w:t>
            </w:r>
          </w:p>
          <w:p w14:paraId="5C293451">
            <w:pPr>
              <w:pStyle w:val="3"/>
              <w:rPr>
                <w:rFonts w:hint="eastAsia"/>
                <w:color w:val="auto"/>
                <w:highlight w:val="none"/>
              </w:rPr>
            </w:pPr>
            <w:r>
              <w:rPr>
                <w:rFonts w:hint="eastAsia"/>
                <w:color w:val="auto"/>
                <w:highlight w:val="none"/>
              </w:rPr>
              <w:t>注：未提供或不满足进档要求不得分。</w:t>
            </w:r>
          </w:p>
          <w:p w14:paraId="12A994B5">
            <w:pPr>
              <w:pStyle w:val="3"/>
              <w:rPr>
                <w:rFonts w:hint="eastAsia"/>
                <w:color w:val="auto"/>
                <w:highlight w:val="none"/>
              </w:rPr>
            </w:pPr>
          </w:p>
        </w:tc>
      </w:tr>
      <w:tr w14:paraId="0FF52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restart"/>
            <w:noWrap w:val="0"/>
            <w:vAlign w:val="center"/>
          </w:tcPr>
          <w:p w14:paraId="2F13F157">
            <w:pPr>
              <w:adjustRightInd w:val="0"/>
              <w:snapToGrid w:val="0"/>
              <w:spacing w:line="400" w:lineRule="exac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3</w:t>
            </w:r>
          </w:p>
        </w:tc>
        <w:tc>
          <w:tcPr>
            <w:tcW w:w="1065" w:type="dxa"/>
            <w:vMerge w:val="restart"/>
            <w:noWrap w:val="0"/>
            <w:vAlign w:val="center"/>
          </w:tcPr>
          <w:p w14:paraId="20E24D1F">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color w:val="auto"/>
                <w:spacing w:val="-2"/>
                <w:szCs w:val="21"/>
                <w:highlight w:val="none"/>
              </w:rPr>
              <w:t>商务分（</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18</w:t>
            </w:r>
            <w:r>
              <w:rPr>
                <w:rFonts w:hint="eastAsia" w:ascii="宋体" w:hAnsi="宋体" w:cs="宋体"/>
                <w:b/>
                <w:color w:val="auto"/>
                <w:spacing w:val="-2"/>
                <w:szCs w:val="21"/>
                <w:highlight w:val="none"/>
              </w:rPr>
              <w:t>分）</w:t>
            </w:r>
          </w:p>
        </w:tc>
        <w:tc>
          <w:tcPr>
            <w:tcW w:w="1758" w:type="dxa"/>
            <w:noWrap w:val="0"/>
            <w:vAlign w:val="center"/>
          </w:tcPr>
          <w:p w14:paraId="194D7D63">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业绩分</w:t>
            </w:r>
          </w:p>
          <w:p w14:paraId="68D08F75">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满分</w:t>
            </w:r>
            <w:r>
              <w:rPr>
                <w:rFonts w:hint="eastAsia" w:ascii="宋体" w:hAnsi="宋体" w:cs="宋体"/>
                <w:b/>
                <w:bCs/>
                <w:color w:val="auto"/>
                <w:szCs w:val="21"/>
                <w:highlight w:val="none"/>
                <w:lang w:val="en-US" w:eastAsia="zh-CN"/>
              </w:rPr>
              <w:t>8</w:t>
            </w:r>
            <w:r>
              <w:rPr>
                <w:rFonts w:ascii="宋体" w:hAnsi="宋体" w:cs="宋体"/>
                <w:b/>
                <w:bCs/>
                <w:color w:val="auto"/>
                <w:szCs w:val="21"/>
                <w:highlight w:val="none"/>
              </w:rPr>
              <w:t>分</w:t>
            </w:r>
            <w:r>
              <w:rPr>
                <w:rFonts w:hint="eastAsia" w:ascii="宋体" w:hAnsi="宋体" w:cs="宋体"/>
                <w:b/>
                <w:bCs/>
                <w:color w:val="auto"/>
                <w:szCs w:val="21"/>
                <w:highlight w:val="none"/>
              </w:rPr>
              <w:t>）</w:t>
            </w:r>
          </w:p>
        </w:tc>
        <w:tc>
          <w:tcPr>
            <w:tcW w:w="6016" w:type="dxa"/>
            <w:noWrap w:val="0"/>
            <w:vAlign w:val="center"/>
          </w:tcPr>
          <w:p w14:paraId="49C1E5F7">
            <w:pPr>
              <w:pStyle w:val="3"/>
              <w:rPr>
                <w:rFonts w:hint="eastAsia"/>
                <w:color w:val="auto"/>
                <w:highlight w:val="none"/>
                <w:lang w:val="en-US" w:eastAsia="zh-CN"/>
              </w:rPr>
            </w:pPr>
          </w:p>
          <w:p w14:paraId="19DBCE2A">
            <w:pPr>
              <w:pStyle w:val="3"/>
              <w:rPr>
                <w:color w:val="auto"/>
                <w:highlight w:val="none"/>
              </w:rPr>
            </w:pPr>
            <w:r>
              <w:rPr>
                <w:rFonts w:hint="eastAsia"/>
                <w:color w:val="auto"/>
                <w:highlight w:val="none"/>
                <w:lang w:val="en-US" w:eastAsia="zh-CN"/>
              </w:rPr>
              <w:t>自2023年1月1日</w:t>
            </w:r>
            <w:r>
              <w:rPr>
                <w:rFonts w:hint="eastAsia"/>
                <w:color w:val="auto"/>
                <w:highlight w:val="none"/>
              </w:rPr>
              <w:t>以来（以合同签订时间为准），</w:t>
            </w:r>
            <w:r>
              <w:rPr>
                <w:rFonts w:hint="eastAsia"/>
                <w:color w:val="auto"/>
                <w:highlight w:val="none"/>
                <w:lang w:val="en-US" w:eastAsia="zh-CN"/>
              </w:rPr>
              <w:t>响应供应商</w:t>
            </w:r>
            <w:r>
              <w:rPr>
                <w:rFonts w:hint="eastAsia"/>
                <w:color w:val="auto"/>
                <w:highlight w:val="none"/>
              </w:rPr>
              <w:t>具有同类项目业绩的，每个得</w:t>
            </w:r>
            <w:r>
              <w:rPr>
                <w:rFonts w:hint="eastAsia"/>
                <w:color w:val="auto"/>
                <w:highlight w:val="none"/>
                <w:lang w:val="en-US" w:eastAsia="zh-CN"/>
              </w:rPr>
              <w:t>2</w:t>
            </w:r>
            <w:r>
              <w:rPr>
                <w:rFonts w:hint="eastAsia"/>
                <w:color w:val="auto"/>
                <w:highlight w:val="none"/>
              </w:rPr>
              <w:t>分，满分</w:t>
            </w:r>
            <w:r>
              <w:rPr>
                <w:rFonts w:hint="eastAsia"/>
                <w:color w:val="auto"/>
                <w:highlight w:val="none"/>
                <w:lang w:val="en-US" w:eastAsia="zh-CN"/>
              </w:rPr>
              <w:t>8</w:t>
            </w:r>
            <w:r>
              <w:rPr>
                <w:rFonts w:hint="eastAsia"/>
                <w:color w:val="auto"/>
                <w:highlight w:val="none"/>
              </w:rPr>
              <w:t>分。同一业绩不重复计分，以得分较高者计。</w:t>
            </w:r>
          </w:p>
          <w:p w14:paraId="0C0BC974">
            <w:pPr>
              <w:pStyle w:val="3"/>
              <w:rPr>
                <w:rFonts w:hint="eastAsia"/>
                <w:color w:val="auto"/>
                <w:highlight w:val="none"/>
              </w:rPr>
            </w:pPr>
            <w:r>
              <w:rPr>
                <w:rFonts w:hint="eastAsia"/>
                <w:color w:val="auto"/>
                <w:highlight w:val="none"/>
              </w:rPr>
              <w:t>注：提供能体现同类业绩的中标（成交）通知书、合同证明复印件，加盖</w:t>
            </w:r>
            <w:r>
              <w:rPr>
                <w:rFonts w:hint="eastAsia"/>
                <w:color w:val="auto"/>
                <w:highlight w:val="none"/>
                <w:lang w:val="en-US" w:eastAsia="zh-CN"/>
              </w:rPr>
              <w:t>响应供应商</w:t>
            </w:r>
            <w:r>
              <w:rPr>
                <w:rFonts w:hint="eastAsia"/>
                <w:color w:val="auto"/>
                <w:highlight w:val="none"/>
              </w:rPr>
              <w:t>公章，原件备查。</w:t>
            </w:r>
          </w:p>
          <w:p w14:paraId="461EA01A">
            <w:pPr>
              <w:pStyle w:val="3"/>
              <w:rPr>
                <w:rFonts w:hint="eastAsia"/>
                <w:color w:val="auto"/>
                <w:highlight w:val="none"/>
              </w:rPr>
            </w:pPr>
          </w:p>
        </w:tc>
      </w:tr>
      <w:tr w14:paraId="6EFFC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continue"/>
            <w:noWrap w:val="0"/>
            <w:vAlign w:val="center"/>
          </w:tcPr>
          <w:p w14:paraId="481D6CD4">
            <w:pPr>
              <w:adjustRightInd w:val="0"/>
              <w:snapToGrid w:val="0"/>
              <w:spacing w:line="400" w:lineRule="exact"/>
              <w:jc w:val="center"/>
              <w:textAlignment w:val="baseline"/>
              <w:rPr>
                <w:rFonts w:hint="eastAsia" w:ascii="宋体" w:hAnsi="宋体" w:cs="宋体"/>
                <w:b/>
                <w:bCs/>
                <w:color w:val="auto"/>
                <w:szCs w:val="21"/>
                <w:highlight w:val="none"/>
              </w:rPr>
            </w:pPr>
          </w:p>
        </w:tc>
        <w:tc>
          <w:tcPr>
            <w:tcW w:w="1065" w:type="dxa"/>
            <w:vMerge w:val="continue"/>
            <w:noWrap w:val="0"/>
            <w:vAlign w:val="center"/>
          </w:tcPr>
          <w:p w14:paraId="2F4D5C95">
            <w:pPr>
              <w:adjustRightInd w:val="0"/>
              <w:snapToGrid w:val="0"/>
              <w:spacing w:line="360" w:lineRule="atLeast"/>
              <w:jc w:val="center"/>
              <w:textAlignment w:val="baseline"/>
              <w:rPr>
                <w:rFonts w:hint="eastAsia" w:ascii="宋体" w:hAnsi="宋体" w:cs="宋体"/>
                <w:b/>
                <w:color w:val="auto"/>
                <w:spacing w:val="-2"/>
                <w:szCs w:val="21"/>
                <w:highlight w:val="none"/>
              </w:rPr>
            </w:pPr>
          </w:p>
        </w:tc>
        <w:tc>
          <w:tcPr>
            <w:tcW w:w="1758" w:type="dxa"/>
            <w:noWrap w:val="0"/>
            <w:vAlign w:val="center"/>
          </w:tcPr>
          <w:p w14:paraId="53B0DAB2">
            <w:pPr>
              <w:spacing w:line="400" w:lineRule="exact"/>
              <w:jc w:val="center"/>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企业</w:t>
            </w:r>
            <w:r>
              <w:rPr>
                <w:rFonts w:hint="eastAsia" w:ascii="宋体" w:hAnsi="宋体" w:eastAsia="宋体" w:cs="宋体"/>
                <w:b/>
                <w:bCs w:val="0"/>
                <w:color w:val="auto"/>
                <w:szCs w:val="21"/>
                <w:highlight w:val="none"/>
              </w:rPr>
              <w:t>信誉</w:t>
            </w:r>
            <w:r>
              <w:rPr>
                <w:rFonts w:hint="eastAsia" w:ascii="宋体" w:hAnsi="宋体" w:eastAsia="宋体" w:cs="宋体"/>
                <w:b/>
                <w:bCs w:val="0"/>
                <w:color w:val="auto"/>
                <w:szCs w:val="21"/>
                <w:highlight w:val="none"/>
                <w:lang w:val="en-US" w:eastAsia="zh-CN"/>
              </w:rPr>
              <w:t>实力</w:t>
            </w:r>
            <w:r>
              <w:rPr>
                <w:rFonts w:hint="eastAsia" w:ascii="宋体" w:hAnsi="宋体" w:eastAsia="宋体" w:cs="宋体"/>
                <w:b/>
                <w:bCs w:val="0"/>
                <w:color w:val="auto"/>
                <w:szCs w:val="21"/>
                <w:highlight w:val="none"/>
              </w:rPr>
              <w:t>分</w:t>
            </w:r>
          </w:p>
          <w:p w14:paraId="5FF944EC">
            <w:pPr>
              <w:adjustRightInd w:val="0"/>
              <w:snapToGrid w:val="0"/>
              <w:spacing w:line="360" w:lineRule="atLeast"/>
              <w:jc w:val="center"/>
              <w:textAlignment w:val="baseline"/>
              <w:rPr>
                <w:rFonts w:hint="eastAsia" w:ascii="宋体" w:hAnsi="宋体" w:cs="宋体"/>
                <w:b/>
                <w:bCs/>
                <w:color w:val="auto"/>
                <w:szCs w:val="21"/>
                <w:highlight w:val="none"/>
              </w:rPr>
            </w:pPr>
            <w:r>
              <w:rPr>
                <w:rFonts w:hint="eastAsia" w:ascii="宋体" w:hAnsi="宋体" w:eastAsia="宋体" w:cs="宋体"/>
                <w:b/>
                <w:bCs w:val="0"/>
                <w:color w:val="auto"/>
                <w:szCs w:val="21"/>
                <w:highlight w:val="none"/>
              </w:rPr>
              <w:t>（满分</w:t>
            </w:r>
            <w:r>
              <w:rPr>
                <w:rFonts w:hint="eastAsia" w:ascii="宋体" w:hAnsi="宋体" w:eastAsia="宋体" w:cs="宋体"/>
                <w:b/>
                <w:bCs w:val="0"/>
                <w:color w:val="auto"/>
                <w:szCs w:val="21"/>
                <w:highlight w:val="none"/>
                <w:lang w:val="en-US" w:eastAsia="zh-CN"/>
              </w:rPr>
              <w:t>10</w:t>
            </w:r>
            <w:r>
              <w:rPr>
                <w:rFonts w:hint="eastAsia" w:ascii="宋体" w:hAnsi="宋体" w:eastAsia="宋体" w:cs="宋体"/>
                <w:b/>
                <w:bCs w:val="0"/>
                <w:color w:val="auto"/>
                <w:szCs w:val="21"/>
                <w:highlight w:val="none"/>
              </w:rPr>
              <w:t>分）</w:t>
            </w:r>
          </w:p>
        </w:tc>
        <w:tc>
          <w:tcPr>
            <w:tcW w:w="6016" w:type="dxa"/>
            <w:noWrap w:val="0"/>
            <w:vAlign w:val="center"/>
          </w:tcPr>
          <w:p w14:paraId="2863CB0F">
            <w:pPr>
              <w:pStyle w:val="3"/>
              <w:rPr>
                <w:rFonts w:hint="eastAsia" w:ascii="宋体" w:hAnsi="宋体" w:eastAsia="宋体" w:cs="宋体"/>
                <w:bCs/>
                <w:color w:val="auto"/>
                <w:szCs w:val="21"/>
                <w:highlight w:val="none"/>
                <w:lang w:val="en-US" w:eastAsia="zh-CN"/>
              </w:rPr>
            </w:pPr>
          </w:p>
          <w:p w14:paraId="6622B648">
            <w:pPr>
              <w:pStyle w:val="3"/>
              <w:numPr>
                <w:ilvl w:val="0"/>
                <w:numId w:val="3"/>
              </w:numPr>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val="en-US" w:eastAsia="zh-CN"/>
              </w:rPr>
              <w:t>响应供应商或投标产品生产商</w:t>
            </w:r>
            <w:r>
              <w:rPr>
                <w:rFonts w:hint="eastAsia" w:ascii="宋体" w:hAnsi="宋体" w:eastAsia="宋体" w:cs="宋体"/>
                <w:bCs/>
                <w:color w:val="auto"/>
                <w:szCs w:val="21"/>
                <w:highlight w:val="none"/>
              </w:rPr>
              <w:t>具有ISO9001质量管理体系认证证书、ISO14001环境管理体系认证证书、ISO045001职业健康安全体系认证证书的</w:t>
            </w:r>
            <w:r>
              <w:rPr>
                <w:rFonts w:hint="eastAsia" w:ascii="宋体" w:hAnsi="宋体" w:eastAsia="宋体" w:cs="宋体"/>
                <w:color w:val="auto"/>
                <w:szCs w:val="21"/>
                <w:highlight w:val="none"/>
              </w:rPr>
              <w:t>的产品</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每项</w:t>
            </w:r>
            <w:r>
              <w:rPr>
                <w:rFonts w:hint="eastAsia" w:ascii="宋体" w:hAnsi="宋体" w:cs="宋体"/>
                <w:bCs/>
                <w:color w:val="auto"/>
                <w:szCs w:val="21"/>
                <w:highlight w:val="none"/>
                <w:lang w:val="en-US" w:eastAsia="zh-CN"/>
              </w:rPr>
              <w:t>2</w:t>
            </w:r>
            <w:r>
              <w:rPr>
                <w:rFonts w:hint="eastAsia" w:ascii="宋体" w:hAnsi="宋体" w:eastAsia="宋体" w:cs="宋体"/>
                <w:bCs/>
                <w:color w:val="auto"/>
                <w:szCs w:val="21"/>
                <w:highlight w:val="none"/>
              </w:rPr>
              <w:t>分，本项满分</w:t>
            </w:r>
            <w:r>
              <w:rPr>
                <w:rFonts w:hint="eastAsia" w:ascii="宋体" w:hAnsi="宋体" w:cs="宋体"/>
                <w:bCs/>
                <w:color w:val="auto"/>
                <w:szCs w:val="21"/>
                <w:highlight w:val="none"/>
                <w:lang w:val="en-US" w:eastAsia="zh-CN"/>
              </w:rPr>
              <w:t>6</w:t>
            </w:r>
            <w:r>
              <w:rPr>
                <w:rFonts w:hint="eastAsia" w:ascii="宋体" w:hAnsi="宋体" w:eastAsia="宋体" w:cs="宋体"/>
                <w:bCs/>
                <w:color w:val="auto"/>
                <w:szCs w:val="21"/>
                <w:highlight w:val="none"/>
              </w:rPr>
              <w:t>分</w:t>
            </w:r>
            <w:r>
              <w:rPr>
                <w:rFonts w:hint="eastAsia" w:ascii="宋体" w:hAnsi="宋体" w:eastAsia="宋体" w:cs="宋体"/>
                <w:bCs/>
                <w:color w:val="auto"/>
                <w:szCs w:val="21"/>
                <w:highlight w:val="none"/>
                <w:lang w:eastAsia="zh-CN"/>
              </w:rPr>
              <w:t>。</w:t>
            </w:r>
          </w:p>
          <w:p w14:paraId="1F1755AF">
            <w:pPr>
              <w:pStyle w:val="3"/>
              <w:numPr>
                <w:ilvl w:val="0"/>
                <w:numId w:val="3"/>
              </w:numPr>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val="en-US" w:eastAsia="zh-CN"/>
              </w:rPr>
              <w:t>响应</w:t>
            </w:r>
            <w:r>
              <w:rPr>
                <w:rFonts w:hint="eastAsia" w:ascii="宋体" w:hAnsi="宋体" w:eastAsia="宋体" w:cs="宋体"/>
                <w:bCs/>
                <w:color w:val="auto"/>
                <w:szCs w:val="21"/>
                <w:highlight w:val="none"/>
                <w:lang w:eastAsia="zh-CN"/>
              </w:rPr>
              <w:t>产品获得国家级节能产品认证、环境标志产品认证等绿色认证，每项得</w:t>
            </w:r>
            <w:r>
              <w:rPr>
                <w:rFonts w:hint="eastAsia" w:ascii="宋体" w:hAnsi="宋体" w:cs="宋体"/>
                <w:bCs/>
                <w:color w:val="auto"/>
                <w:szCs w:val="21"/>
                <w:highlight w:val="none"/>
                <w:lang w:val="en-US" w:eastAsia="zh-CN"/>
              </w:rPr>
              <w:t>2</w:t>
            </w:r>
            <w:r>
              <w:rPr>
                <w:rFonts w:hint="eastAsia" w:ascii="宋体" w:hAnsi="宋体" w:eastAsia="宋体" w:cs="宋体"/>
                <w:bCs/>
                <w:color w:val="auto"/>
                <w:szCs w:val="21"/>
                <w:highlight w:val="none"/>
                <w:lang w:eastAsia="zh-CN"/>
              </w:rPr>
              <w:t>分，</w:t>
            </w:r>
            <w:r>
              <w:rPr>
                <w:rFonts w:hint="eastAsia" w:ascii="宋体" w:hAnsi="宋体" w:eastAsia="宋体" w:cs="宋体"/>
                <w:bCs/>
                <w:color w:val="auto"/>
                <w:szCs w:val="21"/>
                <w:highlight w:val="none"/>
                <w:lang w:val="en-US" w:eastAsia="zh-CN"/>
              </w:rPr>
              <w:t>本项满分</w:t>
            </w:r>
            <w:r>
              <w:rPr>
                <w:rFonts w:hint="eastAsia" w:ascii="宋体" w:hAnsi="宋体" w:cs="宋体"/>
                <w:bCs/>
                <w:color w:val="auto"/>
                <w:szCs w:val="21"/>
                <w:highlight w:val="none"/>
                <w:lang w:val="en-US" w:eastAsia="zh-CN"/>
              </w:rPr>
              <w:t>4</w:t>
            </w:r>
            <w:r>
              <w:rPr>
                <w:rFonts w:hint="eastAsia" w:ascii="宋体" w:hAnsi="宋体" w:eastAsia="宋体" w:cs="宋体"/>
                <w:bCs/>
                <w:color w:val="auto"/>
                <w:szCs w:val="21"/>
                <w:highlight w:val="none"/>
                <w:lang w:eastAsia="zh-CN"/>
              </w:rPr>
              <w:t>分。</w:t>
            </w:r>
          </w:p>
          <w:p w14:paraId="7FF2CA66">
            <w:pPr>
              <w:pStyle w:val="3"/>
              <w:numPr>
                <w:ilvl w:val="0"/>
                <w:numId w:val="0"/>
              </w:numPr>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注：响应文件中提供有效的认证证书复印件，并加盖响应供应商公章，未提供不得分。</w:t>
            </w:r>
          </w:p>
          <w:p w14:paraId="74C78D41">
            <w:pPr>
              <w:pStyle w:val="3"/>
              <w:rPr>
                <w:rFonts w:hint="eastAsia" w:ascii="宋体" w:hAnsi="宋体" w:eastAsia="宋体" w:cs="宋体"/>
                <w:bCs/>
                <w:color w:val="auto"/>
                <w:szCs w:val="21"/>
                <w:highlight w:val="none"/>
                <w:lang w:eastAsia="zh-CN"/>
              </w:rPr>
            </w:pPr>
          </w:p>
        </w:tc>
      </w:tr>
      <w:tr w14:paraId="4A953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noWrap w:val="0"/>
            <w:vAlign w:val="center"/>
          </w:tcPr>
          <w:p w14:paraId="239C1832">
            <w:pPr>
              <w:pStyle w:val="7"/>
              <w:snapToGrid w:val="0"/>
              <w:spacing w:line="400" w:lineRule="exact"/>
              <w:rPr>
                <w:rFonts w:hAnsi="宋体" w:cs="宋体"/>
                <w:b/>
                <w:bCs/>
                <w:color w:val="auto"/>
                <w:sz w:val="21"/>
                <w:highlight w:val="none"/>
              </w:rPr>
            </w:pPr>
            <w:r>
              <w:rPr>
                <w:rFonts w:hint="eastAsia" w:hAnsi="宋体" w:cs="宋体"/>
                <w:b/>
                <w:bCs/>
                <w:color w:val="auto"/>
                <w:sz w:val="21"/>
                <w:highlight w:val="none"/>
              </w:rPr>
              <w:t>总得分=1+2+3</w:t>
            </w:r>
          </w:p>
        </w:tc>
      </w:tr>
    </w:tbl>
    <w:p w14:paraId="5FE2AB41">
      <w:pPr>
        <w:spacing w:line="360" w:lineRule="exact"/>
        <w:outlineLvl w:val="9"/>
        <w:rPr>
          <w:rFonts w:ascii="宋体" w:hAnsi="宋体"/>
          <w:color w:val="auto"/>
          <w:kern w:val="0"/>
          <w:szCs w:val="21"/>
          <w:highlight w:val="none"/>
        </w:rPr>
      </w:pPr>
    </w:p>
    <w:p w14:paraId="520CAB61">
      <w:pPr>
        <w:wordWrap w:val="0"/>
        <w:spacing w:line="360" w:lineRule="exact"/>
        <w:ind w:firstLine="422" w:firstLineChars="200"/>
        <w:jc w:val="left"/>
        <w:rPr>
          <w:rFonts w:ascii="宋体" w:hAnsi="宋体"/>
          <w:b/>
          <w:bCs/>
          <w:color w:val="auto"/>
          <w:kern w:val="0"/>
          <w:szCs w:val="21"/>
          <w:highlight w:val="none"/>
        </w:rPr>
      </w:pPr>
      <w:r>
        <w:rPr>
          <w:rFonts w:hint="eastAsia" w:ascii="宋体" w:hAnsi="宋体"/>
          <w:b/>
          <w:bCs/>
          <w:color w:val="auto"/>
          <w:kern w:val="0"/>
          <w:szCs w:val="21"/>
          <w:highlight w:val="none"/>
        </w:rPr>
        <w:t>三、成交</w:t>
      </w:r>
      <w:r>
        <w:rPr>
          <w:rFonts w:hint="eastAsia" w:ascii="宋体" w:hAnsi="宋体"/>
          <w:b/>
          <w:bCs/>
          <w:color w:val="auto"/>
          <w:kern w:val="0"/>
          <w:szCs w:val="21"/>
          <w:highlight w:val="none"/>
          <w:lang w:val="en-US" w:eastAsia="zh-CN"/>
        </w:rPr>
        <w:t>供应商确认</w:t>
      </w:r>
      <w:r>
        <w:rPr>
          <w:rFonts w:hint="eastAsia" w:ascii="宋体" w:hAnsi="宋体"/>
          <w:b/>
          <w:bCs/>
          <w:color w:val="auto"/>
          <w:kern w:val="0"/>
          <w:szCs w:val="21"/>
          <w:highlight w:val="none"/>
        </w:rPr>
        <w:t>原则</w:t>
      </w:r>
    </w:p>
    <w:p w14:paraId="3FF4578F">
      <w:pPr>
        <w:bidi w:val="0"/>
        <w:ind w:firstLine="420" w:firstLineChars="200"/>
      </w:pPr>
      <w:r>
        <w:rPr>
          <w:rFonts w:hint="eastAsia"/>
          <w:lang w:val="en-US" w:eastAsia="zh-CN"/>
        </w:rPr>
        <w:t>评选</w:t>
      </w:r>
      <w:r>
        <w:rPr>
          <w:rFonts w:hint="eastAsia"/>
        </w:rPr>
        <w:t>小组应当根据综合评分情况，按照评审得分由高到低顺序</w:t>
      </w:r>
      <w:r>
        <w:rPr>
          <w:rFonts w:hint="eastAsia"/>
          <w:lang w:val="en-US" w:eastAsia="zh-CN"/>
        </w:rPr>
        <w:t>确认</w:t>
      </w:r>
      <w:r>
        <w:rPr>
          <w:rFonts w:hint="eastAsia"/>
        </w:rPr>
        <w:t>成交供应商。</w:t>
      </w:r>
      <w:r>
        <w:rPr>
          <w:rFonts w:hint="eastAsia"/>
          <w:lang w:val="en-US" w:eastAsia="zh-CN"/>
        </w:rPr>
        <w:t>评审</w:t>
      </w:r>
      <w:r>
        <w:rPr>
          <w:rFonts w:hint="eastAsia"/>
        </w:rPr>
        <w:t>得分相同的，按</w:t>
      </w:r>
      <w:r>
        <w:rPr>
          <w:rFonts w:hint="eastAsia"/>
          <w:lang w:val="en-US" w:eastAsia="zh-CN"/>
        </w:rPr>
        <w:t>响应</w:t>
      </w:r>
      <w:r>
        <w:rPr>
          <w:rFonts w:hint="eastAsia"/>
        </w:rPr>
        <w:t>报价由低到高顺序</w:t>
      </w:r>
      <w:r>
        <w:rPr>
          <w:rFonts w:hint="eastAsia"/>
          <w:lang w:val="en-US" w:eastAsia="zh-CN"/>
        </w:rPr>
        <w:t>确认成交供应商。</w:t>
      </w:r>
      <w:r>
        <w:rPr>
          <w:rFonts w:hint="eastAsia"/>
        </w:rPr>
        <w:t>评审得分且</w:t>
      </w:r>
      <w:r>
        <w:rPr>
          <w:rFonts w:hint="eastAsia"/>
          <w:lang w:val="en-US" w:eastAsia="zh-CN"/>
        </w:rPr>
        <w:t>响应</w:t>
      </w:r>
      <w:r>
        <w:rPr>
          <w:rFonts w:hint="eastAsia"/>
        </w:rPr>
        <w:t>报价相同的，按照评审因素的量化指标评审得分最高的</w:t>
      </w:r>
      <w:r>
        <w:rPr>
          <w:rFonts w:hint="eastAsia"/>
          <w:lang w:val="en-US" w:eastAsia="zh-CN"/>
        </w:rPr>
        <w:t>确认成交供应商</w:t>
      </w:r>
      <w:r>
        <w:rPr>
          <w:rFonts w:hint="eastAsia"/>
        </w:rPr>
        <w:t>。</w:t>
      </w:r>
    </w:p>
    <w:p w14:paraId="7C92F67E">
      <w:pPr>
        <w:ind w:firstLine="420" w:firstLineChars="200"/>
      </w:pPr>
      <w:r>
        <w:rPr>
          <w:rFonts w:hint="eastAsia"/>
        </w:rPr>
        <w:t>采购人应当</w:t>
      </w:r>
      <w:r>
        <w:rPr>
          <w:rFonts w:hint="eastAsia"/>
          <w:lang w:val="en-US" w:eastAsia="zh-CN"/>
        </w:rPr>
        <w:t>按照得分</w:t>
      </w:r>
      <w:r>
        <w:rPr>
          <w:rFonts w:hint="eastAsia"/>
        </w:rPr>
        <w:t>排名第一的</w:t>
      </w:r>
      <w:r>
        <w:rPr>
          <w:rFonts w:hint="eastAsia"/>
          <w:lang w:val="en-US" w:eastAsia="zh-CN"/>
        </w:rPr>
        <w:t>供应商为</w:t>
      </w:r>
      <w:r>
        <w:rPr>
          <w:rFonts w:hint="eastAsia"/>
        </w:rPr>
        <w:t>成交</w:t>
      </w:r>
      <w:r>
        <w:rPr>
          <w:rFonts w:hint="eastAsia"/>
          <w:lang w:val="en-US" w:eastAsia="zh-CN"/>
        </w:rPr>
        <w:t>供应商</w:t>
      </w:r>
      <w:r>
        <w:rPr>
          <w:rFonts w:hint="eastAsia"/>
        </w:rPr>
        <w:t>。排名第一的成交</w:t>
      </w:r>
      <w:r>
        <w:rPr>
          <w:rFonts w:hint="eastAsia"/>
          <w:lang w:val="en-US" w:eastAsia="zh-CN"/>
        </w:rPr>
        <w:t>供应商</w:t>
      </w:r>
      <w:r>
        <w:rPr>
          <w:rFonts w:hint="eastAsia"/>
        </w:rPr>
        <w:t>放弃成交、因不可抗力提出不能履行合同，采购人可以确定排名第二的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也可以重新开展采购活动。排名第二的</w:t>
      </w:r>
      <w:r>
        <w:rPr>
          <w:rFonts w:hint="eastAsia"/>
          <w:lang w:val="en-US" w:eastAsia="zh-CN"/>
        </w:rPr>
        <w:t>供应商</w:t>
      </w:r>
      <w:r>
        <w:rPr>
          <w:rFonts w:hint="eastAsia"/>
        </w:rPr>
        <w:t>因前款规定的同样原因不能签订合同的，采购人可以确定排名第三的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w:t>
      </w:r>
      <w:r>
        <w:rPr>
          <w:rFonts w:hint="eastAsia"/>
          <w:lang w:eastAsia="zh-CN"/>
        </w:rPr>
        <w:t>，</w:t>
      </w:r>
      <w:r>
        <w:rPr>
          <w:rFonts w:hint="eastAsia"/>
        </w:rPr>
        <w:t>其余以此类推。</w:t>
      </w:r>
    </w:p>
    <w:p w14:paraId="772C3058">
      <w:pPr>
        <w:pStyle w:val="7"/>
        <w:spacing w:line="500" w:lineRule="exact"/>
        <w:jc w:val="both"/>
        <w:rPr>
          <w:rFonts w:hint="eastAsia" w:ascii="方正小标宋简体" w:hAnsi="方正小标宋简体" w:eastAsia="方正小标宋简体" w:cs="方正小标宋简体"/>
          <w:color w:val="auto"/>
          <w:kern w:val="2"/>
          <w:sz w:val="44"/>
          <w:szCs w:val="44"/>
          <w:lang w:val="en-US" w:eastAsia="zh-CN" w:bidi="ar-SA"/>
        </w:rPr>
      </w:pPr>
    </w:p>
    <w:p w14:paraId="27B78798">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7054C0CD">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88B9DFB">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6FA5F48">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D7EBC8F">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38FBAD69">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0C5DADA">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24901D6B">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4425620D">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1AEC4C76">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A491C71">
      <w:pPr>
        <w:pStyle w:val="7"/>
        <w:spacing w:line="500" w:lineRule="exact"/>
        <w:jc w:val="both"/>
        <w:rPr>
          <w:rFonts w:hint="eastAsia" w:ascii="方正小标宋简体" w:hAnsi="方正小标宋简体" w:eastAsia="方正小标宋简体" w:cs="方正小标宋简体"/>
          <w:color w:val="auto"/>
          <w:kern w:val="2"/>
          <w:sz w:val="44"/>
          <w:szCs w:val="44"/>
          <w:lang w:val="en-US" w:eastAsia="zh-CN" w:bidi="ar-SA"/>
        </w:rPr>
      </w:pPr>
    </w:p>
    <w:p w14:paraId="77CA923C">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3BA8DDB">
      <w:pPr>
        <w:pStyle w:val="7"/>
        <w:spacing w:line="500" w:lineRule="exact"/>
        <w:jc w:val="left"/>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附件3</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南宁中心血站2026年铝合金帐篷采购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076CE3B3">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7"/>
              <w:jc w:val="center"/>
              <w:rPr>
                <w:rFonts w:hint="eastAsia" w:ascii="宋体" w:hAnsi="宋体" w:eastAsia="宋体" w:cs="宋体"/>
                <w:b/>
                <w:bCs/>
                <w:kern w:val="0"/>
                <w:sz w:val="21"/>
                <w:szCs w:val="21"/>
                <w:lang w:val="en-US" w:eastAsia="zh-CN"/>
              </w:rPr>
            </w:pPr>
            <w:r>
              <w:rPr>
                <w:rFonts w:hint="eastAsia" w:hAnsi="宋体" w:cs="宋体"/>
                <w:b/>
                <w:bCs/>
                <w:kern w:val="0"/>
                <w:sz w:val="21"/>
                <w:szCs w:val="21"/>
                <w:lang w:val="en-US" w:eastAsia="zh-CN"/>
              </w:rPr>
              <w:t>货物</w:t>
            </w:r>
            <w:r>
              <w:rPr>
                <w:rFonts w:hint="eastAsia" w:ascii="宋体" w:hAnsi="宋体" w:eastAsia="宋体" w:cs="宋体"/>
                <w:b/>
                <w:bCs/>
                <w:kern w:val="0"/>
                <w:sz w:val="21"/>
                <w:szCs w:val="21"/>
                <w:lang w:val="en-US" w:eastAsia="zh-CN"/>
              </w:rPr>
              <w:t>名称</w:t>
            </w:r>
          </w:p>
        </w:tc>
        <w:tc>
          <w:tcPr>
            <w:tcW w:w="1440" w:type="dxa"/>
            <w:noWrap w:val="0"/>
            <w:vAlign w:val="center"/>
          </w:tcPr>
          <w:p w14:paraId="7D543B8D">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7"/>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eastAsia" w:asciiTheme="minorEastAsia" w:hAnsiTheme="minorEastAsia" w:eastAsiaTheme="minorEastAsia" w:cstheme="minorEastAsia"/>
                <w:kern w:val="0"/>
                <w:sz w:val="21"/>
                <w:szCs w:val="21"/>
                <w:lang w:val="en-US" w:eastAsia="zh-CN"/>
              </w:rPr>
            </w:pPr>
            <w:r>
              <w:rPr>
                <w:rFonts w:hint="eastAsia" w:asciiTheme="minorEastAsia" w:hAnsiTheme="minorEastAsia" w:eastAsiaTheme="minorEastAsia" w:cstheme="minorEastAsia"/>
                <w:sz w:val="21"/>
                <w:szCs w:val="21"/>
              </w:rPr>
              <w:t>铝合金帐篷</w:t>
            </w:r>
          </w:p>
        </w:tc>
        <w:tc>
          <w:tcPr>
            <w:tcW w:w="1440" w:type="dxa"/>
            <w:noWrap w:val="0"/>
            <w:vAlign w:val="center"/>
          </w:tcPr>
          <w:p w14:paraId="545DEFD9">
            <w:pPr>
              <w:pStyle w:val="7"/>
              <w:jc w:val="center"/>
              <w:rPr>
                <w:rFonts w:hint="eastAsia" w:asciiTheme="minorEastAsia" w:hAnsiTheme="minorEastAsia" w:eastAsiaTheme="minorEastAsia" w:cstheme="minorEastAsia"/>
                <w:kern w:val="0"/>
                <w:sz w:val="21"/>
                <w:szCs w:val="21"/>
                <w:lang w:val="en-US" w:eastAsia="zh-CN"/>
              </w:rPr>
            </w:pPr>
            <w:r>
              <w:rPr>
                <w:rFonts w:hint="eastAsia" w:asciiTheme="minorEastAsia" w:hAnsiTheme="minorEastAsia" w:eastAsiaTheme="minorEastAsia" w:cstheme="minorEastAsia"/>
                <w:kern w:val="0"/>
                <w:sz w:val="21"/>
                <w:szCs w:val="21"/>
                <w:lang w:val="en-US" w:eastAsia="zh-CN"/>
              </w:rPr>
              <w:t>80顶</w:t>
            </w:r>
          </w:p>
        </w:tc>
        <w:tc>
          <w:tcPr>
            <w:tcW w:w="1530" w:type="dxa"/>
            <w:noWrap w:val="0"/>
            <w:vAlign w:val="center"/>
          </w:tcPr>
          <w:p w14:paraId="4854383B">
            <w:pPr>
              <w:pStyle w:val="7"/>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2055" w:type="dxa"/>
            <w:noWrap w:val="0"/>
            <w:vAlign w:val="center"/>
          </w:tcPr>
          <w:p w14:paraId="2B91DFC1">
            <w:pPr>
              <w:pStyle w:val="7"/>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1884" w:type="dxa"/>
            <w:noWrap w:val="0"/>
            <w:vAlign w:val="center"/>
          </w:tcPr>
          <w:p w14:paraId="0CB513CA">
            <w:pPr>
              <w:pStyle w:val="7"/>
              <w:jc w:val="center"/>
              <w:rPr>
                <w:rFonts w:hint="default" w:ascii="宋体" w:hAnsi="宋体" w:eastAsia="宋体" w:cs="宋体"/>
                <w:kern w:val="0"/>
                <w:sz w:val="18"/>
                <w:szCs w:val="18"/>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7"/>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7"/>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金额不能超过项目最高限价（￥40000.00元）。</w:t>
            </w:r>
          </w:p>
        </w:tc>
      </w:tr>
    </w:tbl>
    <w:p w14:paraId="0ABDAE8B">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09ED468">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3CC9F3C6">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EC3DB96">
      <w:pPr>
        <w:jc w:val="cente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4736A127">
      <w:pPr>
        <w:rPr>
          <w:rFonts w:hint="eastAsia" w:ascii="仿宋" w:hAnsi="仿宋" w:eastAsia="仿宋"/>
          <w:color w:val="auto"/>
          <w:sz w:val="30"/>
          <w:szCs w:val="30"/>
        </w:rPr>
      </w:pPr>
    </w:p>
    <w:p w14:paraId="3A098B6D">
      <w:pPr>
        <w:rPr>
          <w:rFonts w:hint="eastAsia" w:ascii="仿宋" w:hAnsi="仿宋" w:eastAsia="仿宋"/>
          <w:color w:val="auto"/>
          <w:sz w:val="30"/>
          <w:szCs w:val="30"/>
        </w:rPr>
      </w:pPr>
    </w:p>
    <w:p w14:paraId="4725B8BC">
      <w:pPr>
        <w:rPr>
          <w:rFonts w:hint="eastAsia" w:ascii="仿宋" w:hAnsi="仿宋" w:eastAsia="仿宋"/>
          <w:color w:val="auto"/>
          <w:sz w:val="30"/>
          <w:szCs w:val="30"/>
        </w:rPr>
      </w:pPr>
    </w:p>
    <w:p w14:paraId="210ED757">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eastAsiaTheme="minorEastAsia" w:cstheme="minorEastAsia"/>
          <w:b/>
          <w:kern w:val="1"/>
          <w:sz w:val="21"/>
          <w:szCs w:val="21"/>
        </w:rPr>
        <w:t>本采购需求一览表中标注</w:t>
      </w:r>
      <w:r>
        <w:rPr>
          <w:rFonts w:hint="eastAsia" w:ascii="宋体" w:hAnsi="宋体" w:eastAsia="宋体" w:cs="宋体"/>
          <w:b/>
          <w:bCs/>
          <w:kern w:val="2"/>
          <w:sz w:val="21"/>
          <w:szCs w:val="21"/>
        </w:rPr>
        <w:t>★</w:t>
      </w:r>
      <w:r>
        <w:rPr>
          <w:rFonts w:hint="eastAsia" w:asciiTheme="minorEastAsia" w:hAnsiTheme="minorEastAsia" w:eastAsiaTheme="minorEastAsia" w:cstheme="minorEastAsia"/>
          <w:b/>
          <w:kern w:val="1"/>
          <w:sz w:val="21"/>
          <w:szCs w:val="21"/>
        </w:rPr>
        <w:t>号的内容为实质性要求和条件，响应人必须满足或优于，不满足或负偏离视为无效响应。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433"/>
        <w:gridCol w:w="810"/>
        <w:gridCol w:w="2497"/>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4387"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307"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433" w:type="dxa"/>
            <w:vAlign w:val="center"/>
          </w:tcPr>
          <w:p w14:paraId="34BC4A96">
            <w:pPr>
              <w:jc w:val="center"/>
              <w:rPr>
                <w:rFonts w:ascii="宋体"/>
                <w:b/>
                <w:bCs/>
                <w:color w:val="auto"/>
                <w:szCs w:val="21"/>
              </w:rPr>
            </w:pPr>
            <w:r>
              <w:rPr>
                <w:rFonts w:hint="eastAsia" w:ascii="宋体"/>
                <w:b/>
                <w:bCs/>
                <w:color w:val="auto"/>
                <w:szCs w:val="21"/>
              </w:rPr>
              <w:t>技术参数</w:t>
            </w:r>
          </w:p>
        </w:tc>
        <w:tc>
          <w:tcPr>
            <w:tcW w:w="810"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497"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7"/>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Theme="minorEastAsia" w:hAnsiTheme="minorEastAsia" w:eastAsiaTheme="minorEastAsia" w:cstheme="minorEastAsia"/>
                <w:sz w:val="21"/>
                <w:szCs w:val="21"/>
              </w:rPr>
              <w:t>铝合金帐篷</w:t>
            </w:r>
          </w:p>
        </w:tc>
        <w:tc>
          <w:tcPr>
            <w:tcW w:w="3433" w:type="dxa"/>
            <w:vAlign w:val="center"/>
          </w:tcPr>
          <w:p w14:paraId="49280469">
            <w:pPr>
              <w:widowControl/>
              <w:numPr>
                <w:ilvl w:val="0"/>
                <w:numId w:val="0"/>
              </w:numPr>
              <w:spacing w:line="440" w:lineRule="exact"/>
              <w:jc w:val="left"/>
              <w:textAlignment w:val="center"/>
              <w:rPr>
                <w:rFonts w:hint="eastAsia" w:ascii="宋体" w:hAnsi="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1.功能要求：遮阳、避雨、挡风</w:t>
            </w:r>
            <w:r>
              <w:rPr>
                <w:rFonts w:hint="eastAsia" w:ascii="宋体" w:hAnsi="宋体" w:cs="宋体"/>
                <w:color w:val="auto"/>
                <w:kern w:val="2"/>
                <w:sz w:val="21"/>
                <w:szCs w:val="24"/>
                <w:lang w:val="en-US" w:eastAsia="zh-CN" w:bidi="ar-SA"/>
              </w:rPr>
              <w:t>。</w:t>
            </w:r>
          </w:p>
          <w:p w14:paraId="0719028B">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2.高度：收起高度约1.47m，展开高度1.8-2m，顶部高度≥3m</w:t>
            </w:r>
            <w:r>
              <w:rPr>
                <w:rFonts w:hint="eastAsia" w:ascii="宋体" w:hAnsi="宋体" w:cs="宋体"/>
                <w:color w:val="auto"/>
                <w:kern w:val="2"/>
                <w:sz w:val="21"/>
                <w:szCs w:val="24"/>
                <w:lang w:val="en-US" w:eastAsia="zh-CN" w:bidi="ar-SA"/>
              </w:rPr>
              <w:t>。</w:t>
            </w:r>
          </w:p>
          <w:p w14:paraId="08EA5EA7">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b/>
                <w:bCs/>
                <w:kern w:val="2"/>
                <w:sz w:val="21"/>
                <w:szCs w:val="21"/>
              </w:rPr>
              <w:t>★</w:t>
            </w:r>
            <w:r>
              <w:rPr>
                <w:rFonts w:hint="eastAsia" w:ascii="宋体" w:hAnsi="宋体" w:eastAsia="宋体" w:cs="宋体"/>
                <w:color w:val="auto"/>
                <w:kern w:val="2"/>
                <w:sz w:val="21"/>
                <w:szCs w:val="24"/>
                <w:lang w:val="en-US" w:eastAsia="zh-CN" w:bidi="ar-SA"/>
              </w:rPr>
              <w:t>3.重量：20kg（±1kg）</w:t>
            </w:r>
            <w:r>
              <w:rPr>
                <w:rFonts w:hint="eastAsia" w:ascii="宋体" w:hAnsi="宋体" w:cs="宋体"/>
                <w:color w:val="auto"/>
                <w:kern w:val="2"/>
                <w:sz w:val="21"/>
                <w:szCs w:val="24"/>
                <w:lang w:val="en-US" w:eastAsia="zh-CN" w:bidi="ar-SA"/>
              </w:rPr>
              <w:t>。</w:t>
            </w:r>
          </w:p>
          <w:p w14:paraId="4B2AA658">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b/>
                <w:bCs/>
                <w:kern w:val="2"/>
                <w:sz w:val="21"/>
                <w:szCs w:val="21"/>
              </w:rPr>
              <w:t>★</w:t>
            </w:r>
            <w:r>
              <w:rPr>
                <w:rFonts w:hint="eastAsia" w:ascii="宋体" w:hAnsi="宋体" w:eastAsia="宋体" w:cs="宋体"/>
                <w:color w:val="auto"/>
                <w:kern w:val="2"/>
                <w:sz w:val="21"/>
                <w:szCs w:val="24"/>
                <w:lang w:val="en-US" w:eastAsia="zh-CN" w:bidi="ar-SA"/>
              </w:rPr>
              <w:t>4.</w:t>
            </w:r>
            <w:r>
              <w:rPr>
                <w:rFonts w:hint="eastAsia" w:ascii="宋体" w:hAnsi="宋体" w:eastAsia="宋体" w:cs="宋体"/>
                <w:color w:val="auto"/>
              </w:rPr>
              <w:t>支架材质</w:t>
            </w:r>
            <w:r>
              <w:rPr>
                <w:rFonts w:hint="eastAsia" w:ascii="宋体" w:hAnsi="宋体" w:eastAsia="宋体" w:cs="宋体"/>
                <w:color w:val="auto"/>
                <w:lang w:eastAsia="zh-CN"/>
              </w:rPr>
              <w:t>：</w:t>
            </w:r>
            <w:r>
              <w:rPr>
                <w:rFonts w:hint="eastAsia" w:ascii="宋体" w:hAnsi="宋体" w:eastAsia="宋体" w:cs="宋体"/>
                <w:color w:val="auto"/>
                <w:lang w:val="en-US" w:eastAsia="zh-CN"/>
              </w:rPr>
              <w:t>铝合金</w:t>
            </w:r>
            <w:r>
              <w:rPr>
                <w:rFonts w:hint="eastAsia" w:ascii="宋体" w:hAnsi="宋体" w:cs="宋体"/>
                <w:color w:val="auto"/>
                <w:lang w:val="en-US" w:eastAsia="zh-CN"/>
              </w:rPr>
              <w:t>。</w:t>
            </w:r>
          </w:p>
          <w:p w14:paraId="6D9FFA38">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5.支架</w:t>
            </w:r>
            <w:r>
              <w:rPr>
                <w:rFonts w:hint="eastAsia" w:ascii="宋体" w:hAnsi="宋体" w:eastAsia="宋体" w:cs="宋体"/>
                <w:color w:val="auto"/>
                <w:lang w:val="en-US" w:eastAsia="zh-CN"/>
              </w:rPr>
              <w:t>规格尺寸：</w:t>
            </w:r>
          </w:p>
          <w:p w14:paraId="3FED159B">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b/>
                <w:bCs/>
                <w:kern w:val="2"/>
                <w:sz w:val="21"/>
                <w:szCs w:val="21"/>
              </w:rPr>
              <w:t>★</w:t>
            </w:r>
            <w:r>
              <w:rPr>
                <w:rFonts w:hint="eastAsia" w:ascii="宋体" w:hAnsi="宋体" w:eastAsia="宋体" w:cs="宋体"/>
                <w:color w:val="auto"/>
                <w:kern w:val="2"/>
                <w:sz w:val="21"/>
                <w:szCs w:val="24"/>
                <w:lang w:val="en-US" w:eastAsia="zh-CN" w:bidi="ar-SA"/>
              </w:rPr>
              <w:t>（1）</w:t>
            </w:r>
            <w:r>
              <w:rPr>
                <w:rFonts w:hint="eastAsia" w:ascii="宋体" w:hAnsi="宋体" w:eastAsia="宋体" w:cs="宋体"/>
                <w:color w:val="auto"/>
                <w:lang w:val="en-US" w:eastAsia="zh-CN"/>
              </w:rPr>
              <w:t>展开尺寸:3米*3米，四角支架：四角用30mm*30mm铝合金杆；</w:t>
            </w:r>
          </w:p>
          <w:p w14:paraId="01185367">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kern w:val="2"/>
                <w:sz w:val="21"/>
                <w:szCs w:val="24"/>
                <w:lang w:val="en-US" w:eastAsia="zh-CN" w:bidi="ar-SA"/>
              </w:rPr>
              <w:t>（2）</w:t>
            </w:r>
            <w:r>
              <w:rPr>
                <w:rFonts w:hint="eastAsia" w:ascii="宋体" w:hAnsi="宋体" w:eastAsia="宋体" w:cs="宋体"/>
                <w:color w:val="auto"/>
                <w:lang w:val="en-US" w:eastAsia="zh-CN"/>
              </w:rPr>
              <w:t>四角</w:t>
            </w:r>
            <w:r>
              <w:rPr>
                <w:rFonts w:hint="eastAsia" w:ascii="宋体" w:hAnsi="宋体" w:cs="宋体"/>
                <w:color w:val="auto"/>
                <w:lang w:val="en-US" w:eastAsia="zh-CN"/>
              </w:rPr>
              <w:t>尺寸：≥</w:t>
            </w:r>
            <w:r>
              <w:rPr>
                <w:rFonts w:hint="eastAsia" w:ascii="宋体" w:hAnsi="宋体" w:eastAsia="宋体" w:cs="宋体"/>
                <w:color w:val="auto"/>
                <w:lang w:val="en-US" w:eastAsia="zh-CN"/>
              </w:rPr>
              <w:t>26.1mm（管直径）*0.8mm（管厚度）；</w:t>
            </w:r>
          </w:p>
          <w:p w14:paraId="6EB279BB">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kern w:val="2"/>
                <w:sz w:val="21"/>
                <w:szCs w:val="24"/>
                <w:lang w:val="en-US" w:eastAsia="zh-CN" w:bidi="ar-SA"/>
              </w:rPr>
              <w:t>（3）</w:t>
            </w:r>
            <w:r>
              <w:rPr>
                <w:rFonts w:hint="eastAsia" w:ascii="宋体" w:hAnsi="宋体" w:eastAsia="宋体" w:cs="宋体"/>
                <w:color w:val="auto"/>
                <w:lang w:val="en-US" w:eastAsia="zh-CN"/>
              </w:rPr>
              <w:t>边杆：</w:t>
            </w:r>
            <w:r>
              <w:rPr>
                <w:rFonts w:hint="eastAsia" w:ascii="宋体" w:hAnsi="宋体" w:cs="宋体"/>
                <w:color w:val="auto"/>
                <w:lang w:val="en-US" w:eastAsia="zh-CN"/>
              </w:rPr>
              <w:t>边杆横切面尺寸为</w:t>
            </w:r>
            <w:r>
              <w:rPr>
                <w:rFonts w:hint="eastAsia" w:ascii="宋体" w:hAnsi="宋体" w:eastAsia="宋体" w:cs="宋体"/>
                <w:color w:val="auto"/>
                <w:lang w:val="en-US" w:eastAsia="zh-CN"/>
              </w:rPr>
              <w:t>15mm</w:t>
            </w:r>
            <w:r>
              <w:rPr>
                <w:rFonts w:hint="eastAsia" w:ascii="宋体" w:hAnsi="宋体" w:cs="宋体"/>
                <w:color w:val="auto"/>
                <w:lang w:val="en-US" w:eastAsia="zh-CN"/>
              </w:rPr>
              <w:t>（宽）</w:t>
            </w:r>
            <w:r>
              <w:rPr>
                <w:rFonts w:hint="eastAsia" w:ascii="宋体" w:hAnsi="宋体" w:eastAsia="宋体" w:cs="宋体"/>
                <w:color w:val="auto"/>
                <w:lang w:val="en-US" w:eastAsia="zh-CN"/>
              </w:rPr>
              <w:t>*30mm（</w:t>
            </w:r>
            <w:r>
              <w:rPr>
                <w:rFonts w:hint="eastAsia" w:ascii="宋体" w:hAnsi="宋体" w:cs="宋体"/>
                <w:color w:val="auto"/>
                <w:lang w:val="en-US" w:eastAsia="zh-CN"/>
              </w:rPr>
              <w:t>长</w:t>
            </w:r>
            <w:r>
              <w:rPr>
                <w:rFonts w:hint="eastAsia" w:ascii="宋体" w:hAnsi="宋体" w:eastAsia="宋体" w:cs="宋体"/>
                <w:color w:val="auto"/>
                <w:lang w:val="en-US" w:eastAsia="zh-CN"/>
              </w:rPr>
              <w:t>）*0.6mm（管厚度）</w:t>
            </w:r>
            <w:r>
              <w:rPr>
                <w:rFonts w:hint="eastAsia" w:ascii="宋体" w:hAnsi="宋体" w:cs="宋体"/>
                <w:color w:val="auto"/>
                <w:lang w:val="en-US" w:eastAsia="zh-CN"/>
              </w:rPr>
              <w:t>；</w:t>
            </w:r>
          </w:p>
          <w:p w14:paraId="6B9D82B7">
            <w:pPr>
              <w:widowControl/>
              <w:numPr>
                <w:ilvl w:val="0"/>
                <w:numId w:val="0"/>
              </w:numPr>
              <w:spacing w:line="440" w:lineRule="exact"/>
              <w:jc w:val="left"/>
              <w:textAlignment w:val="center"/>
              <w:rPr>
                <w:rFonts w:hint="eastAsia" w:ascii="宋体" w:hAnsi="宋体" w:eastAsia="宋体" w:cs="宋体"/>
                <w:lang w:val="en-US" w:eastAsia="zh-CN"/>
              </w:rPr>
            </w:pPr>
            <w:r>
              <w:rPr>
                <w:rFonts w:hint="eastAsia" w:ascii="宋体" w:hAnsi="宋体" w:eastAsia="宋体" w:cs="宋体"/>
                <w:kern w:val="2"/>
                <w:sz w:val="21"/>
                <w:szCs w:val="24"/>
                <w:lang w:val="en-US" w:eastAsia="zh-CN" w:bidi="ar-SA"/>
              </w:rPr>
              <w:t>（4）</w:t>
            </w:r>
            <w:r>
              <w:rPr>
                <w:rFonts w:hint="eastAsia" w:ascii="宋体" w:hAnsi="宋体" w:eastAsia="宋体" w:cs="宋体"/>
                <w:lang w:val="en-US" w:eastAsia="zh-CN"/>
              </w:rPr>
              <w:t>顶芯</w:t>
            </w:r>
            <w:r>
              <w:rPr>
                <w:rFonts w:hint="eastAsia" w:ascii="宋体" w:hAnsi="宋体" w:cs="宋体"/>
                <w:lang w:val="en-US" w:eastAsia="zh-CN"/>
              </w:rPr>
              <w:t>：</w:t>
            </w:r>
            <w:r>
              <w:rPr>
                <w:rFonts w:hint="eastAsia" w:ascii="宋体" w:hAnsi="宋体" w:eastAsia="宋体" w:cs="宋体"/>
                <w:lang w:val="en-US" w:eastAsia="zh-CN"/>
              </w:rPr>
              <w:t>方管20mm（管直径）*0.6mm（管厚度）。</w:t>
            </w:r>
          </w:p>
          <w:p w14:paraId="2EEE1590">
            <w:pPr>
              <w:widowControl/>
              <w:numPr>
                <w:ilvl w:val="0"/>
                <w:numId w:val="0"/>
              </w:numPr>
              <w:spacing w:line="440" w:lineRule="exact"/>
              <w:ind w:left="0" w:leftChars="0" w:firstLine="0" w:firstLineChars="0"/>
              <w:jc w:val="left"/>
              <w:textAlignment w:val="center"/>
              <w:rPr>
                <w:rFonts w:hint="eastAsia" w:ascii="宋体" w:hAnsi="宋体" w:eastAsia="宋体" w:cs="宋体"/>
                <w:color w:val="auto"/>
                <w:lang w:val="en-US" w:eastAsia="zh-CN"/>
              </w:rPr>
            </w:pPr>
            <w:r>
              <w:rPr>
                <w:rFonts w:hint="eastAsia" w:ascii="宋体" w:hAnsi="宋体" w:eastAsia="宋体" w:cs="宋体"/>
                <w:kern w:val="2"/>
                <w:sz w:val="21"/>
                <w:szCs w:val="24"/>
                <w:lang w:val="en-US" w:eastAsia="zh-CN" w:bidi="ar-SA"/>
              </w:rPr>
              <w:t>6</w:t>
            </w:r>
            <w:r>
              <w:rPr>
                <w:rFonts w:hint="eastAsia" w:ascii="宋体" w:hAnsi="宋体" w:eastAsia="宋体" w:cs="宋体"/>
                <w:color w:val="auto"/>
                <w:kern w:val="2"/>
                <w:sz w:val="21"/>
                <w:szCs w:val="24"/>
                <w:lang w:val="en-US" w:eastAsia="zh-CN" w:bidi="ar-SA"/>
              </w:rPr>
              <w:t>.</w:t>
            </w:r>
            <w:r>
              <w:rPr>
                <w:rFonts w:hint="eastAsia" w:ascii="宋体" w:hAnsi="宋体" w:eastAsia="宋体" w:cs="宋体"/>
                <w:color w:val="auto"/>
                <w:lang w:val="en-US" w:eastAsia="zh-CN"/>
              </w:rPr>
              <w:t>篷布规格：篷布垂边≥30mm</w:t>
            </w:r>
            <w:r>
              <w:rPr>
                <w:rFonts w:hint="eastAsia" w:ascii="宋体" w:hAnsi="宋体" w:cs="宋体"/>
                <w:color w:val="auto"/>
                <w:lang w:val="en-US" w:eastAsia="zh-CN"/>
              </w:rPr>
              <w:t>。</w:t>
            </w:r>
          </w:p>
          <w:p w14:paraId="72CA6912">
            <w:pPr>
              <w:widowControl/>
              <w:numPr>
                <w:ilvl w:val="0"/>
                <w:numId w:val="0"/>
              </w:numPr>
              <w:spacing w:line="440" w:lineRule="exact"/>
              <w:ind w:left="0" w:leftChars="0" w:firstLine="0" w:firstLineChars="0"/>
              <w:jc w:val="left"/>
              <w:textAlignment w:val="center"/>
              <w:rPr>
                <w:rFonts w:hint="eastAsia" w:ascii="宋体" w:hAnsi="宋体" w:cs="宋体"/>
                <w:b/>
                <w:bCs/>
                <w:lang w:val="en-US" w:eastAsia="zh-CN"/>
              </w:rPr>
            </w:pPr>
            <w:r>
              <w:rPr>
                <w:rFonts w:hint="eastAsia" w:ascii="宋体" w:hAnsi="宋体" w:eastAsia="宋体" w:cs="宋体"/>
                <w:b/>
                <w:bCs/>
                <w:color w:val="auto"/>
                <w:kern w:val="2"/>
                <w:sz w:val="21"/>
                <w:szCs w:val="21"/>
              </w:rPr>
              <w:t>★</w:t>
            </w:r>
            <w:r>
              <w:rPr>
                <w:rFonts w:hint="eastAsia" w:ascii="宋体" w:hAnsi="宋体" w:eastAsia="宋体" w:cs="宋体"/>
                <w:color w:val="auto"/>
                <w:kern w:val="2"/>
                <w:sz w:val="21"/>
                <w:szCs w:val="24"/>
                <w:lang w:val="en-US" w:eastAsia="zh-CN" w:bidi="ar-SA"/>
              </w:rPr>
              <w:t>7.</w:t>
            </w:r>
            <w:r>
              <w:rPr>
                <w:rFonts w:hint="eastAsia" w:ascii="宋体" w:hAnsi="宋体" w:eastAsia="宋体" w:cs="宋体"/>
                <w:color w:val="auto"/>
                <w:lang w:val="en-US" w:eastAsia="zh-CN"/>
              </w:rPr>
              <w:t>篷布材质：1200D涂银牛津布，要求防晒、 隔热、防紫外线 UPF50、 防水</w:t>
            </w:r>
            <w:r>
              <w:rPr>
                <w:rFonts w:hint="eastAsia" w:ascii="宋体" w:hAnsi="宋体" w:eastAsia="宋体" w:cs="宋体"/>
                <w:b/>
                <w:bCs/>
                <w:color w:val="auto"/>
                <w:lang w:val="en-US" w:eastAsia="zh-CN"/>
              </w:rPr>
              <w:t>（须提供采购人指定色号和材质要求的篷布材质样品，样</w:t>
            </w:r>
            <w:r>
              <w:rPr>
                <w:rFonts w:hint="eastAsia" w:ascii="宋体" w:hAnsi="宋体" w:eastAsia="宋体" w:cs="宋体"/>
                <w:b/>
                <w:bCs/>
                <w:lang w:val="en-US" w:eastAsia="zh-CN"/>
              </w:rPr>
              <w:t>品规格大小约10cm x10cm）</w:t>
            </w:r>
            <w:r>
              <w:rPr>
                <w:rFonts w:hint="eastAsia" w:ascii="宋体" w:hAnsi="宋体" w:cs="宋体"/>
                <w:b/>
                <w:bCs/>
                <w:lang w:val="en-US" w:eastAsia="zh-CN"/>
              </w:rPr>
              <w:t>。</w:t>
            </w:r>
          </w:p>
          <w:p w14:paraId="6B9D184F">
            <w:pPr>
              <w:widowControl/>
              <w:numPr>
                <w:ilvl w:val="0"/>
                <w:numId w:val="0"/>
              </w:numPr>
              <w:spacing w:line="440" w:lineRule="exact"/>
              <w:ind w:left="0" w:leftChars="0" w:firstLine="0" w:firstLineChars="0"/>
              <w:jc w:val="left"/>
              <w:textAlignment w:val="center"/>
              <w:rPr>
                <w:rFonts w:hint="eastAsia" w:ascii="宋体" w:hAnsi="宋体" w:cs="宋体"/>
                <w:b w:val="0"/>
                <w:bCs w:val="0"/>
                <w:color w:val="auto"/>
                <w:lang w:val="en-US" w:eastAsia="zh-CN"/>
              </w:rPr>
            </w:pPr>
            <w:r>
              <w:rPr>
                <w:rFonts w:hint="eastAsia" w:ascii="宋体" w:hAnsi="宋体" w:cs="宋体" w:eastAsiaTheme="minorEastAsia"/>
                <w:b w:val="0"/>
                <w:bCs w:val="0"/>
                <w:color w:val="auto"/>
                <w:kern w:val="2"/>
                <w:sz w:val="21"/>
                <w:szCs w:val="22"/>
                <w:lang w:val="en-US" w:eastAsia="zh-CN" w:bidi="ar-SA"/>
              </w:rPr>
              <w:t>★8.</w:t>
            </w:r>
            <w:r>
              <w:rPr>
                <w:rFonts w:hint="eastAsia" w:ascii="宋体" w:hAnsi="宋体" w:cs="宋体"/>
                <w:b w:val="0"/>
                <w:bCs w:val="0"/>
                <w:color w:val="auto"/>
                <w:lang w:val="en-US" w:eastAsia="zh-CN"/>
              </w:rPr>
              <w:t>执行标准：</w:t>
            </w:r>
          </w:p>
          <w:p w14:paraId="5F306049">
            <w:pPr>
              <w:widowControl/>
              <w:numPr>
                <w:ilvl w:val="0"/>
                <w:numId w:val="0"/>
              </w:numPr>
              <w:spacing w:line="440" w:lineRule="exact"/>
              <w:ind w:leftChars="0"/>
              <w:jc w:val="left"/>
              <w:textAlignment w:val="center"/>
              <w:rPr>
                <w:rFonts w:hint="eastAsia" w:ascii="宋体" w:hAnsi="宋体" w:cs="宋体"/>
                <w:b w:val="0"/>
                <w:bCs w:val="0"/>
                <w:color w:val="auto"/>
                <w:lang w:val="en-US" w:eastAsia="zh-CN"/>
              </w:rPr>
            </w:pPr>
            <w:r>
              <w:rPr>
                <w:rFonts w:hint="eastAsia" w:ascii="宋体" w:hAnsi="宋体" w:cs="宋体"/>
                <w:b w:val="0"/>
                <w:bCs w:val="0"/>
                <w:color w:val="auto"/>
                <w:lang w:val="en-US" w:eastAsia="zh-CN"/>
              </w:rPr>
              <w:t>（1）篷布：</w:t>
            </w:r>
          </w:p>
          <w:p w14:paraId="6538C2A4">
            <w:pPr>
              <w:widowControl/>
              <w:numPr>
                <w:ilvl w:val="0"/>
                <w:numId w:val="0"/>
              </w:numPr>
              <w:spacing w:line="440" w:lineRule="exact"/>
              <w:ind w:leftChars="0"/>
              <w:jc w:val="left"/>
              <w:textAlignment w:val="center"/>
              <w:rPr>
                <w:rFonts w:hint="eastAsia" w:ascii="宋体" w:hAnsi="宋体" w:cs="宋体"/>
                <w:b w:val="0"/>
                <w:bCs w:val="0"/>
                <w:color w:val="auto"/>
                <w:lang w:val="en-US" w:eastAsia="zh-CN"/>
              </w:rPr>
            </w:pPr>
            <w:r>
              <w:rPr>
                <w:rFonts w:hint="eastAsia" w:ascii="宋体" w:hAnsi="宋体" w:cs="宋体"/>
                <w:b w:val="0"/>
                <w:bCs w:val="0"/>
                <w:color w:val="auto"/>
                <w:lang w:val="en-US" w:eastAsia="zh-CN"/>
              </w:rPr>
              <w:t>GB/T 18830-2009《纺织品 防紫外线性能的评定》、</w:t>
            </w:r>
          </w:p>
          <w:p w14:paraId="0D1B25A3">
            <w:pPr>
              <w:widowControl/>
              <w:numPr>
                <w:ilvl w:val="0"/>
                <w:numId w:val="0"/>
              </w:numPr>
              <w:spacing w:line="440" w:lineRule="exact"/>
              <w:ind w:leftChars="0"/>
              <w:jc w:val="left"/>
              <w:textAlignment w:val="center"/>
              <w:rPr>
                <w:rFonts w:hint="eastAsia" w:ascii="宋体" w:hAnsi="宋体" w:cs="宋体"/>
                <w:b w:val="0"/>
                <w:bCs w:val="0"/>
                <w:color w:val="auto"/>
                <w:lang w:val="en-US" w:eastAsia="zh-CN"/>
              </w:rPr>
            </w:pPr>
            <w:r>
              <w:rPr>
                <w:rFonts w:hint="eastAsia" w:ascii="宋体" w:hAnsi="宋体" w:cs="宋体"/>
                <w:b w:val="0"/>
                <w:bCs w:val="0"/>
                <w:color w:val="auto"/>
                <w:lang w:val="en-US" w:eastAsia="zh-CN"/>
              </w:rPr>
              <w:t>GB/T 4745-2012《纺织品 防水性能的检测和评价 沾水法》</w:t>
            </w:r>
          </w:p>
          <w:p w14:paraId="172CC1D3">
            <w:pPr>
              <w:widowControl/>
              <w:numPr>
                <w:ilvl w:val="0"/>
                <w:numId w:val="0"/>
              </w:numPr>
              <w:spacing w:line="440" w:lineRule="exact"/>
              <w:ind w:left="0" w:leftChars="0"/>
              <w:jc w:val="left"/>
              <w:textAlignment w:val="center"/>
              <w:rPr>
                <w:rFonts w:hint="eastAsia" w:ascii="宋体" w:hAnsi="宋体" w:cs="宋体"/>
                <w:b w:val="0"/>
                <w:bCs w:val="0"/>
                <w:color w:val="auto"/>
                <w:lang w:val="en-US" w:eastAsia="zh-CN"/>
              </w:rPr>
            </w:pPr>
            <w:r>
              <w:rPr>
                <w:rFonts w:hint="eastAsia" w:ascii="宋体" w:hAnsi="宋体" w:cs="宋体" w:eastAsiaTheme="minorEastAsia"/>
                <w:b w:val="0"/>
                <w:bCs w:val="0"/>
                <w:color w:val="auto"/>
                <w:kern w:val="2"/>
                <w:sz w:val="21"/>
                <w:szCs w:val="22"/>
                <w:lang w:val="en-US" w:eastAsia="zh-CN" w:bidi="ar-SA"/>
              </w:rPr>
              <w:t>（3）</w:t>
            </w:r>
            <w:r>
              <w:rPr>
                <w:rFonts w:hint="eastAsia" w:ascii="宋体" w:hAnsi="宋体" w:cs="宋体"/>
                <w:b w:val="0"/>
                <w:bCs w:val="0"/>
                <w:color w:val="auto"/>
                <w:lang w:val="en-US" w:eastAsia="zh-CN"/>
              </w:rPr>
              <w:t>支架：</w:t>
            </w:r>
          </w:p>
          <w:p w14:paraId="14F62F59">
            <w:pPr>
              <w:widowControl/>
              <w:numPr>
                <w:ilvl w:val="0"/>
                <w:numId w:val="0"/>
              </w:numPr>
              <w:spacing w:line="440" w:lineRule="exact"/>
              <w:jc w:val="left"/>
              <w:textAlignment w:val="center"/>
              <w:rPr>
                <w:rFonts w:hint="default" w:ascii="宋体" w:hAnsi="宋体" w:cs="宋体"/>
                <w:b w:val="0"/>
                <w:bCs w:val="0"/>
                <w:color w:val="auto"/>
                <w:lang w:val="en-US" w:eastAsia="zh-CN"/>
              </w:rPr>
            </w:pPr>
            <w:r>
              <w:rPr>
                <w:rFonts w:hint="default" w:ascii="宋体" w:hAnsi="宋体" w:cs="宋体"/>
                <w:b w:val="0"/>
                <w:bCs w:val="0"/>
                <w:color w:val="auto"/>
                <w:lang w:val="en-US" w:eastAsia="zh-CN"/>
              </w:rPr>
              <w:t>GB/T 5237.1-2017《铝合金建筑型材 第1部分：基材》</w:t>
            </w:r>
          </w:p>
          <w:p w14:paraId="11CCC5D2">
            <w:pPr>
              <w:widowControl/>
              <w:numPr>
                <w:ilvl w:val="0"/>
                <w:numId w:val="0"/>
              </w:numPr>
              <w:spacing w:line="440" w:lineRule="exact"/>
              <w:ind w:leftChars="0"/>
              <w:jc w:val="left"/>
              <w:textAlignment w:val="center"/>
              <w:rPr>
                <w:rFonts w:hint="default" w:ascii="宋体" w:hAnsi="宋体" w:cs="宋体"/>
                <w:b w:val="0"/>
                <w:bCs w:val="0"/>
                <w:color w:val="auto"/>
                <w:lang w:val="en-US" w:eastAsia="zh-CN"/>
              </w:rPr>
            </w:pPr>
            <w:r>
              <w:rPr>
                <w:rFonts w:hint="eastAsia" w:ascii="宋体" w:hAnsi="宋体" w:cs="宋体"/>
                <w:b w:val="0"/>
                <w:bCs w:val="0"/>
                <w:color w:val="auto"/>
                <w:lang w:val="en-US" w:eastAsia="zh-CN"/>
              </w:rPr>
              <w:t>★9.提供供货产品检测报告：供货时提供具有CNAS或CMA资质的第三方检测机构出具的检测报告复印件（检测依据见第8点执行标准）；响应供应商须在响应文件中对提供的第三方检测报告真实性以书面形式进行承诺，响应文件中提供承诺函（格式自拟）。</w:t>
            </w:r>
          </w:p>
          <w:p w14:paraId="3CE34236">
            <w:pPr>
              <w:widowControl/>
              <w:numPr>
                <w:ilvl w:val="0"/>
                <w:numId w:val="0"/>
              </w:numPr>
              <w:spacing w:line="440" w:lineRule="exact"/>
              <w:ind w:left="0" w:leftChars="0" w:firstLine="0" w:firstLineChars="0"/>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10.篷布颜色：宝洁色卡22号绿色。</w:t>
            </w:r>
          </w:p>
          <w:p w14:paraId="608381B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8"/>
                <w:szCs w:val="28"/>
                <w:lang w:eastAsia="zh-CN"/>
              </w:rPr>
            </w:pPr>
            <w:r>
              <w:rPr>
                <w:rFonts w:hint="eastAsia" w:ascii="仿宋_GB2312" w:eastAsia="仿宋_GB2312"/>
                <w:sz w:val="28"/>
                <w:szCs w:val="28"/>
                <w:lang w:eastAsia="zh-CN"/>
              </w:rPr>
              <w:drawing>
                <wp:anchor distT="0" distB="0" distL="114300" distR="114300" simplePos="0" relativeHeight="251661312" behindDoc="0" locked="0" layoutInCell="1" allowOverlap="1">
                  <wp:simplePos x="0" y="0"/>
                  <wp:positionH relativeFrom="column">
                    <wp:posOffset>10795</wp:posOffset>
                  </wp:positionH>
                  <wp:positionV relativeFrom="paragraph">
                    <wp:posOffset>32385</wp:posOffset>
                  </wp:positionV>
                  <wp:extent cx="2063115" cy="844550"/>
                  <wp:effectExtent l="0" t="0" r="13335" b="12700"/>
                  <wp:wrapNone/>
                  <wp:docPr id="4" name="图片 1" descr="1727082834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1727082834715"/>
                          <pic:cNvPicPr>
                            <a:picLocks noChangeAspect="1"/>
                          </pic:cNvPicPr>
                        </pic:nvPicPr>
                        <pic:blipFill>
                          <a:blip r:embed="rId5"/>
                          <a:stretch>
                            <a:fillRect/>
                          </a:stretch>
                        </pic:blipFill>
                        <pic:spPr>
                          <a:xfrm>
                            <a:off x="0" y="0"/>
                            <a:ext cx="2063115" cy="844550"/>
                          </a:xfrm>
                          <a:prstGeom prst="rect">
                            <a:avLst/>
                          </a:prstGeom>
                          <a:noFill/>
                          <a:ln>
                            <a:noFill/>
                          </a:ln>
                        </pic:spPr>
                      </pic:pic>
                    </a:graphicData>
                  </a:graphic>
                </wp:anchor>
              </w:drawing>
            </w:r>
          </w:p>
          <w:p w14:paraId="0A54194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8"/>
                <w:szCs w:val="28"/>
                <w:lang w:val="en-US" w:eastAsia="zh-CN"/>
              </w:rPr>
            </w:pPr>
          </w:p>
          <w:p w14:paraId="52E4ADC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8"/>
                <w:szCs w:val="28"/>
                <w:lang w:val="en-US" w:eastAsia="zh-CN"/>
              </w:rPr>
            </w:pPr>
          </w:p>
          <w:p w14:paraId="02B8D1B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8"/>
                <w:szCs w:val="28"/>
                <w:lang w:val="en-US" w:eastAsia="zh-CN"/>
              </w:rPr>
            </w:pPr>
          </w:p>
          <w:p w14:paraId="010B96A7">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kern w:val="2"/>
                <w:sz w:val="21"/>
                <w:szCs w:val="24"/>
                <w:lang w:val="en-US" w:eastAsia="zh-CN" w:bidi="ar-SA"/>
              </w:rPr>
              <w:t>11.</w:t>
            </w:r>
            <w:r>
              <w:rPr>
                <w:rFonts w:hint="eastAsia" w:ascii="宋体" w:hAnsi="宋体" w:eastAsia="宋体" w:cs="宋体"/>
                <w:lang w:val="en-US" w:eastAsia="zh-CN"/>
              </w:rPr>
              <w:t>帐篷双针接顶，双针包边(多缝线)：安装快捷，能够在1分钟内完成搭建，携带方便，易于拆卸。</w:t>
            </w:r>
          </w:p>
          <w:p w14:paraId="43EB72FB">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kern w:val="2"/>
                <w:sz w:val="21"/>
                <w:szCs w:val="24"/>
                <w:lang w:val="en-US" w:eastAsia="zh-CN" w:bidi="ar-SA"/>
              </w:rPr>
              <w:t>12.</w:t>
            </w:r>
            <w:r>
              <w:rPr>
                <w:rFonts w:hint="eastAsia" w:ascii="宋体" w:hAnsi="宋体" w:eastAsia="宋体" w:cs="宋体"/>
                <w:lang w:val="en-US" w:eastAsia="zh-CN"/>
              </w:rPr>
              <w:t>伸缩支柱：可以根据不同环境和地形需要调节帐篷高度。</w:t>
            </w:r>
          </w:p>
          <w:p w14:paraId="2016EDD5">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kern w:val="2"/>
                <w:sz w:val="21"/>
                <w:szCs w:val="24"/>
                <w:lang w:val="en-US" w:eastAsia="zh-CN" w:bidi="ar-SA"/>
              </w:rPr>
              <w:t>13.</w:t>
            </w:r>
            <w:r>
              <w:rPr>
                <w:rFonts w:hint="eastAsia" w:ascii="宋体" w:hAnsi="宋体" w:eastAsia="宋体" w:cs="宋体"/>
                <w:lang w:val="en-US" w:eastAsia="zh-CN"/>
              </w:rPr>
              <w:t>加固处理：帐篷顶部内侧附有一层衬布，增强耐磨性和耐用性。</w:t>
            </w:r>
          </w:p>
          <w:p w14:paraId="185BC57B">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b/>
                <w:bCs/>
                <w:kern w:val="2"/>
                <w:sz w:val="21"/>
                <w:szCs w:val="21"/>
              </w:rPr>
              <w:t>★</w:t>
            </w:r>
            <w:r>
              <w:rPr>
                <w:rFonts w:hint="eastAsia" w:ascii="宋体" w:hAnsi="宋体" w:eastAsia="宋体" w:cs="宋体"/>
                <w:kern w:val="2"/>
                <w:sz w:val="21"/>
                <w:szCs w:val="24"/>
                <w:lang w:val="en-US" w:eastAsia="zh-CN" w:bidi="ar-SA"/>
              </w:rPr>
              <w:t>14.</w:t>
            </w:r>
            <w:r>
              <w:rPr>
                <w:rFonts w:hint="eastAsia" w:ascii="宋体" w:hAnsi="宋体" w:eastAsia="宋体" w:cs="宋体"/>
                <w:lang w:val="en-US" w:eastAsia="zh-CN"/>
              </w:rPr>
              <w:t>排水设计：帐篷杆高设为1米，有助于雨水顺畅排出。</w:t>
            </w:r>
          </w:p>
          <w:p w14:paraId="71690B2C">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b/>
                <w:bCs/>
                <w:kern w:val="2"/>
                <w:sz w:val="21"/>
                <w:szCs w:val="21"/>
              </w:rPr>
              <w:t>★</w:t>
            </w:r>
            <w:r>
              <w:rPr>
                <w:rFonts w:hint="eastAsia" w:ascii="宋体" w:hAnsi="宋体" w:eastAsia="宋体" w:cs="宋体"/>
                <w:b w:val="0"/>
                <w:bCs w:val="0"/>
                <w:kern w:val="2"/>
                <w:sz w:val="21"/>
                <w:szCs w:val="21"/>
                <w:lang w:val="en-US" w:eastAsia="zh-CN"/>
              </w:rPr>
              <w:t>15.</w:t>
            </w:r>
            <w:r>
              <w:rPr>
                <w:rFonts w:hint="eastAsia" w:ascii="宋体" w:hAnsi="宋体" w:eastAsia="宋体" w:cs="宋体"/>
                <w:lang w:val="en-US" w:eastAsia="zh-CN"/>
              </w:rPr>
              <w:t>边缘处理：吊边宽度30厘米，可供选择直边或波浪边样式，印制</w:t>
            </w:r>
            <w:r>
              <w:rPr>
                <w:rFonts w:hint="eastAsia" w:ascii="宋体" w:hAnsi="宋体" w:cs="宋体"/>
                <w:lang w:val="en-US" w:eastAsia="zh-CN"/>
              </w:rPr>
              <w:t>采购人</w:t>
            </w:r>
            <w:r>
              <w:rPr>
                <w:rFonts w:hint="eastAsia" w:ascii="宋体" w:hAnsi="宋体" w:eastAsia="宋体" w:cs="宋体"/>
                <w:lang w:val="en-US" w:eastAsia="zh-CN"/>
              </w:rPr>
              <w:t>提供的logo。</w:t>
            </w:r>
          </w:p>
          <w:p w14:paraId="355C17EF">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kern w:val="2"/>
                <w:sz w:val="21"/>
                <w:szCs w:val="24"/>
                <w:lang w:val="en-US" w:eastAsia="zh-CN" w:bidi="ar-SA"/>
              </w:rPr>
              <w:t>16.</w:t>
            </w:r>
            <w:r>
              <w:rPr>
                <w:rFonts w:hint="eastAsia" w:ascii="宋体" w:hAnsi="宋体" w:eastAsia="宋体" w:cs="宋体"/>
                <w:lang w:val="en-US" w:eastAsia="zh-CN"/>
              </w:rPr>
              <w:t>车缝均匀、无线头线尾、掉线及漏线等现象，整体外观美观、无歪斜，摆放稳定。</w:t>
            </w:r>
          </w:p>
          <w:p w14:paraId="62204BDC">
            <w:pPr>
              <w:widowControl/>
              <w:numPr>
                <w:ilvl w:val="0"/>
                <w:numId w:val="0"/>
              </w:numPr>
              <w:spacing w:line="440" w:lineRule="exact"/>
              <w:ind w:left="0" w:leftChars="0" w:firstLine="0" w:firstLineChars="0"/>
              <w:jc w:val="left"/>
              <w:textAlignment w:val="center"/>
              <w:rPr>
                <w:rFonts w:hint="default" w:ascii="宋体" w:hAnsi="宋体" w:eastAsia="宋体" w:cs="宋体"/>
                <w:lang w:val="en-US" w:eastAsia="zh-CN"/>
              </w:rPr>
            </w:pPr>
            <w:r>
              <w:rPr>
                <w:rFonts w:hint="eastAsia" w:ascii="宋体" w:hAnsi="宋体" w:eastAsia="宋体" w:cs="宋体"/>
                <w:lang w:val="en-US" w:eastAsia="zh-CN"/>
              </w:rPr>
              <w:t>★</w:t>
            </w:r>
            <w:r>
              <w:rPr>
                <w:rFonts w:hint="eastAsia" w:ascii="宋体" w:hAnsi="宋体" w:eastAsia="宋体" w:cs="宋体"/>
                <w:kern w:val="2"/>
                <w:sz w:val="21"/>
                <w:szCs w:val="24"/>
                <w:lang w:val="en-US" w:eastAsia="zh-CN" w:bidi="ar-SA"/>
              </w:rPr>
              <w:t>17.</w:t>
            </w:r>
            <w:r>
              <w:rPr>
                <w:rFonts w:hint="eastAsia" w:ascii="宋体" w:hAnsi="宋体" w:eastAsia="宋体" w:cs="宋体"/>
                <w:lang w:val="en-US" w:eastAsia="zh-CN"/>
              </w:rPr>
              <w:t>帐篷围布：每顶帐篷配备透明的帐篷围布，可围挡帐篷三面。</w:t>
            </w:r>
          </w:p>
          <w:p w14:paraId="348D1C7D">
            <w:pPr>
              <w:pStyle w:val="14"/>
              <w:ind w:left="0" w:leftChars="0" w:firstLine="0" w:firstLineChars="0"/>
              <w:rPr>
                <w:rFonts w:hint="eastAsia" w:ascii="仿宋_GB2312" w:eastAsia="仿宋_GB2312"/>
                <w:sz w:val="28"/>
                <w:szCs w:val="28"/>
                <w:lang w:val="en-US" w:eastAsia="zh-CN"/>
              </w:rPr>
            </w:pPr>
            <w:r>
              <w:rPr>
                <w:rFonts w:hint="eastAsia" w:ascii="宋体" w:hAnsi="宋体" w:eastAsia="宋体" w:cs="宋体"/>
                <w:lang w:val="en-US" w:eastAsia="zh-CN"/>
              </w:rPr>
              <w:t>18.采用五层双瓦楞纸箱包装，确保产品在运输过程中不受损。</w:t>
            </w:r>
          </w:p>
        </w:tc>
        <w:tc>
          <w:tcPr>
            <w:tcW w:w="810"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heme="minorEastAsia" w:hAnsiTheme="minorEastAsia" w:eastAsiaTheme="minorEastAsia" w:cstheme="minorEastAsia"/>
                <w:sz w:val="21"/>
                <w:szCs w:val="21"/>
              </w:rPr>
              <w:t>铝合金帐篷</w:t>
            </w:r>
          </w:p>
        </w:tc>
        <w:tc>
          <w:tcPr>
            <w:tcW w:w="2497"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53CED2C4">
      <w:pPr>
        <w:pStyle w:val="7"/>
        <w:rPr>
          <w:rFonts w:hAnsi="宋体"/>
          <w:color w:val="auto"/>
          <w:sz w:val="16"/>
          <w:szCs w:val="16"/>
        </w:rPr>
      </w:pPr>
    </w:p>
    <w:p w14:paraId="7604BA80">
      <w:pPr>
        <w:pStyle w:val="7"/>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7"/>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7"/>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2"/>
        <w:numPr>
          <w:ilvl w:val="3"/>
          <w:numId w:val="0"/>
        </w:numPr>
        <w:ind w:left="1077"/>
        <w:rPr>
          <w:color w:val="auto"/>
          <w:sz w:val="18"/>
          <w:szCs w:val="18"/>
        </w:rPr>
      </w:pPr>
    </w:p>
    <w:p w14:paraId="63CC2721">
      <w:pPr>
        <w:pStyle w:val="7"/>
        <w:spacing w:line="400" w:lineRule="exact"/>
        <w:rPr>
          <w:rFonts w:hint="default" w:eastAsia="宋体"/>
          <w:color w:val="auto"/>
          <w:u w:val="single"/>
          <w:lang w:val="en-US" w:eastAsia="zh-CN"/>
        </w:rPr>
      </w:pPr>
      <w:bookmarkStart w:id="3" w:name="_Toc521096352"/>
      <w:bookmarkStart w:id="4" w:name="_Toc460253713"/>
      <w:r>
        <w:rPr>
          <w:rFonts w:hint="eastAsia" w:hAnsi="宋体"/>
          <w:color w:val="auto"/>
          <w:sz w:val="18"/>
          <w:szCs w:val="18"/>
        </w:rPr>
        <w:t>法定代表人或其委托代理人（签字或盖章）：</w:t>
      </w:r>
      <w:bookmarkEnd w:id="3"/>
      <w:bookmarkEnd w:id="4"/>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br w:type="page"/>
      </w: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7</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7"/>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5049E55F">
      <w:pPr>
        <w:bidi w:val="0"/>
        <w:ind w:firstLine="422" w:firstLineChars="200"/>
        <w:rPr>
          <w:rFonts w:hint="default" w:eastAsiaTheme="minorEastAsia"/>
          <w:lang w:val="en-US" w:eastAsia="zh-CN"/>
        </w:rPr>
      </w:pPr>
      <w:r>
        <w:rPr>
          <w:rFonts w:hint="eastAsia" w:asciiTheme="minorEastAsia" w:hAnsiTheme="minorEastAsia" w:eastAsiaTheme="minorEastAsia" w:cstheme="minorEastAsia"/>
          <w:b/>
          <w:kern w:val="1"/>
          <w:sz w:val="21"/>
          <w:szCs w:val="21"/>
        </w:rPr>
        <w:t>本采购需求一览表中标注</w:t>
      </w:r>
      <w:r>
        <w:rPr>
          <w:rFonts w:hint="eastAsia" w:ascii="宋体" w:hAnsi="宋体" w:eastAsia="宋体" w:cs="宋体"/>
          <w:b/>
          <w:bCs/>
          <w:kern w:val="2"/>
          <w:sz w:val="21"/>
          <w:szCs w:val="21"/>
        </w:rPr>
        <w:t>★</w:t>
      </w:r>
      <w:r>
        <w:rPr>
          <w:rFonts w:hint="eastAsia" w:asciiTheme="minorEastAsia" w:hAnsiTheme="minorEastAsia" w:eastAsiaTheme="minorEastAsia" w:cstheme="minorEastAsia"/>
          <w:b/>
          <w:kern w:val="1"/>
          <w:sz w:val="21"/>
          <w:szCs w:val="21"/>
        </w:rPr>
        <w:t>号的内容为实质性要求和条件，响应人必须满足或优于，不满足或负偏离视为无效响应。</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4171"/>
        <w:gridCol w:w="2548"/>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5" w:name="_Toc529"/>
            <w:bookmarkStart w:id="6" w:name="_Toc18211"/>
            <w:r>
              <w:rPr>
                <w:rFonts w:hint="eastAsia" w:ascii="宋体" w:hAnsi="宋体"/>
                <w:b/>
                <w:bCs/>
                <w:color w:val="auto"/>
                <w:szCs w:val="21"/>
              </w:rPr>
              <w:t>序号</w:t>
            </w:r>
            <w:bookmarkEnd w:id="5"/>
            <w:bookmarkEnd w:id="6"/>
          </w:p>
        </w:tc>
        <w:tc>
          <w:tcPr>
            <w:tcW w:w="4171" w:type="dxa"/>
            <w:vAlign w:val="center"/>
          </w:tcPr>
          <w:p w14:paraId="30244A43">
            <w:pPr>
              <w:adjustRightInd w:val="0"/>
              <w:snapToGrid w:val="0"/>
              <w:spacing w:line="400" w:lineRule="exact"/>
              <w:jc w:val="center"/>
              <w:outlineLvl w:val="0"/>
              <w:rPr>
                <w:rFonts w:ascii="宋体" w:hAnsi="宋体"/>
                <w:b/>
                <w:bCs/>
                <w:color w:val="auto"/>
                <w:szCs w:val="21"/>
              </w:rPr>
            </w:pPr>
            <w:bookmarkStart w:id="7" w:name="_Toc11223"/>
            <w:bookmarkStart w:id="8" w:name="_Toc113"/>
            <w:r>
              <w:rPr>
                <w:rFonts w:hint="eastAsia" w:ascii="宋体" w:hAnsi="宋体"/>
                <w:b/>
                <w:bCs/>
                <w:color w:val="auto"/>
                <w:szCs w:val="21"/>
              </w:rPr>
              <w:t>采购文件的商务</w:t>
            </w:r>
            <w:bookmarkEnd w:id="7"/>
            <w:bookmarkEnd w:id="8"/>
            <w:r>
              <w:rPr>
                <w:rFonts w:hint="eastAsia" w:ascii="宋体" w:hAnsi="宋体"/>
                <w:b/>
                <w:bCs/>
                <w:color w:val="auto"/>
                <w:szCs w:val="21"/>
              </w:rPr>
              <w:t>条款</w:t>
            </w:r>
          </w:p>
        </w:tc>
        <w:tc>
          <w:tcPr>
            <w:tcW w:w="2548" w:type="dxa"/>
            <w:vAlign w:val="center"/>
          </w:tcPr>
          <w:p w14:paraId="54079DDF">
            <w:pPr>
              <w:adjustRightInd w:val="0"/>
              <w:snapToGrid w:val="0"/>
              <w:spacing w:line="400" w:lineRule="exact"/>
              <w:jc w:val="center"/>
              <w:outlineLvl w:val="0"/>
              <w:rPr>
                <w:rFonts w:ascii="宋体" w:hAnsi="宋体"/>
                <w:b/>
                <w:bCs/>
                <w:color w:val="auto"/>
                <w:szCs w:val="21"/>
              </w:rPr>
            </w:pPr>
            <w:bookmarkStart w:id="9" w:name="_Toc22733"/>
            <w:bookmarkStart w:id="10" w:name="_Toc3147"/>
            <w:r>
              <w:rPr>
                <w:rFonts w:hint="eastAsia" w:ascii="宋体" w:hAnsi="宋体"/>
                <w:b/>
                <w:bCs/>
                <w:color w:val="auto"/>
                <w:szCs w:val="21"/>
              </w:rPr>
              <w:t>响应文件具体响应</w:t>
            </w:r>
            <w:bookmarkEnd w:id="9"/>
            <w:bookmarkEnd w:id="10"/>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1" w:name="_Toc16246"/>
            <w:bookmarkStart w:id="12" w:name="_Toc20348"/>
            <w:r>
              <w:rPr>
                <w:rFonts w:hint="eastAsia" w:asciiTheme="minorEastAsia" w:hAnsiTheme="minorEastAsia" w:eastAsiaTheme="minorEastAsia" w:cstheme="minorEastAsia"/>
                <w:color w:val="auto"/>
                <w:kern w:val="2"/>
                <w:sz w:val="21"/>
                <w:szCs w:val="21"/>
                <w:lang w:val="en-US" w:eastAsia="zh-CN" w:bidi="ar-SA"/>
              </w:rPr>
              <w:t>1</w:t>
            </w:r>
            <w:bookmarkEnd w:id="11"/>
            <w:bookmarkEnd w:id="12"/>
          </w:p>
        </w:tc>
        <w:tc>
          <w:tcPr>
            <w:tcW w:w="4171" w:type="dxa"/>
            <w:vAlign w:val="center"/>
          </w:tcPr>
          <w:p w14:paraId="7724E2D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bCs/>
                <w:szCs w:val="21"/>
              </w:rPr>
              <w:t>合同签订期：</w:t>
            </w:r>
            <w:r>
              <w:rPr>
                <w:rFonts w:hint="eastAsia" w:ascii="宋体" w:hAnsi="宋体"/>
                <w:szCs w:val="21"/>
              </w:rPr>
              <w:t>自采购结果公告结束之日起</w:t>
            </w:r>
            <w:r>
              <w:rPr>
                <w:rFonts w:hint="eastAsia" w:ascii="宋体" w:hAnsi="宋体"/>
                <w:szCs w:val="21"/>
                <w:u w:val="single"/>
              </w:rPr>
              <w:t xml:space="preserve">  </w:t>
            </w:r>
            <w:r>
              <w:rPr>
                <w:rFonts w:hint="eastAsia" w:ascii="宋体" w:hAnsi="宋体"/>
                <w:szCs w:val="21"/>
                <w:u w:val="single"/>
                <w:lang w:val="en-US" w:eastAsia="zh-CN"/>
              </w:rPr>
              <w:t>10</w:t>
            </w:r>
            <w:r>
              <w:rPr>
                <w:rFonts w:hint="eastAsia" w:ascii="宋体" w:hAnsi="宋体"/>
                <w:szCs w:val="21"/>
                <w:u w:val="single"/>
              </w:rPr>
              <w:t xml:space="preserve"> </w:t>
            </w:r>
            <w:r>
              <w:rPr>
                <w:rFonts w:hint="eastAsia" w:ascii="宋体" w:hAnsi="宋体"/>
                <w:szCs w:val="21"/>
              </w:rPr>
              <w:t>个</w:t>
            </w:r>
            <w:r>
              <w:rPr>
                <w:rFonts w:ascii="宋体" w:hAnsi="宋体"/>
                <w:szCs w:val="21"/>
              </w:rPr>
              <w:t>工作日</w:t>
            </w:r>
            <w:r>
              <w:rPr>
                <w:rFonts w:hint="eastAsia" w:ascii="宋体" w:hAnsi="宋体"/>
                <w:szCs w:val="21"/>
              </w:rPr>
              <w:t>内。</w:t>
            </w:r>
          </w:p>
        </w:tc>
        <w:tc>
          <w:tcPr>
            <w:tcW w:w="2548"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3" w:name="_Toc14139"/>
            <w:bookmarkStart w:id="14" w:name="_Toc29108"/>
            <w:r>
              <w:rPr>
                <w:rFonts w:hint="eastAsia" w:asciiTheme="minorEastAsia" w:hAnsiTheme="minorEastAsia" w:eastAsiaTheme="minorEastAsia" w:cstheme="minorEastAsia"/>
                <w:color w:val="auto"/>
                <w:kern w:val="2"/>
                <w:sz w:val="21"/>
                <w:szCs w:val="21"/>
                <w:lang w:val="en-US" w:eastAsia="zh-CN" w:bidi="ar-SA"/>
              </w:rPr>
              <w:t>2</w:t>
            </w:r>
            <w:bookmarkEnd w:id="13"/>
            <w:bookmarkEnd w:id="14"/>
          </w:p>
        </w:tc>
        <w:tc>
          <w:tcPr>
            <w:tcW w:w="4171" w:type="dxa"/>
            <w:vAlign w:val="center"/>
          </w:tcPr>
          <w:p w14:paraId="75A4EFA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bCs/>
                <w:szCs w:val="21"/>
              </w:rPr>
              <w:t>交货期：</w:t>
            </w:r>
            <w:r>
              <w:rPr>
                <w:rFonts w:hint="eastAsia" w:ascii="宋体" w:hAnsi="宋体"/>
                <w:szCs w:val="21"/>
              </w:rPr>
              <w:t>自合同签订之日起</w:t>
            </w:r>
            <w:r>
              <w:rPr>
                <w:rFonts w:hint="eastAsia" w:ascii="宋体" w:hAnsi="宋体"/>
                <w:szCs w:val="21"/>
                <w:u w:val="single"/>
                <w:lang w:val="en-US" w:eastAsia="zh-CN"/>
              </w:rPr>
              <w:t>20</w:t>
            </w:r>
            <w:r>
              <w:rPr>
                <w:rFonts w:hint="eastAsia" w:ascii="宋体" w:hAnsi="宋体"/>
                <w:szCs w:val="21"/>
              </w:rPr>
              <w:t>日内交付全部货物。</w:t>
            </w:r>
          </w:p>
        </w:tc>
        <w:tc>
          <w:tcPr>
            <w:tcW w:w="2548"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5" w:name="_Toc25531"/>
            <w:bookmarkStart w:id="16" w:name="_Toc5989"/>
            <w:r>
              <w:rPr>
                <w:rFonts w:hint="eastAsia" w:asciiTheme="minorEastAsia" w:hAnsiTheme="minorEastAsia" w:eastAsiaTheme="minorEastAsia" w:cstheme="minorEastAsia"/>
                <w:color w:val="auto"/>
                <w:kern w:val="2"/>
                <w:sz w:val="21"/>
                <w:szCs w:val="21"/>
                <w:lang w:val="en-US" w:eastAsia="zh-CN" w:bidi="ar-SA"/>
              </w:rPr>
              <w:t>3</w:t>
            </w:r>
            <w:bookmarkEnd w:id="15"/>
            <w:bookmarkEnd w:id="16"/>
          </w:p>
        </w:tc>
        <w:tc>
          <w:tcPr>
            <w:tcW w:w="4171" w:type="dxa"/>
            <w:vAlign w:val="center"/>
          </w:tcPr>
          <w:p w14:paraId="0A471A39">
            <w:pPr>
              <w:bidi w:val="0"/>
              <w:rPr>
                <w:rFonts w:hint="eastAsia" w:asciiTheme="minorEastAsia" w:hAnsiTheme="minorEastAsia" w:eastAsiaTheme="minorEastAsia" w:cstheme="minorEastAsia"/>
                <w:color w:val="auto"/>
                <w:kern w:val="2"/>
                <w:szCs w:val="21"/>
                <w:lang w:val="en-US" w:eastAsia="zh-CN" w:bidi="ar-SA"/>
              </w:rPr>
            </w:pPr>
            <w:r>
              <w:rPr>
                <w:rFonts w:hint="eastAsia" w:ascii="宋体" w:hAnsi="宋体" w:cs="宋体"/>
                <w:b/>
                <w:bCs/>
              </w:rPr>
              <w:t>交货地点：</w:t>
            </w:r>
            <w:r>
              <w:rPr>
                <w:rFonts w:hint="eastAsia" w:ascii="宋体" w:hAnsi="宋体" w:cs="宋体"/>
                <w:b w:val="0"/>
                <w:bCs w:val="0"/>
              </w:rPr>
              <w:t xml:space="preserve">南宁中心血站指定地点。 </w:t>
            </w:r>
            <w:r>
              <w:rPr>
                <w:rFonts w:hint="eastAsia" w:asciiTheme="minorEastAsia" w:hAnsiTheme="minorEastAsia" w:eastAsiaTheme="minorEastAsia" w:cstheme="minorEastAsia"/>
                <w:color w:val="000000" w:themeColor="text1"/>
                <w14:textFill>
                  <w14:solidFill>
                    <w14:schemeClr w14:val="tx1"/>
                  </w14:solidFill>
                </w14:textFill>
              </w:rPr>
              <w:t xml:space="preserve"> </w:t>
            </w:r>
          </w:p>
        </w:tc>
        <w:tc>
          <w:tcPr>
            <w:tcW w:w="2548"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7" w:name="_Toc24579"/>
            <w:bookmarkStart w:id="18" w:name="_Toc29620"/>
            <w:r>
              <w:rPr>
                <w:rFonts w:hint="eastAsia" w:asciiTheme="minorEastAsia" w:hAnsiTheme="minorEastAsia" w:eastAsiaTheme="minorEastAsia" w:cstheme="minorEastAsia"/>
                <w:color w:val="auto"/>
                <w:kern w:val="2"/>
                <w:sz w:val="21"/>
                <w:szCs w:val="21"/>
                <w:lang w:val="en-US" w:eastAsia="zh-CN" w:bidi="ar-SA"/>
              </w:rPr>
              <w:t>4</w:t>
            </w:r>
            <w:bookmarkEnd w:id="17"/>
            <w:bookmarkEnd w:id="18"/>
          </w:p>
        </w:tc>
        <w:tc>
          <w:tcPr>
            <w:tcW w:w="4171" w:type="dxa"/>
            <w:vAlign w:val="center"/>
          </w:tcPr>
          <w:p w14:paraId="5E16CBA3">
            <w:pPr>
              <w:widowControl/>
              <w:shd w:val="clear" w:color="auto" w:fill="FFFFFF"/>
              <w:spacing w:line="360" w:lineRule="auto"/>
              <w:rPr>
                <w:rFonts w:ascii="宋体" w:hAnsi="宋体"/>
                <w:b/>
                <w:bCs w:val="0"/>
                <w:szCs w:val="21"/>
              </w:rPr>
            </w:pPr>
            <w:r>
              <w:rPr>
                <w:rFonts w:hint="eastAsia" w:ascii="宋体" w:hAnsi="宋体"/>
                <w:b/>
                <w:bCs w:val="0"/>
                <w:szCs w:val="21"/>
              </w:rPr>
              <w:t>交货方式及要求：</w:t>
            </w:r>
          </w:p>
          <w:p w14:paraId="148DDE84">
            <w:pPr>
              <w:widowControl/>
              <w:shd w:val="clear" w:color="auto" w:fill="FFFFFF"/>
              <w:spacing w:line="360" w:lineRule="auto"/>
              <w:rPr>
                <w:rFonts w:hint="eastAsia" w:ascii="宋体" w:hAnsi="宋体" w:eastAsia="宋体"/>
                <w:bCs/>
                <w:szCs w:val="21"/>
                <w:lang w:eastAsia="zh-CN"/>
              </w:rPr>
            </w:pPr>
            <w:r>
              <w:rPr>
                <w:rFonts w:hint="eastAsia" w:ascii="宋体" w:hAnsi="宋体"/>
                <w:bCs/>
                <w:szCs w:val="21"/>
              </w:rPr>
              <w:t>1</w:t>
            </w:r>
            <w:r>
              <w:rPr>
                <w:rFonts w:hint="eastAsia" w:ascii="宋体" w:hAnsi="宋体"/>
                <w:bCs/>
                <w:szCs w:val="21"/>
                <w:lang w:val="en-US" w:eastAsia="zh-CN"/>
              </w:rPr>
              <w:t>.</w:t>
            </w:r>
            <w:r>
              <w:rPr>
                <w:rFonts w:hint="eastAsia" w:ascii="宋体" w:hAnsi="宋体"/>
                <w:bCs/>
                <w:szCs w:val="21"/>
              </w:rPr>
              <w:t>交货方式：现场交货</w:t>
            </w:r>
            <w:r>
              <w:rPr>
                <w:rFonts w:hint="eastAsia" w:ascii="宋体" w:hAnsi="宋体"/>
                <w:bCs/>
                <w:szCs w:val="21"/>
                <w:lang w:eastAsia="zh-CN"/>
              </w:rPr>
              <w:t>；</w:t>
            </w:r>
          </w:p>
          <w:p w14:paraId="6A83F1F1">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Cs/>
                <w:szCs w:val="21"/>
              </w:rPr>
              <w:t>2</w:t>
            </w:r>
            <w:r>
              <w:rPr>
                <w:rFonts w:hint="eastAsia" w:ascii="宋体" w:hAnsi="宋体"/>
                <w:bCs/>
                <w:szCs w:val="21"/>
                <w:lang w:val="en-US" w:eastAsia="zh-CN"/>
              </w:rPr>
              <w:t>.</w:t>
            </w:r>
            <w:r>
              <w:rPr>
                <w:rFonts w:hint="eastAsia" w:ascii="宋体" w:hAnsi="宋体"/>
                <w:bCs/>
                <w:szCs w:val="21"/>
              </w:rPr>
              <w:t>交货要求：</w:t>
            </w:r>
            <w:r>
              <w:rPr>
                <w:rFonts w:hint="eastAsia" w:ascii="宋体" w:hAnsi="宋体"/>
                <w:bCs/>
                <w:szCs w:val="21"/>
                <w:lang w:val="en-US" w:eastAsia="zh-CN"/>
              </w:rPr>
              <w:t>成交供应商</w:t>
            </w:r>
            <w:r>
              <w:rPr>
                <w:rFonts w:hint="eastAsia" w:ascii="宋体" w:hAnsi="宋体"/>
                <w:bCs/>
                <w:szCs w:val="21"/>
              </w:rPr>
              <w:t>向采购人提供的货物必须是全新、完整、未使用过的，货物到达后，</w:t>
            </w:r>
            <w:r>
              <w:rPr>
                <w:rFonts w:hint="eastAsia" w:ascii="宋体" w:hAnsi="宋体"/>
                <w:bCs/>
                <w:szCs w:val="21"/>
                <w:lang w:val="en-US" w:eastAsia="zh-CN"/>
              </w:rPr>
              <w:t>成交供应商</w:t>
            </w:r>
            <w:r>
              <w:rPr>
                <w:rFonts w:hint="eastAsia" w:ascii="宋体" w:hAnsi="宋体"/>
                <w:bCs/>
                <w:szCs w:val="21"/>
              </w:rPr>
              <w:t>和采购人在现场进行清点，清点过程中如果发现因包装或运输不当引起的产品外观或内部的损坏，</w:t>
            </w:r>
            <w:r>
              <w:rPr>
                <w:rFonts w:hint="eastAsia" w:ascii="宋体" w:hAnsi="宋体"/>
                <w:bCs/>
                <w:szCs w:val="21"/>
                <w:lang w:val="en-US" w:eastAsia="zh-CN"/>
              </w:rPr>
              <w:t>成交供应商</w:t>
            </w:r>
            <w:r>
              <w:rPr>
                <w:rFonts w:hint="eastAsia" w:ascii="宋体" w:hAnsi="宋体"/>
                <w:bCs/>
                <w:szCs w:val="21"/>
              </w:rPr>
              <w:t>负责更换，若发现错发/漏发情况，</w:t>
            </w:r>
            <w:r>
              <w:rPr>
                <w:rFonts w:hint="eastAsia" w:ascii="宋体" w:hAnsi="宋体"/>
                <w:bCs/>
                <w:szCs w:val="21"/>
                <w:lang w:val="en-US" w:eastAsia="zh-CN"/>
              </w:rPr>
              <w:t>成交供应商</w:t>
            </w:r>
            <w:r>
              <w:rPr>
                <w:rFonts w:hint="eastAsia" w:ascii="宋体" w:hAnsi="宋体"/>
                <w:bCs/>
                <w:szCs w:val="21"/>
              </w:rPr>
              <w:t>负责更换和补发。</w:t>
            </w:r>
          </w:p>
        </w:tc>
        <w:tc>
          <w:tcPr>
            <w:tcW w:w="2548"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9" w:name="_Toc24401"/>
            <w:bookmarkStart w:id="20" w:name="_Toc28228"/>
            <w:r>
              <w:rPr>
                <w:rFonts w:hint="eastAsia" w:asciiTheme="minorEastAsia" w:hAnsiTheme="minorEastAsia" w:eastAsiaTheme="minorEastAsia" w:cstheme="minorEastAsia"/>
                <w:color w:val="auto"/>
                <w:kern w:val="2"/>
                <w:sz w:val="21"/>
                <w:szCs w:val="21"/>
                <w:lang w:val="en-US" w:eastAsia="zh-CN" w:bidi="ar-SA"/>
              </w:rPr>
              <w:t>5</w:t>
            </w:r>
            <w:bookmarkEnd w:id="19"/>
            <w:bookmarkEnd w:id="20"/>
          </w:p>
        </w:tc>
        <w:tc>
          <w:tcPr>
            <w:tcW w:w="4171" w:type="dxa"/>
            <w:vAlign w:val="center"/>
          </w:tcPr>
          <w:p w14:paraId="37CEFC9B">
            <w:pPr>
              <w:widowControl/>
              <w:shd w:val="clear" w:color="auto" w:fill="FFFFFF"/>
              <w:spacing w:line="360" w:lineRule="auto"/>
              <w:rPr>
                <w:rFonts w:ascii="宋体" w:hAnsi="宋体"/>
                <w:b/>
                <w:bCs/>
                <w:szCs w:val="21"/>
              </w:rPr>
            </w:pPr>
            <w:r>
              <w:rPr>
                <w:rFonts w:hint="eastAsia" w:ascii="宋体" w:hAnsi="宋体"/>
                <w:b/>
                <w:bCs/>
                <w:szCs w:val="21"/>
              </w:rPr>
              <w:t>验收方式及要求：</w:t>
            </w:r>
          </w:p>
          <w:p w14:paraId="4920D2F1">
            <w:pPr>
              <w:widowControl/>
              <w:shd w:val="clear" w:color="auto" w:fill="FFFFFF"/>
              <w:spacing w:line="360" w:lineRule="auto"/>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1</w:t>
            </w:r>
            <w:r>
              <w:rPr>
                <w:rFonts w:hint="eastAsia" w:asciiTheme="minorEastAsia" w:hAnsiTheme="minorEastAsia" w:eastAsiaTheme="minorEastAsia" w:cstheme="minorEastAsia"/>
                <w:bCs/>
                <w:szCs w:val="21"/>
                <w:lang w:val="en-US" w:eastAsia="zh-CN"/>
              </w:rPr>
              <w:t>.</w:t>
            </w:r>
            <w:r>
              <w:rPr>
                <w:rFonts w:hint="eastAsia" w:asciiTheme="minorEastAsia" w:hAnsiTheme="minorEastAsia" w:eastAsiaTheme="minorEastAsia" w:cstheme="minorEastAsia"/>
                <w:bCs/>
                <w:szCs w:val="21"/>
              </w:rPr>
              <w:t>交货时，所有产品均严格按采购文件上的技术参数要求，采购人按</w:t>
            </w:r>
            <w:r>
              <w:rPr>
                <w:rFonts w:hint="eastAsia" w:asciiTheme="minorEastAsia" w:hAnsiTheme="minorEastAsia" w:eastAsiaTheme="minorEastAsia" w:cstheme="minorEastAsia"/>
                <w:bCs/>
                <w:szCs w:val="21"/>
                <w:lang w:val="en-US" w:eastAsia="zh-CN"/>
              </w:rPr>
              <w:t>成交供应商</w:t>
            </w:r>
            <w:r>
              <w:rPr>
                <w:rFonts w:hint="eastAsia" w:asciiTheme="minorEastAsia" w:hAnsiTheme="minorEastAsia" w:eastAsiaTheme="minorEastAsia" w:cstheme="minorEastAsia"/>
                <w:bCs/>
                <w:szCs w:val="21"/>
              </w:rPr>
              <w:t>响应和承诺的技术参数及性能和国家有关标准进行验收，达不到要求的不予验收，视为产品验收不合格，并且保留追究成交供应商虚假</w:t>
            </w:r>
            <w:r>
              <w:rPr>
                <w:rFonts w:hint="eastAsia" w:asciiTheme="minorEastAsia" w:hAnsiTheme="minorEastAsia" w:eastAsiaTheme="minorEastAsia" w:cstheme="minorEastAsia"/>
                <w:bCs/>
                <w:szCs w:val="21"/>
                <w:lang w:val="en-US" w:eastAsia="zh-CN"/>
              </w:rPr>
              <w:t>响应</w:t>
            </w:r>
            <w:r>
              <w:rPr>
                <w:rFonts w:hint="eastAsia" w:asciiTheme="minorEastAsia" w:hAnsiTheme="minorEastAsia" w:eastAsiaTheme="minorEastAsia" w:cstheme="minorEastAsia"/>
                <w:bCs/>
                <w:szCs w:val="21"/>
              </w:rPr>
              <w:t>的法律责任。</w:t>
            </w:r>
          </w:p>
          <w:p w14:paraId="5DE87912">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bCs/>
                <w:szCs w:val="21"/>
              </w:rPr>
              <w:t>2</w:t>
            </w:r>
            <w:r>
              <w:rPr>
                <w:rFonts w:hint="eastAsia" w:asciiTheme="minorEastAsia" w:hAnsiTheme="minorEastAsia" w:eastAsiaTheme="minorEastAsia" w:cstheme="minorEastAsia"/>
                <w:bCs/>
                <w:szCs w:val="21"/>
                <w:lang w:val="en-US" w:eastAsia="zh-CN"/>
              </w:rPr>
              <w:t>.</w:t>
            </w:r>
            <w:r>
              <w:rPr>
                <w:rFonts w:hint="eastAsia" w:asciiTheme="minorEastAsia" w:hAnsiTheme="minorEastAsia" w:eastAsiaTheme="minorEastAsia" w:cstheme="minorEastAsia"/>
                <w:bCs/>
                <w:szCs w:val="21"/>
              </w:rPr>
              <w:t>按要求供货到现场(包括包装、卸货及搬运)。</w:t>
            </w:r>
          </w:p>
        </w:tc>
        <w:tc>
          <w:tcPr>
            <w:tcW w:w="2548"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FD331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C61B245">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4171" w:type="dxa"/>
            <w:vAlign w:val="center"/>
          </w:tcPr>
          <w:p w14:paraId="5A2C9634">
            <w:pPr>
              <w:widowControl/>
              <w:shd w:val="clear" w:color="auto" w:fill="FFFFFF"/>
              <w:spacing w:line="360" w:lineRule="auto"/>
              <w:rPr>
                <w:rFonts w:ascii="宋体" w:hAnsi="宋体"/>
                <w:b/>
                <w:bCs/>
                <w:szCs w:val="21"/>
              </w:rPr>
            </w:pPr>
            <w:r>
              <w:rPr>
                <w:rFonts w:hint="eastAsia" w:ascii="宋体" w:hAnsi="宋体"/>
                <w:b/>
                <w:bCs/>
                <w:szCs w:val="21"/>
              </w:rPr>
              <w:t>售后服务要求：</w:t>
            </w:r>
          </w:p>
          <w:p w14:paraId="399C824F">
            <w:p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质量保证期  1  年（自交货并验收合格之日起计），质量保证期内按国家有关产品“三包”规定执行“三包”，质量保证期内因产品质量问题发生的相关费用由成交供应商承担。</w:t>
            </w:r>
          </w:p>
          <w:p w14:paraId="6635A4EF">
            <w:pPr>
              <w:bidi w:val="0"/>
              <w:rPr>
                <w:rFonts w:hint="eastAsia" w:asciiTheme="minorEastAsia" w:hAnsiTheme="minorEastAsia" w:cstheme="minorEastAsia"/>
                <w:color w:val="auto"/>
                <w:szCs w:val="21"/>
                <w:highlight w:val="none"/>
                <w:lang w:val="en-US" w:eastAsia="zh-CN"/>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服务响应时间：对于服务请求，须在 20 分钟内响应；一般问题 8小时内解决；对于重大问题不能超过 48 小时解决且要求 4 小时内到现场服务。</w:t>
            </w:r>
          </w:p>
        </w:tc>
        <w:tc>
          <w:tcPr>
            <w:tcW w:w="2548" w:type="dxa"/>
            <w:shd w:val="clear" w:color="auto" w:fill="auto"/>
            <w:vAlign w:val="center"/>
          </w:tcPr>
          <w:p w14:paraId="1207D5E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FBB7929">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41B45C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56687B8C">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7</w:t>
            </w:r>
          </w:p>
        </w:tc>
        <w:tc>
          <w:tcPr>
            <w:tcW w:w="4171" w:type="dxa"/>
            <w:vAlign w:val="center"/>
          </w:tcPr>
          <w:p w14:paraId="05ADFAAB">
            <w:pPr>
              <w:bidi w:val="0"/>
              <w:rPr>
                <w:b/>
                <w:bCs/>
              </w:rPr>
            </w:pPr>
            <w:r>
              <w:rPr>
                <w:rFonts w:hint="eastAsia"/>
                <w:b/>
                <w:bCs/>
              </w:rPr>
              <w:t>其他要求：</w:t>
            </w:r>
          </w:p>
          <w:p w14:paraId="6072C841">
            <w:pPr>
              <w:bidi w:val="0"/>
            </w:pPr>
            <w:r>
              <w:rPr>
                <w:rFonts w:hint="eastAsia"/>
              </w:rPr>
              <w:t>1</w:t>
            </w:r>
            <w:r>
              <w:rPr>
                <w:rFonts w:hint="eastAsia"/>
                <w:lang w:val="en-US" w:eastAsia="zh-CN"/>
              </w:rPr>
              <w:t>.</w:t>
            </w:r>
            <w:r>
              <w:rPr>
                <w:rFonts w:hint="eastAsia"/>
              </w:rPr>
              <w:t>投标报价为采购人指定地点的现场交货价，包括：</w:t>
            </w:r>
          </w:p>
          <w:p w14:paraId="00975901">
            <w:pPr>
              <w:bidi w:val="0"/>
            </w:pPr>
            <w:r>
              <w:rPr>
                <w:rFonts w:hint="eastAsia"/>
              </w:rPr>
              <w:t>（1）货物的价格；</w:t>
            </w:r>
          </w:p>
          <w:p w14:paraId="2BFA05AB">
            <w:pPr>
              <w:bidi w:val="0"/>
            </w:pPr>
            <w:r>
              <w:rPr>
                <w:rFonts w:hint="eastAsia"/>
              </w:rPr>
              <w:t>（2）货物的标准附件、备品备件、专用工具的价格；</w:t>
            </w:r>
          </w:p>
          <w:p w14:paraId="0BF17858">
            <w:pPr>
              <w:bidi w:val="0"/>
            </w:pPr>
            <w:r>
              <w:rPr>
                <w:rFonts w:hint="eastAsia"/>
              </w:rPr>
              <w:t>（3）运输、装卸、搬运、技术支持、售后服务等费用；</w:t>
            </w:r>
          </w:p>
          <w:p w14:paraId="252F09B9">
            <w:pPr>
              <w:bidi w:val="0"/>
              <w:rPr>
                <w:rFonts w:hint="eastAsia"/>
                <w:lang w:eastAsia="zh-CN"/>
              </w:rPr>
            </w:pPr>
            <w:r>
              <w:rPr>
                <w:rFonts w:hint="eastAsia"/>
              </w:rPr>
              <w:t>（4）必要的保险费用和各项税费</w:t>
            </w:r>
            <w:r>
              <w:rPr>
                <w:rFonts w:hint="eastAsia"/>
                <w:lang w:eastAsia="zh-CN"/>
              </w:rPr>
              <w:t>。</w:t>
            </w:r>
          </w:p>
          <w:p w14:paraId="76602E2C">
            <w:pPr>
              <w:bidi w:val="0"/>
              <w:rPr>
                <w:rFonts w:hint="eastAsia" w:ascii="宋体" w:hAnsi="宋体" w:cs="宋体"/>
              </w:rPr>
            </w:pPr>
            <w:r>
              <w:rPr>
                <w:rFonts w:hint="eastAsia"/>
              </w:rPr>
              <w:t>2</w:t>
            </w:r>
            <w:r>
              <w:rPr>
                <w:rFonts w:hint="eastAsia"/>
                <w:lang w:val="en-US" w:eastAsia="zh-CN"/>
              </w:rPr>
              <w:t>.</w:t>
            </w:r>
            <w:r>
              <w:rPr>
                <w:rFonts w:hint="eastAsia"/>
              </w:rPr>
              <w:t>付款方式：货物</w:t>
            </w:r>
            <w:r>
              <w:rPr>
                <w:rFonts w:hint="eastAsia"/>
                <w:lang w:val="en-US" w:eastAsia="zh-CN"/>
              </w:rPr>
              <w:t>交付完毕并经采购人</w:t>
            </w:r>
            <w:r>
              <w:rPr>
                <w:rFonts w:hint="eastAsia"/>
              </w:rPr>
              <w:t>验收合格后一次性支付合同款（付款前</w:t>
            </w:r>
            <w:r>
              <w:rPr>
                <w:rFonts w:hint="eastAsia"/>
                <w:lang w:val="en-US" w:eastAsia="zh-CN"/>
              </w:rPr>
              <w:t>成交供应商须</w:t>
            </w:r>
            <w:r>
              <w:rPr>
                <w:rFonts w:hint="eastAsia"/>
              </w:rPr>
              <w:t>开具等额合规的增值税普通发票</w:t>
            </w:r>
            <w:r>
              <w:rPr>
                <w:rFonts w:hint="eastAsia"/>
                <w:lang w:val="en-US" w:eastAsia="zh-CN"/>
              </w:rPr>
              <w:t>给采购人</w:t>
            </w:r>
            <w:r>
              <w:rPr>
                <w:rFonts w:hint="eastAsia"/>
              </w:rPr>
              <w:t>）。</w:t>
            </w:r>
          </w:p>
        </w:tc>
        <w:tc>
          <w:tcPr>
            <w:tcW w:w="2548" w:type="dxa"/>
            <w:shd w:val="clear" w:color="auto" w:fill="auto"/>
            <w:vAlign w:val="center"/>
          </w:tcPr>
          <w:p w14:paraId="7D81971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62A67E4">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0"/>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76A0E46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075E3CAD">
      <w:pPr>
        <w:rPr>
          <w:rFonts w:hint="eastAsia" w:ascii="仿宋" w:hAnsi="仿宋" w:eastAsia="仿宋" w:cstheme="minorEastAsia"/>
          <w:color w:val="auto"/>
          <w:sz w:val="28"/>
          <w:szCs w:val="28"/>
        </w:rPr>
      </w:pP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8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南宁中心血站2026年铝合金帐篷采购</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4"/>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7E8FA178">
      <w:pPr>
        <w:pStyle w:val="14"/>
        <w:ind w:firstLine="0" w:firstLineChars="0"/>
        <w:jc w:val="left"/>
        <w:rPr>
          <w:rFonts w:hint="eastAsia" w:ascii="宋体" w:hAnsi="宋体"/>
          <w:color w:val="auto"/>
          <w:kern w:val="44"/>
          <w:sz w:val="44"/>
          <w:szCs w:val="44"/>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9</w:t>
      </w:r>
    </w:p>
    <w:p w14:paraId="385688ED">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4"/>
        <w:rPr>
          <w:rFonts w:hint="eastAsia"/>
          <w:color w:val="auto"/>
        </w:rPr>
      </w:pPr>
    </w:p>
    <w:p w14:paraId="6658D501">
      <w:pPr>
        <w:pStyle w:val="4"/>
        <w:rPr>
          <w:rFonts w:hint="eastAsia"/>
          <w:color w:val="auto"/>
        </w:rPr>
      </w:pPr>
    </w:p>
    <w:p w14:paraId="34878DB2">
      <w:pPr>
        <w:pStyle w:val="4"/>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4"/>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4"/>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5"/>
        </w:numPr>
        <w:rPr>
          <w:rFonts w:hint="eastAsia" w:ascii="宋体" w:hAnsi="宋体"/>
          <w:color w:val="auto"/>
          <w:sz w:val="28"/>
        </w:rPr>
      </w:pPr>
      <w:r>
        <w:rPr>
          <w:rFonts w:hint="eastAsia" w:ascii="宋体" w:hAnsi="宋体"/>
          <w:color w:val="auto"/>
          <w:sz w:val="28"/>
        </w:rPr>
        <w:t>采购结果公告</w:t>
      </w:r>
    </w:p>
    <w:p w14:paraId="53018E3B">
      <w:pPr>
        <w:numPr>
          <w:ilvl w:val="0"/>
          <w:numId w:val="5"/>
        </w:numPr>
        <w:rPr>
          <w:rFonts w:hint="eastAsia" w:ascii="宋体" w:hAnsi="宋体"/>
          <w:color w:val="auto"/>
          <w:sz w:val="28"/>
        </w:rPr>
      </w:pPr>
      <w:r>
        <w:rPr>
          <w:rFonts w:hint="eastAsia" w:ascii="宋体" w:hAnsi="宋体"/>
          <w:color w:val="auto"/>
          <w:sz w:val="28"/>
        </w:rPr>
        <w:t>采购需求一览表</w:t>
      </w:r>
    </w:p>
    <w:p w14:paraId="1BAF156E">
      <w:pPr>
        <w:numPr>
          <w:ilvl w:val="0"/>
          <w:numId w:val="5"/>
        </w:numPr>
        <w:rPr>
          <w:rFonts w:hint="eastAsia" w:ascii="宋体" w:hAnsi="宋体"/>
          <w:color w:val="auto"/>
          <w:sz w:val="28"/>
        </w:rPr>
      </w:pPr>
      <w:r>
        <w:rPr>
          <w:rFonts w:hint="eastAsia" w:ascii="宋体" w:hAnsi="宋体"/>
          <w:color w:val="auto"/>
          <w:sz w:val="28"/>
        </w:rPr>
        <w:t>投标报价表</w:t>
      </w:r>
    </w:p>
    <w:p w14:paraId="7A93DFB3">
      <w:pPr>
        <w:numPr>
          <w:ilvl w:val="0"/>
          <w:numId w:val="5"/>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5"/>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5"/>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5"/>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54DACEBD">
      <w:pPr>
        <w:spacing w:line="360" w:lineRule="auto"/>
        <w:jc w:val="center"/>
        <w:rPr>
          <w:rFonts w:hint="eastAsia" w:ascii="宋体" w:hAnsi="宋体"/>
          <w:b/>
          <w:color w:val="auto"/>
          <w:sz w:val="30"/>
          <w:szCs w:val="30"/>
        </w:rPr>
      </w:pPr>
    </w:p>
    <w:p w14:paraId="2443CCE6">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7"/>
        <w:jc w:val="center"/>
        <w:rPr>
          <w:rFonts w:hAnsi="宋体"/>
          <w:b/>
          <w:color w:val="auto"/>
          <w:sz w:val="32"/>
        </w:rPr>
      </w:pPr>
    </w:p>
    <w:p w14:paraId="5785B8E7">
      <w:pPr>
        <w:pStyle w:val="7"/>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7"/>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7"/>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7"/>
        <w:spacing w:line="360" w:lineRule="auto"/>
        <w:rPr>
          <w:rFonts w:hint="eastAsia" w:hAnsi="宋体"/>
          <w:color w:val="auto"/>
        </w:rPr>
      </w:pPr>
    </w:p>
    <w:p w14:paraId="241AF819">
      <w:pPr>
        <w:pStyle w:val="7"/>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7"/>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7"/>
        <w:spacing w:line="360" w:lineRule="auto"/>
        <w:rPr>
          <w:rFonts w:hint="eastAsia" w:hAnsi="宋体"/>
          <w:b/>
          <w:color w:val="auto"/>
        </w:rPr>
      </w:pPr>
      <w:r>
        <w:rPr>
          <w:rFonts w:hint="eastAsia" w:hAnsi="宋体"/>
          <w:b/>
          <w:color w:val="auto"/>
        </w:rPr>
        <w:t xml:space="preserve">    </w:t>
      </w:r>
    </w:p>
    <w:p w14:paraId="1C76F77C">
      <w:pPr>
        <w:pStyle w:val="7"/>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7"/>
        <w:spacing w:line="360" w:lineRule="auto"/>
        <w:rPr>
          <w:rFonts w:hint="eastAsia" w:hAnsi="宋体"/>
          <w:b/>
          <w:color w:val="auto"/>
        </w:rPr>
      </w:pPr>
    </w:p>
    <w:p w14:paraId="09029BF8">
      <w:pPr>
        <w:pStyle w:val="7"/>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7"/>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7"/>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7"/>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7"/>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7"/>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7"/>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7"/>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7"/>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7"/>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7"/>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7"/>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7"/>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7"/>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7"/>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7"/>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7"/>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7"/>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7"/>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7"/>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7"/>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7"/>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7"/>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7"/>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7"/>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7"/>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7"/>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7"/>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7"/>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7"/>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7"/>
        <w:spacing w:line="360" w:lineRule="auto"/>
        <w:rPr>
          <w:rFonts w:hint="eastAsia" w:hAnsi="宋体"/>
          <w:b/>
          <w:color w:val="auto"/>
        </w:rPr>
      </w:pPr>
      <w:r>
        <w:rPr>
          <w:rFonts w:hint="eastAsia" w:hAnsi="宋体"/>
          <w:b/>
          <w:bCs/>
          <w:color w:val="auto"/>
          <w:sz w:val="24"/>
          <w:szCs w:val="24"/>
        </w:rPr>
        <w:t>8.  技术资料</w:t>
      </w:r>
    </w:p>
    <w:p w14:paraId="38613666">
      <w:pPr>
        <w:pStyle w:val="7"/>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7"/>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7"/>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7"/>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7"/>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7"/>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7"/>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7"/>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7"/>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7"/>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7"/>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7"/>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7"/>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7"/>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7"/>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7"/>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7"/>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7"/>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7"/>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7"/>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2"/>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7"/>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7"/>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7"/>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7"/>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7"/>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7"/>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7"/>
        <w:spacing w:line="360" w:lineRule="auto"/>
        <w:rPr>
          <w:rFonts w:hint="eastAsia" w:hAnsi="宋体" w:eastAsiaTheme="minorEastAsia"/>
          <w:b/>
          <w:bCs/>
          <w:color w:val="auto"/>
          <w:sz w:val="24"/>
          <w:szCs w:val="24"/>
          <w:lang w:val="en-US" w:eastAsia="zh-CN"/>
        </w:rPr>
      </w:pPr>
      <w:r>
        <w:rPr>
          <w:rFonts w:hint="eastAsia" w:hAnsi="宋体"/>
          <w:b/>
          <w:bCs/>
          <w:color w:val="auto"/>
          <w:sz w:val="24"/>
          <w:szCs w:val="24"/>
        </w:rPr>
        <w:t>14.  合同生效及</w:t>
      </w:r>
      <w:r>
        <w:rPr>
          <w:rFonts w:hint="eastAsia" w:hAnsi="宋体"/>
          <w:b/>
          <w:bCs/>
          <w:color w:val="auto"/>
          <w:sz w:val="24"/>
          <w:szCs w:val="24"/>
          <w:lang w:val="en-US" w:eastAsia="zh-CN"/>
        </w:rPr>
        <w:t>其他</w:t>
      </w:r>
    </w:p>
    <w:p w14:paraId="0795D398">
      <w:pPr>
        <w:pStyle w:val="7"/>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7"/>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7"/>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7"/>
        <w:spacing w:line="360" w:lineRule="auto"/>
        <w:ind w:firstLine="360"/>
        <w:rPr>
          <w:rFonts w:hint="eastAsia" w:hAnsi="宋体"/>
          <w:color w:val="auto"/>
        </w:rPr>
      </w:pPr>
      <w:r>
        <w:rPr>
          <w:rFonts w:hint="eastAsia" w:hAnsi="宋体"/>
          <w:color w:val="auto"/>
        </w:rPr>
        <w:t>（1）采购结果公告；</w:t>
      </w:r>
    </w:p>
    <w:p w14:paraId="404C60AF">
      <w:pPr>
        <w:pStyle w:val="7"/>
        <w:spacing w:line="360" w:lineRule="auto"/>
        <w:ind w:firstLine="360"/>
        <w:rPr>
          <w:rFonts w:hint="eastAsia" w:hAnsi="宋体"/>
          <w:color w:val="auto"/>
        </w:rPr>
      </w:pPr>
      <w:r>
        <w:rPr>
          <w:rFonts w:hint="eastAsia" w:hAnsi="宋体"/>
          <w:color w:val="auto"/>
        </w:rPr>
        <w:t>（2）采购需求一览表；</w:t>
      </w:r>
    </w:p>
    <w:p w14:paraId="6DE1B8D7">
      <w:pPr>
        <w:pStyle w:val="7"/>
        <w:spacing w:line="360" w:lineRule="auto"/>
        <w:ind w:firstLine="360"/>
        <w:rPr>
          <w:rFonts w:hint="eastAsia" w:hAnsi="宋体"/>
          <w:color w:val="auto"/>
        </w:rPr>
      </w:pPr>
      <w:r>
        <w:rPr>
          <w:rFonts w:hint="eastAsia" w:hAnsi="宋体"/>
          <w:color w:val="auto"/>
        </w:rPr>
        <w:t>（3）投标报价表；</w:t>
      </w:r>
    </w:p>
    <w:p w14:paraId="38EC2C3A">
      <w:pPr>
        <w:pStyle w:val="7"/>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7"/>
        <w:spacing w:line="360" w:lineRule="auto"/>
        <w:ind w:firstLine="360"/>
        <w:rPr>
          <w:rFonts w:hint="eastAsia" w:hAnsi="宋体"/>
          <w:color w:val="auto"/>
        </w:rPr>
      </w:pPr>
      <w:r>
        <w:rPr>
          <w:rFonts w:hint="eastAsia" w:hAnsi="宋体"/>
          <w:color w:val="auto"/>
        </w:rPr>
        <w:t>（5）响应技术资料表；（如有）</w:t>
      </w:r>
    </w:p>
    <w:p w14:paraId="776C65C2">
      <w:pPr>
        <w:pStyle w:val="7"/>
        <w:spacing w:line="360" w:lineRule="auto"/>
        <w:ind w:firstLine="360"/>
        <w:rPr>
          <w:rFonts w:hint="eastAsia" w:hAnsi="宋体"/>
          <w:color w:val="auto"/>
        </w:rPr>
      </w:pPr>
      <w:r>
        <w:rPr>
          <w:rFonts w:hint="eastAsia" w:hAnsi="宋体"/>
          <w:color w:val="auto"/>
        </w:rPr>
        <w:t>（6）商务条款偏离表（如有）；</w:t>
      </w:r>
    </w:p>
    <w:p w14:paraId="37AA493F">
      <w:pPr>
        <w:pStyle w:val="7"/>
        <w:spacing w:line="360" w:lineRule="auto"/>
        <w:ind w:firstLine="360"/>
        <w:rPr>
          <w:rFonts w:hint="eastAsia" w:hAnsi="宋体"/>
          <w:color w:val="auto"/>
        </w:rPr>
      </w:pPr>
      <w:r>
        <w:rPr>
          <w:rFonts w:hint="eastAsia" w:hAnsi="宋体"/>
          <w:color w:val="auto"/>
        </w:rPr>
        <w:t>（7）其他与本合同相关的资料（如有）。</w:t>
      </w:r>
    </w:p>
    <w:p w14:paraId="40C15DA7">
      <w:pPr>
        <w:pStyle w:val="7"/>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7"/>
        <w:spacing w:line="360" w:lineRule="auto"/>
        <w:ind w:firstLine="360"/>
        <w:rPr>
          <w:rFonts w:hint="eastAsia" w:hAnsi="宋体"/>
          <w:color w:val="auto"/>
        </w:rPr>
      </w:pPr>
      <w:r>
        <w:rPr>
          <w:rFonts w:hint="eastAsia" w:hAnsi="宋体"/>
          <w:color w:val="auto"/>
        </w:rPr>
        <w:t>14.5本合同一式伍份，具有同等法律效力，甲方三份，乙方二份，自甲乙双方法定代表</w:t>
      </w:r>
      <w:r>
        <w:rPr>
          <w:rFonts w:hint="eastAsia" w:hAnsi="宋体"/>
          <w:color w:val="auto"/>
          <w:lang w:val="en-US" w:eastAsia="zh-CN"/>
        </w:rPr>
        <w:t>人</w:t>
      </w:r>
      <w:r>
        <w:rPr>
          <w:rFonts w:hint="eastAsia" w:hAnsi="宋体"/>
          <w:color w:val="auto"/>
        </w:rPr>
        <w:t xml:space="preserve">或被授权代表人签字并加盖单位公章后正式生效。 </w:t>
      </w:r>
    </w:p>
    <w:p w14:paraId="388B0EAA">
      <w:pPr>
        <w:pStyle w:val="2"/>
        <w:numPr>
          <w:ilvl w:val="3"/>
          <w:numId w:val="0"/>
        </w:numPr>
        <w:ind w:left="1077" w:leftChars="0"/>
        <w:rPr>
          <w:rFonts w:hint="eastAsia"/>
        </w:rPr>
      </w:pPr>
    </w:p>
    <w:p w14:paraId="4A9EE3C0">
      <w:pPr>
        <w:pStyle w:val="14"/>
        <w:ind w:left="0" w:leftChars="0" w:firstLine="0" w:firstLineChars="0"/>
        <w:rPr>
          <w:rFonts w:hint="eastAsia"/>
        </w:rPr>
      </w:pPr>
    </w:p>
    <w:p w14:paraId="67C2473B">
      <w:pPr>
        <w:rPr>
          <w:rFonts w:hint="eastAsia" w:hAnsi="宋体"/>
          <w:color w:val="auto"/>
        </w:rPr>
      </w:pPr>
    </w:p>
    <w:p w14:paraId="65B63E8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7EB40F7E">
      <w:pPr>
        <w:pStyle w:val="7"/>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2"/>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819BB63">
      <w:pPr>
        <w:spacing w:line="560" w:lineRule="exact"/>
        <w:jc w:val="left"/>
        <w:rPr>
          <w:rFonts w:asciiTheme="minorEastAsia" w:hAnsiTheme="minorEastAsia" w:cstheme="majorEastAsia"/>
          <w:bCs/>
          <w:color w:val="000000"/>
          <w:sz w:val="28"/>
          <w:szCs w:val="28"/>
        </w:rPr>
      </w:pPr>
    </w:p>
    <w:p w14:paraId="54F2D2D1">
      <w:pPr>
        <w:pStyle w:val="14"/>
        <w:spacing w:line="20" w:lineRule="exact"/>
        <w:ind w:firstLine="0" w:firstLineChars="0"/>
      </w:pPr>
    </w:p>
    <w:p w14:paraId="706CB127">
      <w:pPr>
        <w:spacing w:line="360" w:lineRule="auto"/>
        <w:rPr>
          <w:rFonts w:hint="eastAsia" w:ascii="宋体" w:hAnsi="宋体" w:cs="宋体"/>
          <w:szCs w:val="20"/>
        </w:rPr>
      </w:pP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49B396B-F73F-47DD-B7E2-E428D904B88D}"/>
  </w:font>
  <w:font w:name="Courier New">
    <w:panose1 w:val="02070309020205020404"/>
    <w:charset w:val="01"/>
    <w:family w:val="modern"/>
    <w:pitch w:val="default"/>
    <w:sig w:usb0="E0002EFF" w:usb1="C0007843" w:usb2="00000009" w:usb3="00000000" w:csb0="400001FF" w:csb1="FFFF0000"/>
    <w:embedRegular r:id="rId2" w:fontKey="{E8B71F1E-259C-46B7-9A51-CD6556584411}"/>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F8D01326-314D-4AA8-8D3C-E9A250302EFA}"/>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5067356C-9F25-424B-A37B-801CB0076F81}"/>
  </w:font>
  <w:font w:name="仿宋_GB2312">
    <w:panose1 w:val="02010609030101010101"/>
    <w:charset w:val="86"/>
    <w:family w:val="modern"/>
    <w:pitch w:val="default"/>
    <w:sig w:usb0="00000001" w:usb1="080E0000" w:usb2="00000000" w:usb3="00000000" w:csb0="00040000" w:csb1="00000000"/>
    <w:embedRegular r:id="rId5" w:fontKey="{222A9CA4-5D63-4D1C-86A5-1A08B6E76546}"/>
  </w:font>
  <w:font w:name="方正楷体_GB2312">
    <w:panose1 w:val="02000000000000000000"/>
    <w:charset w:val="86"/>
    <w:family w:val="auto"/>
    <w:pitch w:val="default"/>
    <w:sig w:usb0="A00002BF" w:usb1="184F6CFA" w:usb2="00000012" w:usb3="00000000" w:csb0="00040001" w:csb1="00000000"/>
    <w:embedRegular r:id="rId6" w:fontKey="{EB4245F1-81B5-425E-8ACC-7A582F94F8B3}"/>
  </w:font>
  <w:font w:name="仿宋">
    <w:panose1 w:val="02010609060101010101"/>
    <w:charset w:val="86"/>
    <w:family w:val="modern"/>
    <w:pitch w:val="default"/>
    <w:sig w:usb0="800002BF" w:usb1="38CF7CFA" w:usb2="00000016" w:usb3="00000000" w:csb0="00040001" w:csb1="00000000"/>
    <w:embedRegular r:id="rId7" w:fontKey="{60BF79D2-BF4F-453F-AC19-2D0607CFA86A}"/>
  </w:font>
  <w:font w:name="Wingdings 2">
    <w:panose1 w:val="05020102010507070707"/>
    <w:charset w:val="02"/>
    <w:family w:val="roman"/>
    <w:pitch w:val="default"/>
    <w:sig w:usb0="00000000" w:usb1="00000000" w:usb2="00000000" w:usb3="00000000" w:csb0="80000000" w:csb1="00000000"/>
    <w:embedRegular r:id="rId8" w:fontKey="{9459FC92-17CC-4345-8833-8FCFD900E00D}"/>
  </w:font>
  <w:font w:name="方正公文小标宋">
    <w:panose1 w:val="02000500000000000000"/>
    <w:charset w:val="86"/>
    <w:family w:val="auto"/>
    <w:pitch w:val="default"/>
    <w:sig w:usb0="A00002BF" w:usb1="38CF7CFA" w:usb2="00000016" w:usb3="00000000" w:csb0="00040001" w:csb1="00000000"/>
    <w:embedRegular r:id="rId9" w:fontKey="{57618B7A-D6F8-47E7-A897-17DCED65ED5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4F9DE7"/>
    <w:multiLevelType w:val="singleLevel"/>
    <w:tmpl w:val="A24F9DE7"/>
    <w:lvl w:ilvl="0" w:tentative="0">
      <w:start w:val="1"/>
      <w:numFmt w:val="decimal"/>
      <w:lvlText w:val="%1."/>
      <w:lvlJc w:val="left"/>
      <w:pPr>
        <w:tabs>
          <w:tab w:val="left" w:pos="312"/>
        </w:tabs>
      </w:p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abstractNum w:abstractNumId="4">
    <w:nsid w:val="47E37507"/>
    <w:multiLevelType w:val="singleLevel"/>
    <w:tmpl w:val="47E37507"/>
    <w:lvl w:ilvl="0" w:tentative="0">
      <w:start w:val="1"/>
      <w:numFmt w:val="chineseCounting"/>
      <w:suff w:val="nothing"/>
      <w:lvlText w:val="%1、"/>
      <w:lvlJc w:val="left"/>
      <w:rPr>
        <w:rFonts w:hint="eastAsia"/>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8154B"/>
    <w:rsid w:val="00091B53"/>
    <w:rsid w:val="000A002F"/>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A385A"/>
    <w:rsid w:val="00DC4F7D"/>
    <w:rsid w:val="00DD6004"/>
    <w:rsid w:val="00DD61BF"/>
    <w:rsid w:val="00DE1BE7"/>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A624F4"/>
    <w:rsid w:val="01D470D9"/>
    <w:rsid w:val="01F51D32"/>
    <w:rsid w:val="020E2058"/>
    <w:rsid w:val="026B1259"/>
    <w:rsid w:val="027038E2"/>
    <w:rsid w:val="02A974D3"/>
    <w:rsid w:val="02D74B40"/>
    <w:rsid w:val="02DE5ECF"/>
    <w:rsid w:val="02E806FA"/>
    <w:rsid w:val="02F15A46"/>
    <w:rsid w:val="031B2C7F"/>
    <w:rsid w:val="03246B1E"/>
    <w:rsid w:val="035006F1"/>
    <w:rsid w:val="0350496E"/>
    <w:rsid w:val="03667C72"/>
    <w:rsid w:val="03670C57"/>
    <w:rsid w:val="03937D91"/>
    <w:rsid w:val="041A76C5"/>
    <w:rsid w:val="04581029"/>
    <w:rsid w:val="046C750A"/>
    <w:rsid w:val="047A748A"/>
    <w:rsid w:val="04CB5FDF"/>
    <w:rsid w:val="04DC0CC3"/>
    <w:rsid w:val="04E92909"/>
    <w:rsid w:val="05040F0B"/>
    <w:rsid w:val="05154836"/>
    <w:rsid w:val="05171224"/>
    <w:rsid w:val="05244B6E"/>
    <w:rsid w:val="053F54D7"/>
    <w:rsid w:val="05D411B5"/>
    <w:rsid w:val="06A16DBF"/>
    <w:rsid w:val="06F046AA"/>
    <w:rsid w:val="079D6B68"/>
    <w:rsid w:val="07D85F5F"/>
    <w:rsid w:val="08517143"/>
    <w:rsid w:val="087A48E9"/>
    <w:rsid w:val="088F7924"/>
    <w:rsid w:val="08DF3E55"/>
    <w:rsid w:val="0969578F"/>
    <w:rsid w:val="09E76B80"/>
    <w:rsid w:val="09FF6A5C"/>
    <w:rsid w:val="0A1D1456"/>
    <w:rsid w:val="0ADD32F7"/>
    <w:rsid w:val="0B0D4766"/>
    <w:rsid w:val="0B656E1E"/>
    <w:rsid w:val="0BC81D9A"/>
    <w:rsid w:val="0C0A5403"/>
    <w:rsid w:val="0C145497"/>
    <w:rsid w:val="0C1D3B7D"/>
    <w:rsid w:val="0D005685"/>
    <w:rsid w:val="0D814026"/>
    <w:rsid w:val="0D8E229F"/>
    <w:rsid w:val="0D941D88"/>
    <w:rsid w:val="0DBF3613"/>
    <w:rsid w:val="0DC81C4F"/>
    <w:rsid w:val="0E9E654C"/>
    <w:rsid w:val="0EA24D69"/>
    <w:rsid w:val="0F2E5AE8"/>
    <w:rsid w:val="0FB30C37"/>
    <w:rsid w:val="0FD20B69"/>
    <w:rsid w:val="0FD21EE4"/>
    <w:rsid w:val="0FF451BB"/>
    <w:rsid w:val="102551DF"/>
    <w:rsid w:val="104B2BA1"/>
    <w:rsid w:val="10D74B39"/>
    <w:rsid w:val="10DF458E"/>
    <w:rsid w:val="10E1375F"/>
    <w:rsid w:val="10E8616A"/>
    <w:rsid w:val="1125116C"/>
    <w:rsid w:val="11511160"/>
    <w:rsid w:val="115630D4"/>
    <w:rsid w:val="1187380C"/>
    <w:rsid w:val="1194486F"/>
    <w:rsid w:val="11972D06"/>
    <w:rsid w:val="11BD2408"/>
    <w:rsid w:val="11C92BA2"/>
    <w:rsid w:val="11CB1987"/>
    <w:rsid w:val="12114284"/>
    <w:rsid w:val="123E43E9"/>
    <w:rsid w:val="12C67FE1"/>
    <w:rsid w:val="12DE7825"/>
    <w:rsid w:val="13347F43"/>
    <w:rsid w:val="13543637"/>
    <w:rsid w:val="13741F37"/>
    <w:rsid w:val="139070DD"/>
    <w:rsid w:val="139850E7"/>
    <w:rsid w:val="13A33E9F"/>
    <w:rsid w:val="14102564"/>
    <w:rsid w:val="142B17DF"/>
    <w:rsid w:val="146B7026"/>
    <w:rsid w:val="14BA45BB"/>
    <w:rsid w:val="14DC1B42"/>
    <w:rsid w:val="151745AB"/>
    <w:rsid w:val="154655BD"/>
    <w:rsid w:val="15BD2B90"/>
    <w:rsid w:val="15C70948"/>
    <w:rsid w:val="15D77522"/>
    <w:rsid w:val="15FF01DE"/>
    <w:rsid w:val="16022C53"/>
    <w:rsid w:val="161D23BF"/>
    <w:rsid w:val="162709B2"/>
    <w:rsid w:val="16903A7A"/>
    <w:rsid w:val="16921052"/>
    <w:rsid w:val="16F969DB"/>
    <w:rsid w:val="177D1728"/>
    <w:rsid w:val="177D28D5"/>
    <w:rsid w:val="1788408B"/>
    <w:rsid w:val="18504D21"/>
    <w:rsid w:val="18887C44"/>
    <w:rsid w:val="188B1885"/>
    <w:rsid w:val="18A92683"/>
    <w:rsid w:val="18ED07C2"/>
    <w:rsid w:val="191044B0"/>
    <w:rsid w:val="196579A2"/>
    <w:rsid w:val="19A5109C"/>
    <w:rsid w:val="1A6D6D72"/>
    <w:rsid w:val="1A73374A"/>
    <w:rsid w:val="1ABF25B6"/>
    <w:rsid w:val="1AC403B5"/>
    <w:rsid w:val="1B1F4E7E"/>
    <w:rsid w:val="1B2F36F2"/>
    <w:rsid w:val="1B4C386F"/>
    <w:rsid w:val="1B5C39DD"/>
    <w:rsid w:val="1B9C027D"/>
    <w:rsid w:val="1C113A23"/>
    <w:rsid w:val="1C1D13BE"/>
    <w:rsid w:val="1C38291A"/>
    <w:rsid w:val="1C542780"/>
    <w:rsid w:val="1C6D2B10"/>
    <w:rsid w:val="1C890801"/>
    <w:rsid w:val="1C9D2311"/>
    <w:rsid w:val="1CFD0F69"/>
    <w:rsid w:val="1D0C3E45"/>
    <w:rsid w:val="1D1B7434"/>
    <w:rsid w:val="1D962FA8"/>
    <w:rsid w:val="1DC26C8C"/>
    <w:rsid w:val="1DC675CC"/>
    <w:rsid w:val="1E0740D4"/>
    <w:rsid w:val="1E3319FB"/>
    <w:rsid w:val="1E4569AA"/>
    <w:rsid w:val="1E4824ED"/>
    <w:rsid w:val="1E6848B0"/>
    <w:rsid w:val="1EC97AD9"/>
    <w:rsid w:val="1EFF2D4C"/>
    <w:rsid w:val="1F5E41C7"/>
    <w:rsid w:val="1F666BD8"/>
    <w:rsid w:val="1FF231B2"/>
    <w:rsid w:val="1FF631C1"/>
    <w:rsid w:val="2010322E"/>
    <w:rsid w:val="20152C0F"/>
    <w:rsid w:val="2090095A"/>
    <w:rsid w:val="20EC5803"/>
    <w:rsid w:val="213F1C3D"/>
    <w:rsid w:val="214F70D2"/>
    <w:rsid w:val="21644C81"/>
    <w:rsid w:val="21DC7625"/>
    <w:rsid w:val="21E1316F"/>
    <w:rsid w:val="22794E74"/>
    <w:rsid w:val="22B42A6A"/>
    <w:rsid w:val="22C81958"/>
    <w:rsid w:val="22DC5488"/>
    <w:rsid w:val="2311742A"/>
    <w:rsid w:val="23251A24"/>
    <w:rsid w:val="238E7993"/>
    <w:rsid w:val="23DF7159"/>
    <w:rsid w:val="244C6A7F"/>
    <w:rsid w:val="24645B79"/>
    <w:rsid w:val="24880C9A"/>
    <w:rsid w:val="24C95406"/>
    <w:rsid w:val="24EE7D9B"/>
    <w:rsid w:val="24FA0878"/>
    <w:rsid w:val="24FF6C02"/>
    <w:rsid w:val="25030284"/>
    <w:rsid w:val="256D244F"/>
    <w:rsid w:val="25CD5AD7"/>
    <w:rsid w:val="26494DC5"/>
    <w:rsid w:val="266D6866"/>
    <w:rsid w:val="267159D3"/>
    <w:rsid w:val="267E65C1"/>
    <w:rsid w:val="26881050"/>
    <w:rsid w:val="26AA04BC"/>
    <w:rsid w:val="26BA5D64"/>
    <w:rsid w:val="26BC58A5"/>
    <w:rsid w:val="271355A6"/>
    <w:rsid w:val="272922EB"/>
    <w:rsid w:val="27392E24"/>
    <w:rsid w:val="27400126"/>
    <w:rsid w:val="27464BE9"/>
    <w:rsid w:val="2758774E"/>
    <w:rsid w:val="27A52987"/>
    <w:rsid w:val="27D77D5F"/>
    <w:rsid w:val="28447105"/>
    <w:rsid w:val="2859006F"/>
    <w:rsid w:val="2860321B"/>
    <w:rsid w:val="289077B9"/>
    <w:rsid w:val="28B6263A"/>
    <w:rsid w:val="293A3A09"/>
    <w:rsid w:val="29415831"/>
    <w:rsid w:val="294361DC"/>
    <w:rsid w:val="296800D0"/>
    <w:rsid w:val="29693E94"/>
    <w:rsid w:val="29C23F50"/>
    <w:rsid w:val="29D8769C"/>
    <w:rsid w:val="2A3A75DF"/>
    <w:rsid w:val="2A6C4441"/>
    <w:rsid w:val="2A8820F8"/>
    <w:rsid w:val="2A9B5BE2"/>
    <w:rsid w:val="2AB663E9"/>
    <w:rsid w:val="2B253DEB"/>
    <w:rsid w:val="2B852ADC"/>
    <w:rsid w:val="2BAB4636"/>
    <w:rsid w:val="2BEE5268"/>
    <w:rsid w:val="2BF57C61"/>
    <w:rsid w:val="2C5E66B5"/>
    <w:rsid w:val="2C752B50"/>
    <w:rsid w:val="2C78619D"/>
    <w:rsid w:val="2CA30E6B"/>
    <w:rsid w:val="2CBF5B79"/>
    <w:rsid w:val="2CED0939"/>
    <w:rsid w:val="2CF73FB5"/>
    <w:rsid w:val="2D29300D"/>
    <w:rsid w:val="2D7E5110"/>
    <w:rsid w:val="2DAC4EEC"/>
    <w:rsid w:val="2DED3D91"/>
    <w:rsid w:val="2E162111"/>
    <w:rsid w:val="2E620CC5"/>
    <w:rsid w:val="2E8E24A9"/>
    <w:rsid w:val="2E921785"/>
    <w:rsid w:val="2EB76AF9"/>
    <w:rsid w:val="2EBD6679"/>
    <w:rsid w:val="2F4A332F"/>
    <w:rsid w:val="2F5729E1"/>
    <w:rsid w:val="2F995907"/>
    <w:rsid w:val="2FC917E4"/>
    <w:rsid w:val="302C14D5"/>
    <w:rsid w:val="3030748C"/>
    <w:rsid w:val="306A5B0E"/>
    <w:rsid w:val="30BC19C5"/>
    <w:rsid w:val="30E12A45"/>
    <w:rsid w:val="311A5A74"/>
    <w:rsid w:val="311F752F"/>
    <w:rsid w:val="31312D61"/>
    <w:rsid w:val="31456D1C"/>
    <w:rsid w:val="31693B1A"/>
    <w:rsid w:val="31DE6E0A"/>
    <w:rsid w:val="323351F0"/>
    <w:rsid w:val="32361724"/>
    <w:rsid w:val="32A86C88"/>
    <w:rsid w:val="33686B58"/>
    <w:rsid w:val="33AE3B69"/>
    <w:rsid w:val="33F86541"/>
    <w:rsid w:val="340D0E15"/>
    <w:rsid w:val="34266DEB"/>
    <w:rsid w:val="34711E4F"/>
    <w:rsid w:val="34806536"/>
    <w:rsid w:val="348A3F25"/>
    <w:rsid w:val="34B9486E"/>
    <w:rsid w:val="34E026DF"/>
    <w:rsid w:val="35111533"/>
    <w:rsid w:val="35234768"/>
    <w:rsid w:val="35236581"/>
    <w:rsid w:val="35577297"/>
    <w:rsid w:val="35935DF5"/>
    <w:rsid w:val="35AD02FE"/>
    <w:rsid w:val="35B23444"/>
    <w:rsid w:val="35C3060D"/>
    <w:rsid w:val="35C40737"/>
    <w:rsid w:val="35CA2F0A"/>
    <w:rsid w:val="36323860"/>
    <w:rsid w:val="36A35BB0"/>
    <w:rsid w:val="36C10068"/>
    <w:rsid w:val="37645C9B"/>
    <w:rsid w:val="380D6333"/>
    <w:rsid w:val="382A1CD8"/>
    <w:rsid w:val="38545D10"/>
    <w:rsid w:val="38575800"/>
    <w:rsid w:val="388C54AA"/>
    <w:rsid w:val="389E09C9"/>
    <w:rsid w:val="38B26D9C"/>
    <w:rsid w:val="38C869B0"/>
    <w:rsid w:val="38DD5D05"/>
    <w:rsid w:val="38E946AA"/>
    <w:rsid w:val="3905525C"/>
    <w:rsid w:val="390B7A49"/>
    <w:rsid w:val="39254A49"/>
    <w:rsid w:val="398B39B3"/>
    <w:rsid w:val="39F2111A"/>
    <w:rsid w:val="39F66A32"/>
    <w:rsid w:val="3A155D47"/>
    <w:rsid w:val="3A2C2CB0"/>
    <w:rsid w:val="3A387C06"/>
    <w:rsid w:val="3A43428E"/>
    <w:rsid w:val="3A9A358A"/>
    <w:rsid w:val="3AB72586"/>
    <w:rsid w:val="3AC75726"/>
    <w:rsid w:val="3BF55114"/>
    <w:rsid w:val="3C2F0C5E"/>
    <w:rsid w:val="3C333B48"/>
    <w:rsid w:val="3C8D3860"/>
    <w:rsid w:val="3D04058B"/>
    <w:rsid w:val="3D104D56"/>
    <w:rsid w:val="3D670293"/>
    <w:rsid w:val="3DC96590"/>
    <w:rsid w:val="3E014B14"/>
    <w:rsid w:val="3E03620E"/>
    <w:rsid w:val="3E4C2C27"/>
    <w:rsid w:val="3E6F5651"/>
    <w:rsid w:val="3E8B02D7"/>
    <w:rsid w:val="3EC14DCA"/>
    <w:rsid w:val="3ED41958"/>
    <w:rsid w:val="3EDF7B5A"/>
    <w:rsid w:val="3EF757D7"/>
    <w:rsid w:val="3F2D1E50"/>
    <w:rsid w:val="3F440652"/>
    <w:rsid w:val="3F794BDA"/>
    <w:rsid w:val="3F7A4F0B"/>
    <w:rsid w:val="3F965F54"/>
    <w:rsid w:val="3FC0099F"/>
    <w:rsid w:val="400D263F"/>
    <w:rsid w:val="405E2277"/>
    <w:rsid w:val="407F4960"/>
    <w:rsid w:val="41230FA5"/>
    <w:rsid w:val="41431D95"/>
    <w:rsid w:val="41455C40"/>
    <w:rsid w:val="41663E6F"/>
    <w:rsid w:val="416C5E78"/>
    <w:rsid w:val="417116E0"/>
    <w:rsid w:val="41717D14"/>
    <w:rsid w:val="4172430C"/>
    <w:rsid w:val="41727207"/>
    <w:rsid w:val="41F15C61"/>
    <w:rsid w:val="42305EFC"/>
    <w:rsid w:val="42660F50"/>
    <w:rsid w:val="42C615B8"/>
    <w:rsid w:val="42E739AE"/>
    <w:rsid w:val="43494258"/>
    <w:rsid w:val="437E1E93"/>
    <w:rsid w:val="43B13AD6"/>
    <w:rsid w:val="43EF4389"/>
    <w:rsid w:val="43F43B7B"/>
    <w:rsid w:val="44147E9F"/>
    <w:rsid w:val="44297AA0"/>
    <w:rsid w:val="44373865"/>
    <w:rsid w:val="444D69AF"/>
    <w:rsid w:val="44942BEF"/>
    <w:rsid w:val="449C6A74"/>
    <w:rsid w:val="44B03FAB"/>
    <w:rsid w:val="452B1BA6"/>
    <w:rsid w:val="454C2B49"/>
    <w:rsid w:val="45520F19"/>
    <w:rsid w:val="455677C8"/>
    <w:rsid w:val="456B4699"/>
    <w:rsid w:val="457E261E"/>
    <w:rsid w:val="45AB5750"/>
    <w:rsid w:val="45D636A5"/>
    <w:rsid w:val="45E5444B"/>
    <w:rsid w:val="45EF323D"/>
    <w:rsid w:val="46BB51AC"/>
    <w:rsid w:val="47846BA6"/>
    <w:rsid w:val="47CF0F0F"/>
    <w:rsid w:val="481767EB"/>
    <w:rsid w:val="48883FAF"/>
    <w:rsid w:val="48945CC6"/>
    <w:rsid w:val="48A76385"/>
    <w:rsid w:val="48E7672C"/>
    <w:rsid w:val="49575660"/>
    <w:rsid w:val="495E2059"/>
    <w:rsid w:val="49CF5B75"/>
    <w:rsid w:val="49DE5B2D"/>
    <w:rsid w:val="4A2E27D8"/>
    <w:rsid w:val="4A7E40B9"/>
    <w:rsid w:val="4AEA7D65"/>
    <w:rsid w:val="4B49241A"/>
    <w:rsid w:val="4B4D185C"/>
    <w:rsid w:val="4B6319EC"/>
    <w:rsid w:val="4B7122DD"/>
    <w:rsid w:val="4BBE19C6"/>
    <w:rsid w:val="4BE930B0"/>
    <w:rsid w:val="4BEB6533"/>
    <w:rsid w:val="4BF47196"/>
    <w:rsid w:val="4C2B177F"/>
    <w:rsid w:val="4C2D1481"/>
    <w:rsid w:val="4C3B7B90"/>
    <w:rsid w:val="4CBF59F6"/>
    <w:rsid w:val="4D0072CE"/>
    <w:rsid w:val="4D5D520F"/>
    <w:rsid w:val="4D730311"/>
    <w:rsid w:val="4D7A7B6F"/>
    <w:rsid w:val="4DAE7A67"/>
    <w:rsid w:val="4DD12584"/>
    <w:rsid w:val="4DF267BC"/>
    <w:rsid w:val="4E1E0CF6"/>
    <w:rsid w:val="4E451EC7"/>
    <w:rsid w:val="4E59059B"/>
    <w:rsid w:val="4E8B3EC9"/>
    <w:rsid w:val="4F0B33B8"/>
    <w:rsid w:val="4F226EFA"/>
    <w:rsid w:val="4FC41575"/>
    <w:rsid w:val="4FEE5FA1"/>
    <w:rsid w:val="508825A3"/>
    <w:rsid w:val="50901C87"/>
    <w:rsid w:val="5099641F"/>
    <w:rsid w:val="511030CC"/>
    <w:rsid w:val="513B7615"/>
    <w:rsid w:val="51491D32"/>
    <w:rsid w:val="518D5DB3"/>
    <w:rsid w:val="52024C0D"/>
    <w:rsid w:val="52163191"/>
    <w:rsid w:val="52291CD0"/>
    <w:rsid w:val="526F3A1A"/>
    <w:rsid w:val="539011C5"/>
    <w:rsid w:val="53DA23BC"/>
    <w:rsid w:val="53E126F6"/>
    <w:rsid w:val="53E47AF0"/>
    <w:rsid w:val="53EA4849"/>
    <w:rsid w:val="54077FBB"/>
    <w:rsid w:val="541C5F97"/>
    <w:rsid w:val="54714A29"/>
    <w:rsid w:val="5471519A"/>
    <w:rsid w:val="547C2BFD"/>
    <w:rsid w:val="549E6845"/>
    <w:rsid w:val="54D45FAA"/>
    <w:rsid w:val="54DA4BDE"/>
    <w:rsid w:val="5522237F"/>
    <w:rsid w:val="55401A79"/>
    <w:rsid w:val="55731FB9"/>
    <w:rsid w:val="557F387D"/>
    <w:rsid w:val="55A46E76"/>
    <w:rsid w:val="55C7438A"/>
    <w:rsid w:val="55D56177"/>
    <w:rsid w:val="55D87E1A"/>
    <w:rsid w:val="56113965"/>
    <w:rsid w:val="56A428C2"/>
    <w:rsid w:val="56B440F1"/>
    <w:rsid w:val="5708799A"/>
    <w:rsid w:val="5745560C"/>
    <w:rsid w:val="5755554B"/>
    <w:rsid w:val="57671164"/>
    <w:rsid w:val="57672F12"/>
    <w:rsid w:val="57835872"/>
    <w:rsid w:val="57BB14B0"/>
    <w:rsid w:val="57C4203E"/>
    <w:rsid w:val="57FA41E6"/>
    <w:rsid w:val="587A07F0"/>
    <w:rsid w:val="58B629CB"/>
    <w:rsid w:val="58EA047D"/>
    <w:rsid w:val="592F4D5F"/>
    <w:rsid w:val="59401951"/>
    <w:rsid w:val="59480DA1"/>
    <w:rsid w:val="59733AB5"/>
    <w:rsid w:val="59DB7BE7"/>
    <w:rsid w:val="5A7A7400"/>
    <w:rsid w:val="5A8F4244"/>
    <w:rsid w:val="5AF7029F"/>
    <w:rsid w:val="5B2D3245"/>
    <w:rsid w:val="5B71396D"/>
    <w:rsid w:val="5C7900C1"/>
    <w:rsid w:val="5C81097C"/>
    <w:rsid w:val="5CA00C74"/>
    <w:rsid w:val="5CF31EC3"/>
    <w:rsid w:val="5D3F5F0C"/>
    <w:rsid w:val="5D7F2EDC"/>
    <w:rsid w:val="5DFB7A90"/>
    <w:rsid w:val="5E2F405E"/>
    <w:rsid w:val="5E9F14BD"/>
    <w:rsid w:val="5EDC4F8F"/>
    <w:rsid w:val="5EF977BF"/>
    <w:rsid w:val="5F2F64F9"/>
    <w:rsid w:val="5F364BDB"/>
    <w:rsid w:val="5F443AD7"/>
    <w:rsid w:val="5F477B6F"/>
    <w:rsid w:val="5F4F45A2"/>
    <w:rsid w:val="60010D30"/>
    <w:rsid w:val="60474DFD"/>
    <w:rsid w:val="60536776"/>
    <w:rsid w:val="60884935"/>
    <w:rsid w:val="60DD4F0B"/>
    <w:rsid w:val="60F25ABA"/>
    <w:rsid w:val="61AB0A72"/>
    <w:rsid w:val="61F52ED8"/>
    <w:rsid w:val="6213192F"/>
    <w:rsid w:val="624C1682"/>
    <w:rsid w:val="625C2438"/>
    <w:rsid w:val="62A15DCF"/>
    <w:rsid w:val="63267838"/>
    <w:rsid w:val="63957059"/>
    <w:rsid w:val="643F0D73"/>
    <w:rsid w:val="644222A4"/>
    <w:rsid w:val="64C33752"/>
    <w:rsid w:val="64C61FC9"/>
    <w:rsid w:val="652345F2"/>
    <w:rsid w:val="652F2B95"/>
    <w:rsid w:val="65301DE2"/>
    <w:rsid w:val="65577601"/>
    <w:rsid w:val="65F07FB2"/>
    <w:rsid w:val="6603185C"/>
    <w:rsid w:val="667523D3"/>
    <w:rsid w:val="66DE69DC"/>
    <w:rsid w:val="66F31915"/>
    <w:rsid w:val="670A59BA"/>
    <w:rsid w:val="67303132"/>
    <w:rsid w:val="67335085"/>
    <w:rsid w:val="674A2C89"/>
    <w:rsid w:val="676D4252"/>
    <w:rsid w:val="68304FEE"/>
    <w:rsid w:val="686B0388"/>
    <w:rsid w:val="688724A7"/>
    <w:rsid w:val="68BA4E6C"/>
    <w:rsid w:val="6901784A"/>
    <w:rsid w:val="690507DD"/>
    <w:rsid w:val="69AB56A9"/>
    <w:rsid w:val="69C60B52"/>
    <w:rsid w:val="69F37718"/>
    <w:rsid w:val="69F61ED3"/>
    <w:rsid w:val="6A0A3D2C"/>
    <w:rsid w:val="6A2D62D3"/>
    <w:rsid w:val="6A5C1C9E"/>
    <w:rsid w:val="6A7A6FA8"/>
    <w:rsid w:val="6AAC4779"/>
    <w:rsid w:val="6ABA5991"/>
    <w:rsid w:val="6AC63F9C"/>
    <w:rsid w:val="6AE65E85"/>
    <w:rsid w:val="6B126460"/>
    <w:rsid w:val="6B2C59DC"/>
    <w:rsid w:val="6B311A3F"/>
    <w:rsid w:val="6B4F21E3"/>
    <w:rsid w:val="6BCE135A"/>
    <w:rsid w:val="6BE16838"/>
    <w:rsid w:val="6C1903D8"/>
    <w:rsid w:val="6CBC34EB"/>
    <w:rsid w:val="6DBC48D5"/>
    <w:rsid w:val="6DF31972"/>
    <w:rsid w:val="6E562C0C"/>
    <w:rsid w:val="6E8B3D8C"/>
    <w:rsid w:val="6E9A3183"/>
    <w:rsid w:val="6F002F61"/>
    <w:rsid w:val="6F15104E"/>
    <w:rsid w:val="6F2240AE"/>
    <w:rsid w:val="6F661837"/>
    <w:rsid w:val="6F781DDD"/>
    <w:rsid w:val="6F8D5088"/>
    <w:rsid w:val="6FD04699"/>
    <w:rsid w:val="7030084F"/>
    <w:rsid w:val="703B4AE4"/>
    <w:rsid w:val="70422316"/>
    <w:rsid w:val="70ED2282"/>
    <w:rsid w:val="713F23B2"/>
    <w:rsid w:val="71596F70"/>
    <w:rsid w:val="716E0241"/>
    <w:rsid w:val="718A5132"/>
    <w:rsid w:val="71931439"/>
    <w:rsid w:val="71A92322"/>
    <w:rsid w:val="71BD7A27"/>
    <w:rsid w:val="71C86016"/>
    <w:rsid w:val="71CD28BF"/>
    <w:rsid w:val="71E01592"/>
    <w:rsid w:val="726C367A"/>
    <w:rsid w:val="7280413D"/>
    <w:rsid w:val="732B5B1E"/>
    <w:rsid w:val="732C6966"/>
    <w:rsid w:val="733358DA"/>
    <w:rsid w:val="73ED2AB0"/>
    <w:rsid w:val="73F25E01"/>
    <w:rsid w:val="73F767F1"/>
    <w:rsid w:val="742C1037"/>
    <w:rsid w:val="745C607B"/>
    <w:rsid w:val="74602789"/>
    <w:rsid w:val="746C5BB4"/>
    <w:rsid w:val="74974BA2"/>
    <w:rsid w:val="75045486"/>
    <w:rsid w:val="75CC2D87"/>
    <w:rsid w:val="75DF65E3"/>
    <w:rsid w:val="76EA516E"/>
    <w:rsid w:val="770248CF"/>
    <w:rsid w:val="77F64F8C"/>
    <w:rsid w:val="784309DA"/>
    <w:rsid w:val="7877401B"/>
    <w:rsid w:val="78BD69DE"/>
    <w:rsid w:val="78CC1807"/>
    <w:rsid w:val="792579EC"/>
    <w:rsid w:val="793B3B86"/>
    <w:rsid w:val="799139C7"/>
    <w:rsid w:val="7A19098A"/>
    <w:rsid w:val="7AA33F4E"/>
    <w:rsid w:val="7AAD6DF1"/>
    <w:rsid w:val="7AEB24C7"/>
    <w:rsid w:val="7B1F73F5"/>
    <w:rsid w:val="7B430CF1"/>
    <w:rsid w:val="7B580C40"/>
    <w:rsid w:val="7B5E6224"/>
    <w:rsid w:val="7BAA2038"/>
    <w:rsid w:val="7C1867F4"/>
    <w:rsid w:val="7C4223E5"/>
    <w:rsid w:val="7C812D3F"/>
    <w:rsid w:val="7C814B0C"/>
    <w:rsid w:val="7C966D8E"/>
    <w:rsid w:val="7CB41EA6"/>
    <w:rsid w:val="7CB73744"/>
    <w:rsid w:val="7D1A5C1D"/>
    <w:rsid w:val="7D3C10E7"/>
    <w:rsid w:val="7D4E5E48"/>
    <w:rsid w:val="7D9D65DA"/>
    <w:rsid w:val="7DA21751"/>
    <w:rsid w:val="7DB051E5"/>
    <w:rsid w:val="7DBF4FA6"/>
    <w:rsid w:val="7E413C0D"/>
    <w:rsid w:val="7E916D01"/>
    <w:rsid w:val="7E93587C"/>
    <w:rsid w:val="7EBE0089"/>
    <w:rsid w:val="7EE36A72"/>
    <w:rsid w:val="7EF976A3"/>
    <w:rsid w:val="7EFF5D5B"/>
    <w:rsid w:val="7F340F47"/>
    <w:rsid w:val="7F4219EB"/>
    <w:rsid w:val="7F54171E"/>
    <w:rsid w:val="7F742B5C"/>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next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next w:val="6"/>
    <w:link w:val="31"/>
    <w:semiHidden/>
    <w:unhideWhenUsed/>
    <w:qFormat/>
    <w:uiPriority w:val="99"/>
    <w:pPr>
      <w:spacing w:after="120"/>
      <w:ind w:left="420" w:leftChars="200"/>
    </w:pPr>
  </w:style>
  <w:style w:type="paragraph" w:styleId="6">
    <w:name w:val="envelope return"/>
    <w:basedOn w:val="1"/>
    <w:qFormat/>
    <w:uiPriority w:val="0"/>
    <w:pPr>
      <w:snapToGrid w:val="0"/>
    </w:pPr>
    <w:rPr>
      <w:rFonts w:ascii="Arial" w:hAnsi="Arial" w:eastAsia="宋体" w:cs="Times New Roman"/>
    </w:rPr>
  </w:style>
  <w:style w:type="paragraph" w:styleId="7">
    <w:name w:val="Plain Text"/>
    <w:basedOn w:val="1"/>
    <w:next w:val="2"/>
    <w:link w:val="24"/>
    <w:unhideWhenUsed/>
    <w:qFormat/>
    <w:uiPriority w:val="0"/>
    <w:rPr>
      <w:rFonts w:ascii="宋体" w:hAnsi="Courier New" w:eastAsia="宋体" w:cs="Times New Roman"/>
      <w:szCs w:val="20"/>
    </w:rPr>
  </w:style>
  <w:style w:type="paragraph" w:styleId="8">
    <w:name w:val="Date"/>
    <w:basedOn w:val="1"/>
    <w:next w:val="1"/>
    <w:link w:val="33"/>
    <w:semiHidden/>
    <w:unhideWhenUsed/>
    <w:qFormat/>
    <w:uiPriority w:val="99"/>
    <w:pPr>
      <w:ind w:left="100" w:leftChars="2500"/>
    </w:pPr>
  </w:style>
  <w:style w:type="paragraph" w:styleId="9">
    <w:name w:val="Balloon Text"/>
    <w:basedOn w:val="1"/>
    <w:link w:val="27"/>
    <w:semiHidden/>
    <w:unhideWhenUsed/>
    <w:qFormat/>
    <w:uiPriority w:val="99"/>
    <w:rPr>
      <w:sz w:val="18"/>
      <w:szCs w:val="18"/>
    </w:rPr>
  </w:style>
  <w:style w:type="paragraph" w:styleId="10">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7"/>
    <w:qFormat/>
    <w:uiPriority w:val="99"/>
    <w:rPr>
      <w:rFonts w:ascii="宋体" w:hAnsi="Courier New" w:eastAsia="宋体" w:cs="Times New Roman"/>
      <w:szCs w:val="20"/>
    </w:rPr>
  </w:style>
  <w:style w:type="character" w:customStyle="1" w:styleId="25">
    <w:name w:val="页脚 Char"/>
    <w:basedOn w:val="18"/>
    <w:link w:val="10"/>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9"/>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8"/>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1">
    <w:name w:val="font31"/>
    <w:basedOn w:val="1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29</Pages>
  <Words>11884</Words>
  <Characters>12626</Characters>
  <Lines>39</Lines>
  <Paragraphs>11</Paragraphs>
  <TotalTime>6</TotalTime>
  <ScaleCrop>false</ScaleCrop>
  <LinksUpToDate>false</LinksUpToDate>
  <CharactersWithSpaces>14561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许</cp:lastModifiedBy>
  <dcterms:modified xsi:type="dcterms:W3CDTF">2026-05-22T02:05:25Z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