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项目名称：南宁中心血站2026年度冷链设备检测、校准服务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A0445E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南宁中心血站2026年度冷链设备检测、校准</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对南宁中心血站2026年度冷链设备检测、校准服务进行采购，现就该项目邀请具有资质的单位进行响应，采购信息如下：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项目名称：南宁中心血站2026年度冷链设备检测、校准服务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w:t>
      </w:r>
      <w:r>
        <w:rPr>
          <w:rFonts w:hint="eastAsia" w:ascii="仿宋_GB2312" w:hAnsi="Courier New" w:eastAsia="仿宋_GB2312" w:cs="Courier New"/>
          <w:color w:val="auto"/>
          <w:kern w:val="0"/>
          <w:sz w:val="32"/>
          <w:szCs w:val="32"/>
          <w:lang w:val="en-US" w:eastAsia="zh-CN"/>
        </w:rPr>
        <w:t>总</w:t>
      </w:r>
      <w:r>
        <w:rPr>
          <w:rFonts w:hint="eastAsia" w:ascii="仿宋_GB2312" w:hAnsi="Courier New" w:eastAsia="仿宋_GB2312" w:cs="Courier New"/>
          <w:color w:val="auto"/>
          <w:kern w:val="0"/>
          <w:sz w:val="32"/>
          <w:szCs w:val="32"/>
          <w:lang w:val="zh-TW" w:eastAsia="zh-TW"/>
        </w:rPr>
        <w:t>预算：</w:t>
      </w:r>
      <w:r>
        <w:rPr>
          <w:rFonts w:hint="eastAsia" w:ascii="仿宋_GB2312" w:hAnsi="Courier New" w:eastAsia="仿宋_GB2312" w:cs="Courier New"/>
          <w:color w:val="auto"/>
          <w:kern w:val="0"/>
          <w:sz w:val="32"/>
          <w:szCs w:val="32"/>
          <w:lang w:val="en-US" w:eastAsia="zh-CN"/>
        </w:rPr>
        <w:t>叁万伍仟肆佰元整（￥35400.00）</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每台预算：壹佰贰拾元整（￥120.00）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叁万伍仟肆佰元整（￥35400.00）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每台最高限价：壹佰贰拾元整（￥120.00）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评选方法及标准”提供服务实施方案、拟投入服务人员配置方案、服务完成时效</w:t>
      </w:r>
      <w:r>
        <w:rPr>
          <w:rFonts w:hint="eastAsia" w:ascii="仿宋_GB2312" w:hAnsi="Courier New" w:eastAsia="仿宋_GB2312" w:cs="Courier New"/>
          <w:color w:val="auto"/>
          <w:kern w:val="0"/>
          <w:sz w:val="32"/>
          <w:szCs w:val="32"/>
          <w:lang w:val="en-US" w:eastAsia="zh-CN"/>
        </w:rPr>
        <w:t>承诺及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bookmarkStart w:id="18" w:name="_GoBack"/>
      <w:bookmarkEnd w:id="18"/>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南宁中心血站2026年度冷链设备检测、校准服务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16E4E154">
            <w:pPr>
              <w:bidi w:val="0"/>
              <w:rPr>
                <w:rFonts w:hint="eastAsia" w:ascii="宋体" w:hAnsi="宋体" w:eastAsia="宋体" w:cs="宋体"/>
                <w:b/>
                <w:bCs/>
                <w:lang w:val="en-US" w:eastAsia="zh-CN"/>
              </w:rPr>
            </w:pPr>
            <w:r>
              <w:rPr>
                <w:rFonts w:hint="eastAsia" w:ascii="宋体" w:hAnsi="宋体" w:eastAsia="宋体" w:cs="宋体"/>
                <w:b/>
                <w:bCs/>
                <w:lang w:val="en-US" w:eastAsia="zh-CN"/>
              </w:rPr>
              <w:t>一、基本情况：</w:t>
            </w:r>
          </w:p>
          <w:p w14:paraId="422214D0">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现有冷链设备约295台，主要分布于血站本部，各捐血屋。设备涵盖医用血液冰箱、试剂冰箱、超低温冰箱、血小板振荡箱等类型。要求设备定期进行检测、校准，确保运行状态安全稳定，保障血液、试剂安全。</w:t>
            </w:r>
          </w:p>
          <w:p w14:paraId="565FACEF">
            <w:pPr>
              <w:bidi w:val="0"/>
              <w:rPr>
                <w:rFonts w:hint="eastAsia" w:ascii="宋体" w:hAnsi="宋体" w:eastAsia="宋体" w:cs="宋体"/>
                <w:b/>
                <w:bCs/>
                <w:lang w:val="en-US" w:eastAsia="zh-CN"/>
              </w:rPr>
            </w:pPr>
            <w:r>
              <w:rPr>
                <w:rFonts w:hint="eastAsia" w:ascii="宋体" w:hAnsi="宋体" w:eastAsia="宋体" w:cs="宋体"/>
                <w:b/>
                <w:bCs/>
                <w:lang w:val="en-US" w:eastAsia="zh-CN"/>
              </w:rPr>
              <w:t>二、服务地点及设备分布：</w:t>
            </w:r>
          </w:p>
          <w:p w14:paraId="2C6CDEC9">
            <w:pPr>
              <w:bidi w:val="0"/>
              <w:rPr>
                <w:rFonts w:hint="eastAsia" w:ascii="宋体" w:hAnsi="宋体" w:eastAsia="宋体" w:cs="宋体"/>
                <w:lang w:val="en-US" w:eastAsia="zh-CN"/>
              </w:rPr>
            </w:pPr>
            <w:r>
              <w:rPr>
                <w:rFonts w:hint="eastAsia" w:ascii="宋体" w:hAnsi="宋体" w:eastAsia="宋体" w:cs="宋体"/>
                <w:lang w:val="en-US" w:eastAsia="zh-CN"/>
              </w:rPr>
              <w:t>1.南宁市区内设备约255台：分布于南宁中心血站本部、南宁市内各捐血屋及采血车。</w:t>
            </w:r>
          </w:p>
          <w:p w14:paraId="1BB9CA18">
            <w:pPr>
              <w:bidi w:val="0"/>
              <w:rPr>
                <w:rFonts w:hint="eastAsia" w:ascii="宋体" w:hAnsi="宋体" w:eastAsia="宋体" w:cs="宋体"/>
                <w:lang w:val="en-US" w:eastAsia="zh-CN"/>
              </w:rPr>
            </w:pPr>
            <w:r>
              <w:rPr>
                <w:rFonts w:hint="eastAsia" w:ascii="宋体" w:hAnsi="宋体" w:eastAsia="宋体" w:cs="宋体"/>
                <w:lang w:val="en-US" w:eastAsia="zh-CN"/>
              </w:rPr>
              <w:t>2.南宁市区外设备约40台（医用血液冰箱）：分布于横州市、武鸣区、宾阳县、上林县、马山县、隆安县共8个捐血屋，。</w:t>
            </w:r>
          </w:p>
          <w:p w14:paraId="0F57A1DB">
            <w:pPr>
              <w:bidi w:val="0"/>
              <w:rPr>
                <w:rFonts w:hint="eastAsia" w:ascii="宋体" w:hAnsi="宋体" w:eastAsia="宋体" w:cs="宋体"/>
                <w:b/>
                <w:bCs/>
                <w:lang w:val="en-US" w:eastAsia="zh-CN"/>
              </w:rPr>
            </w:pPr>
            <w:r>
              <w:rPr>
                <w:rFonts w:hint="eastAsia" w:ascii="宋体" w:hAnsi="宋体" w:eastAsia="宋体" w:cs="宋体"/>
                <w:b/>
                <w:bCs/>
                <w:lang w:val="en-US" w:eastAsia="zh-CN"/>
              </w:rPr>
              <w:t>三、冷链设备数量：</w:t>
            </w:r>
          </w:p>
          <w:p w14:paraId="287AD02A">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冷链设备总台数约为295台，其中医用血液冰箱、试剂冰箱约225台，超低温冰箱约45台，血小板振荡箱约25台，最终结算以实际检测、校准数量为准。</w:t>
            </w:r>
          </w:p>
          <w:p w14:paraId="1A458A46">
            <w:pPr>
              <w:bidi w:val="0"/>
              <w:rPr>
                <w:rFonts w:hint="eastAsia" w:ascii="宋体" w:hAnsi="宋体" w:eastAsia="宋体" w:cs="宋体"/>
                <w:b/>
                <w:bCs/>
                <w:lang w:val="en-US" w:eastAsia="zh-CN"/>
              </w:rPr>
            </w:pPr>
            <w:r>
              <w:rPr>
                <w:rFonts w:hint="eastAsia" w:ascii="宋体" w:hAnsi="宋体" w:eastAsia="宋体" w:cs="宋体"/>
                <w:b/>
                <w:bCs/>
                <w:lang w:val="en-US" w:eastAsia="zh-CN"/>
              </w:rPr>
              <w:t>四、服务内容：</w:t>
            </w:r>
          </w:p>
          <w:p w14:paraId="736983AB">
            <w:pPr>
              <w:bidi w:val="0"/>
              <w:rPr>
                <w:rFonts w:hint="eastAsia" w:ascii="宋体" w:hAnsi="宋体" w:eastAsia="宋体" w:cs="宋体"/>
                <w:lang w:val="en-US" w:eastAsia="zh-CN"/>
              </w:rPr>
            </w:pPr>
            <w:r>
              <w:rPr>
                <w:rFonts w:hint="eastAsia" w:ascii="宋体" w:hAnsi="宋体" w:eastAsia="宋体" w:cs="宋体"/>
                <w:lang w:val="en-US" w:eastAsia="zh-CN"/>
              </w:rPr>
              <w:t>1.依据JJF 1101《环境试验设备温度、湿度参数校准规范》对医用血液、试剂冰箱、超低温冰箱，血小板振荡箱等冷链设备进行检测、校准。</w:t>
            </w:r>
          </w:p>
          <w:p w14:paraId="02348EE8">
            <w:pPr>
              <w:bidi w:val="0"/>
              <w:rPr>
                <w:rFonts w:hint="eastAsia" w:ascii="宋体" w:hAnsi="宋体" w:eastAsia="宋体" w:cs="宋体"/>
                <w:lang w:val="en-US" w:eastAsia="zh-CN"/>
              </w:rPr>
            </w:pPr>
            <w:r>
              <w:rPr>
                <w:rFonts w:hint="eastAsia" w:ascii="宋体" w:hAnsi="宋体" w:eastAsia="宋体" w:cs="宋体"/>
                <w:lang w:val="en-US" w:eastAsia="zh-CN"/>
              </w:rPr>
              <w:t>2.检测、校准所依据的规范标准须符合现行国家最新相关规范标准。</w:t>
            </w:r>
          </w:p>
          <w:p w14:paraId="090927D4">
            <w:pPr>
              <w:bidi w:val="0"/>
              <w:rPr>
                <w:rFonts w:hint="eastAsia" w:ascii="宋体" w:hAnsi="宋体" w:eastAsia="宋体" w:cs="宋体"/>
                <w:b/>
                <w:bCs/>
                <w:lang w:val="en-US" w:eastAsia="zh-CN"/>
              </w:rPr>
            </w:pPr>
            <w:r>
              <w:rPr>
                <w:rFonts w:hint="eastAsia" w:ascii="宋体" w:hAnsi="宋体" w:eastAsia="宋体" w:cs="宋体"/>
                <w:b/>
                <w:bCs/>
                <w:lang w:val="en-US" w:eastAsia="zh-CN"/>
              </w:rPr>
              <w:t>五、其他要求：</w:t>
            </w:r>
          </w:p>
          <w:p w14:paraId="743F325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lang w:val="en-US" w:eastAsia="zh-CN"/>
              </w:rPr>
              <w:t>1.</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日内完成检测、校准，出具检测、校准相关证书/报告，并按采购人要求对冷链设备粘贴检测、校准标签。</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35400.00</w:t>
            </w:r>
            <w:r>
              <w:rPr>
                <w:rFonts w:hint="eastAsia" w:ascii="宋体" w:hAnsi="宋体" w:cs="宋体"/>
                <w:lang w:val="en-US" w:eastAsia="zh-CN"/>
              </w:rPr>
              <w:br w:type="textWrapping"/>
            </w:r>
            <w:r>
              <w:rPr>
                <w:rFonts w:hint="eastAsia" w:ascii="宋体" w:hAnsi="宋体" w:cs="宋体"/>
                <w:lang w:val="en-US" w:eastAsia="zh-CN"/>
              </w:rPr>
              <w:t>（120元/台）</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002A746A">
            <w:pPr>
              <w:keepNext w:val="0"/>
              <w:keepLines w:val="0"/>
              <w:pageBreakBefore w:val="0"/>
              <w:widowControl/>
              <w:shd w:val="clear" w:color="auto"/>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自采购结果公告结束之日起 20 日内。</w:t>
            </w:r>
          </w:p>
          <w:p w14:paraId="01ECE6F1">
            <w:pPr>
              <w:keepNext w:val="0"/>
              <w:keepLines w:val="0"/>
              <w:pageBreakBefore w:val="0"/>
              <w:widowControl/>
              <w:shd w:val="clear" w:color="auto"/>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二、服务时间：</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w:t>
            </w:r>
            <w:r>
              <w:rPr>
                <w:rFonts w:hint="eastAsia" w:ascii="宋体" w:hAnsi="宋体" w:cs="Times New Roman"/>
                <w:b w:val="0"/>
                <w:bCs w:val="0"/>
                <w:kern w:val="2"/>
                <w:sz w:val="21"/>
                <w:szCs w:val="21"/>
                <w:lang w:val="en-US" w:eastAsia="zh-CN" w:bidi="ar-SA"/>
              </w:rPr>
              <w:t>。</w:t>
            </w:r>
          </w:p>
          <w:p w14:paraId="1580B245">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三、合同延续年限、条件和方式:</w:t>
            </w:r>
          </w:p>
          <w:p w14:paraId="67C0BE92">
            <w:pPr>
              <w:pStyle w:val="10"/>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01B199B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eastAsia="宋体" w:cs="Times New Roman"/>
                <w:b w:val="0"/>
                <w:bCs w:val="0"/>
                <w:kern w:val="2"/>
                <w:sz w:val="21"/>
                <w:szCs w:val="21"/>
                <w:lang w:val="en-US" w:eastAsia="zh-CN" w:bidi="ar-SA"/>
              </w:rPr>
              <w:t>南宁市</w:t>
            </w:r>
            <w:r>
              <w:rPr>
                <w:rFonts w:hint="eastAsia" w:ascii="宋体" w:hAnsi="宋体" w:cs="Times New Roman"/>
                <w:b w:val="0"/>
                <w:bCs w:val="0"/>
                <w:kern w:val="2"/>
                <w:sz w:val="21"/>
                <w:szCs w:val="21"/>
                <w:lang w:val="en-US" w:eastAsia="zh-CN" w:bidi="ar-SA"/>
              </w:rPr>
              <w:t>区及南宁市县区</w:t>
            </w:r>
            <w:r>
              <w:rPr>
                <w:rFonts w:hint="eastAsia" w:ascii="宋体" w:hAnsi="宋体" w:eastAsia="宋体" w:cs="Times New Roman"/>
                <w:b w:val="0"/>
                <w:bCs w:val="0"/>
                <w:kern w:val="2"/>
                <w:sz w:val="21"/>
                <w:szCs w:val="21"/>
                <w:lang w:val="en-US" w:eastAsia="zh-CN" w:bidi="ar-SA"/>
              </w:rPr>
              <w:t xml:space="preserve">。           </w:t>
            </w:r>
          </w:p>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五</w:t>
            </w:r>
            <w:r>
              <w:rPr>
                <w:rFonts w:hint="eastAsia" w:ascii="宋体" w:hAnsi="宋体" w:eastAsia="宋体" w:cs="Times New Roman"/>
                <w:b/>
                <w:bCs/>
                <w:kern w:val="2"/>
                <w:sz w:val="21"/>
                <w:szCs w:val="21"/>
                <w:lang w:val="en-US" w:eastAsia="zh-CN" w:bidi="ar-SA"/>
              </w:rPr>
              <w:t>、</w:t>
            </w:r>
            <w:r>
              <w:rPr>
                <w:rFonts w:hint="eastAsia" w:ascii="宋体" w:hAnsi="宋体"/>
                <w:b/>
                <w:bCs/>
                <w:szCs w:val="21"/>
                <w:lang w:val="en-US" w:eastAsia="zh-CN"/>
              </w:rPr>
              <w:t>其他要求：</w:t>
            </w:r>
          </w:p>
          <w:p w14:paraId="11C10CCE">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w:t>
            </w:r>
          </w:p>
          <w:p w14:paraId="2325C9E7">
            <w:pPr>
              <w:bidi w:val="0"/>
              <w:rPr>
                <w:rFonts w:hint="eastAsia" w:ascii="宋体" w:hAnsi="宋体" w:eastAsia="宋体" w:cs="宋体"/>
                <w:lang w:val="en-US" w:eastAsia="zh-CN"/>
              </w:rPr>
            </w:pPr>
            <w:r>
              <w:rPr>
                <w:rFonts w:hint="eastAsia" w:ascii="宋体" w:hAnsi="宋体" w:eastAsia="宋体" w:cs="宋体"/>
                <w:lang w:val="en-US" w:eastAsia="zh-CN"/>
              </w:rPr>
              <w:t>(1)服务价格；</w:t>
            </w:r>
          </w:p>
          <w:p w14:paraId="41CC1362">
            <w:pPr>
              <w:bidi w:val="0"/>
              <w:rPr>
                <w:rFonts w:hint="eastAsia" w:ascii="宋体" w:hAnsi="宋体" w:eastAsia="宋体" w:cs="宋体"/>
                <w:lang w:val="en-US" w:eastAsia="zh-CN"/>
              </w:rPr>
            </w:pPr>
            <w:r>
              <w:rPr>
                <w:rFonts w:hint="eastAsia" w:ascii="宋体" w:hAnsi="宋体" w:eastAsia="宋体" w:cs="宋体"/>
                <w:lang w:val="en-US" w:eastAsia="zh-CN"/>
              </w:rPr>
              <w:t>(2)各项费用包括：</w:t>
            </w:r>
          </w:p>
          <w:p w14:paraId="3CBF10C2">
            <w:pPr>
              <w:bidi w:val="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eastAsia="宋体" w:cs="宋体"/>
              </w:rPr>
              <w:t>人工、差旅、调试、检测、</w:t>
            </w:r>
            <w:r>
              <w:rPr>
                <w:rFonts w:hint="eastAsia" w:ascii="宋体" w:hAnsi="宋体" w:eastAsia="宋体" w:cs="宋体"/>
                <w:lang w:val="en-US" w:eastAsia="zh-CN"/>
              </w:rPr>
              <w:t>校准</w:t>
            </w:r>
            <w:r>
              <w:rPr>
                <w:rFonts w:hint="eastAsia" w:ascii="宋体" w:hAnsi="宋体" w:eastAsia="宋体" w:cs="宋体"/>
              </w:rPr>
              <w:t>等费用</w:t>
            </w:r>
            <w:r>
              <w:rPr>
                <w:rFonts w:hint="eastAsia" w:ascii="宋体" w:hAnsi="宋体" w:eastAsia="宋体" w:cs="宋体"/>
                <w:lang w:val="en-US" w:eastAsia="zh-CN"/>
              </w:rPr>
              <w:t>。</w:t>
            </w:r>
          </w:p>
          <w:p w14:paraId="3A8B7BC4">
            <w:pPr>
              <w:bidi w:val="0"/>
              <w:rPr>
                <w:rFonts w:hint="eastAsia" w:ascii="宋体" w:hAnsi="宋体" w:eastAsia="宋体" w:cs="宋体"/>
                <w:lang w:val="en-US" w:eastAsia="zh-CN"/>
              </w:rPr>
            </w:pPr>
            <w:r>
              <w:rPr>
                <w:rFonts w:hint="eastAsia" w:ascii="宋体" w:hAnsi="宋体" w:eastAsia="宋体" w:cs="宋体"/>
                <w:lang w:val="en-US" w:eastAsia="zh-CN"/>
              </w:rPr>
              <w:t>②工作人员修理检测等工具、配件等费用。</w:t>
            </w:r>
          </w:p>
          <w:p w14:paraId="5EB98529">
            <w:pPr>
              <w:bidi w:val="0"/>
              <w:rPr>
                <w:rFonts w:hint="eastAsia" w:ascii="宋体" w:hAnsi="宋体" w:eastAsia="宋体" w:cs="宋体"/>
                <w:lang w:val="en-US" w:eastAsia="zh-CN"/>
              </w:rPr>
            </w:pPr>
            <w:r>
              <w:rPr>
                <w:rFonts w:hint="eastAsia" w:ascii="宋体" w:hAnsi="宋体" w:eastAsia="宋体" w:cs="宋体"/>
                <w:lang w:val="en-US" w:eastAsia="zh-CN"/>
              </w:rPr>
              <w:t>③培训、技术支持、售后服务等费用。</w:t>
            </w:r>
          </w:p>
          <w:p w14:paraId="7A9A0624">
            <w:pPr>
              <w:bidi w:val="0"/>
              <w:rPr>
                <w:rFonts w:hint="eastAsia" w:ascii="宋体" w:hAnsi="宋体" w:eastAsia="宋体" w:cs="宋体"/>
                <w:lang w:val="en-US" w:eastAsia="zh-CN"/>
              </w:rPr>
            </w:pPr>
            <w:r>
              <w:rPr>
                <w:rFonts w:hint="eastAsia" w:ascii="宋体" w:hAnsi="宋体" w:eastAsia="宋体" w:cs="宋体"/>
                <w:lang w:val="en-US" w:eastAsia="zh-CN"/>
              </w:rPr>
              <w:t>④必</w:t>
            </w:r>
            <w:r>
              <w:rPr>
                <w:rFonts w:hint="eastAsia" w:ascii="宋体" w:hAnsi="宋体" w:eastAsia="宋体" w:cs="宋体"/>
              </w:rPr>
              <w:t>要的保险费用和各项税费</w:t>
            </w:r>
            <w:r>
              <w:rPr>
                <w:rFonts w:hint="eastAsia" w:ascii="宋体" w:hAnsi="宋体" w:eastAsia="宋体" w:cs="宋体"/>
                <w:lang w:val="en-US" w:eastAsia="zh-CN"/>
              </w:rPr>
              <w:t>。</w:t>
            </w:r>
          </w:p>
          <w:p w14:paraId="0E442AF6">
            <w:pPr>
              <w:bidi w:val="0"/>
              <w:rPr>
                <w:rFonts w:hint="eastAsia" w:ascii="宋体" w:hAnsi="宋体" w:eastAsia="宋体" w:cs="宋体"/>
                <w:lang w:val="en-US" w:eastAsia="zh-CN"/>
              </w:rPr>
            </w:pPr>
            <w:r>
              <w:rPr>
                <w:rFonts w:hint="eastAsia" w:ascii="宋体" w:hAnsi="宋体" w:eastAsia="宋体" w:cs="宋体"/>
                <w:lang w:val="en-US" w:eastAsia="zh-CN"/>
              </w:rPr>
              <w:t xml:space="preserve">2.报价已包含完成本项目所有工作任务、出具成果文件（校准相关证书、报告）所需的一切费用，采购人不再支付成交供应商除报价以外的任何费用。                      </w:t>
            </w:r>
          </w:p>
          <w:p w14:paraId="1B876BC1">
            <w:pPr>
              <w:bidi w:val="0"/>
              <w:rPr>
                <w:rFonts w:hint="eastAsia" w:asciiTheme="minorEastAsia" w:hAnsiTheme="minorEastAsia" w:eastAsiaTheme="minorEastAsia" w:cstheme="minorEastAsia"/>
              </w:rPr>
            </w:pPr>
            <w:r>
              <w:rPr>
                <w:rFonts w:hint="eastAsia" w:ascii="宋体" w:hAnsi="宋体" w:eastAsia="宋体" w:cs="宋体"/>
                <w:lang w:val="en-US" w:eastAsia="zh-CN"/>
              </w:rPr>
              <w:t>3.付款方式：以实际检测、校准设备数量乘以响应单价的金额进行结算，按实际票据清单核对检定、校准证书无误并经采购人验收合格后一次性支付</w:t>
            </w:r>
            <w:r>
              <w:rPr>
                <w:rFonts w:hint="default" w:ascii="宋体" w:hAnsi="宋体" w:eastAsia="宋体" w:cs="宋体"/>
                <w:lang w:val="en-US" w:eastAsia="zh-CN"/>
              </w:rPr>
              <w:t>服务款</w:t>
            </w:r>
            <w:r>
              <w:rPr>
                <w:rFonts w:hint="eastAsia" w:ascii="宋体" w:hAnsi="宋体" w:eastAsia="宋体" w:cs="宋体"/>
                <w:lang w:val="en-US" w:eastAsia="zh-CN"/>
              </w:rPr>
              <w:t>。（付款前成交供应商须开具等额合规的增值税普通发票给采购人）</w:t>
            </w:r>
          </w:p>
        </w:tc>
      </w:tr>
    </w:tbl>
    <w:p w14:paraId="1A442C7F">
      <w:pPr>
        <w:pStyle w:val="7"/>
        <w:spacing w:line="500" w:lineRule="exact"/>
        <w:jc w:val="left"/>
        <w:rPr>
          <w:rFonts w:hint="eastAsia" w:ascii="仿宋" w:hAnsi="仿宋" w:eastAsia="仿宋"/>
          <w:color w:val="auto"/>
          <w:sz w:val="30"/>
          <w:szCs w:val="30"/>
        </w:rPr>
      </w:pPr>
    </w:p>
    <w:p w14:paraId="2883CC9E">
      <w:pPr>
        <w:pStyle w:val="7"/>
        <w:spacing w:line="500" w:lineRule="exact"/>
        <w:jc w:val="left"/>
        <w:rPr>
          <w:rFonts w:hint="eastAsia" w:ascii="仿宋" w:hAnsi="仿宋" w:eastAsia="仿宋"/>
          <w:color w:val="auto"/>
          <w:sz w:val="30"/>
          <w:szCs w:val="30"/>
        </w:rPr>
      </w:pPr>
    </w:p>
    <w:p w14:paraId="4FF88422">
      <w:pPr>
        <w:pStyle w:val="7"/>
        <w:spacing w:line="500" w:lineRule="exact"/>
        <w:jc w:val="left"/>
        <w:rPr>
          <w:rFonts w:hint="eastAsia" w:ascii="仿宋" w:hAnsi="仿宋" w:eastAsia="仿宋"/>
          <w:color w:val="auto"/>
          <w:sz w:val="30"/>
          <w:szCs w:val="30"/>
        </w:rPr>
      </w:pPr>
    </w:p>
    <w:p w14:paraId="75B6AF1A">
      <w:pPr>
        <w:pStyle w:val="7"/>
        <w:spacing w:line="500" w:lineRule="exact"/>
        <w:jc w:val="left"/>
        <w:rPr>
          <w:rFonts w:hint="eastAsia" w:ascii="仿宋" w:hAnsi="仿宋" w:eastAsia="仿宋"/>
          <w:color w:val="auto"/>
          <w:sz w:val="30"/>
          <w:szCs w:val="30"/>
        </w:rPr>
      </w:pPr>
    </w:p>
    <w:p w14:paraId="5E4DAC10">
      <w:pPr>
        <w:pStyle w:val="7"/>
        <w:spacing w:line="500" w:lineRule="exact"/>
        <w:jc w:val="left"/>
        <w:rPr>
          <w:rFonts w:hint="eastAsia" w:ascii="仿宋" w:hAnsi="仿宋" w:eastAsia="仿宋"/>
          <w:color w:val="auto"/>
          <w:sz w:val="30"/>
          <w:szCs w:val="30"/>
        </w:rPr>
      </w:pPr>
    </w:p>
    <w:p w14:paraId="1C62E7C5">
      <w:pPr>
        <w:pStyle w:val="7"/>
        <w:spacing w:line="500" w:lineRule="exact"/>
        <w:jc w:val="left"/>
        <w:rPr>
          <w:rFonts w:hint="eastAsia" w:ascii="仿宋" w:hAnsi="仿宋" w:eastAsia="仿宋"/>
          <w:color w:val="auto"/>
          <w:sz w:val="30"/>
          <w:szCs w:val="30"/>
        </w:rPr>
      </w:pPr>
    </w:p>
    <w:p w14:paraId="23701A63">
      <w:pPr>
        <w:pStyle w:val="7"/>
        <w:spacing w:line="500" w:lineRule="exact"/>
        <w:jc w:val="left"/>
        <w:rPr>
          <w:rFonts w:hint="eastAsia" w:ascii="仿宋" w:hAnsi="仿宋" w:eastAsia="仿宋"/>
          <w:color w:val="auto"/>
          <w:sz w:val="30"/>
          <w:szCs w:val="30"/>
        </w:rPr>
      </w:pPr>
    </w:p>
    <w:p w14:paraId="437604D7">
      <w:pPr>
        <w:pStyle w:val="7"/>
        <w:spacing w:line="500" w:lineRule="exact"/>
        <w:jc w:val="left"/>
        <w:rPr>
          <w:rFonts w:hint="eastAsia" w:ascii="仿宋" w:hAnsi="仿宋" w:eastAsia="仿宋"/>
          <w:color w:val="auto"/>
          <w:sz w:val="30"/>
          <w:szCs w:val="30"/>
        </w:rPr>
      </w:pPr>
    </w:p>
    <w:p w14:paraId="7B7776ED">
      <w:pPr>
        <w:pStyle w:val="7"/>
        <w:spacing w:line="500" w:lineRule="exact"/>
        <w:jc w:val="left"/>
        <w:rPr>
          <w:rFonts w:hint="eastAsia" w:ascii="仿宋" w:hAnsi="仿宋" w:eastAsia="仿宋"/>
          <w:color w:val="auto"/>
          <w:sz w:val="30"/>
          <w:szCs w:val="30"/>
        </w:rPr>
      </w:pPr>
    </w:p>
    <w:p w14:paraId="1D768A57">
      <w:pPr>
        <w:pStyle w:val="7"/>
        <w:spacing w:line="500" w:lineRule="exact"/>
        <w:jc w:val="left"/>
        <w:rPr>
          <w:rFonts w:hint="eastAsia" w:ascii="仿宋" w:hAnsi="仿宋" w:eastAsia="仿宋"/>
          <w:color w:val="auto"/>
          <w:sz w:val="30"/>
          <w:szCs w:val="30"/>
        </w:rPr>
      </w:pPr>
    </w:p>
    <w:p w14:paraId="1087F773">
      <w:pPr>
        <w:pStyle w:val="7"/>
        <w:spacing w:line="500" w:lineRule="exact"/>
        <w:jc w:val="left"/>
        <w:rPr>
          <w:rFonts w:hint="eastAsia" w:ascii="仿宋" w:hAnsi="仿宋" w:eastAsia="仿宋"/>
          <w:color w:val="auto"/>
          <w:sz w:val="30"/>
          <w:szCs w:val="30"/>
        </w:rPr>
      </w:pPr>
    </w:p>
    <w:p w14:paraId="302C4A7C">
      <w:pPr>
        <w:pStyle w:val="7"/>
        <w:spacing w:line="500" w:lineRule="exact"/>
        <w:jc w:val="left"/>
        <w:rPr>
          <w:rFonts w:hint="eastAsia" w:ascii="仿宋" w:hAnsi="仿宋" w:eastAsia="仿宋"/>
          <w:color w:val="auto"/>
          <w:sz w:val="30"/>
          <w:szCs w:val="30"/>
        </w:rPr>
      </w:pPr>
    </w:p>
    <w:p w14:paraId="5BBC50C9">
      <w:pPr>
        <w:pStyle w:val="7"/>
        <w:spacing w:line="500" w:lineRule="exact"/>
        <w:jc w:val="left"/>
        <w:rPr>
          <w:rFonts w:hint="eastAsia" w:ascii="仿宋" w:hAnsi="仿宋" w:eastAsia="仿宋"/>
          <w:color w:val="auto"/>
          <w:sz w:val="30"/>
          <w:szCs w:val="30"/>
        </w:rPr>
      </w:pPr>
    </w:p>
    <w:p w14:paraId="3375390A">
      <w:pPr>
        <w:pStyle w:val="7"/>
        <w:spacing w:line="500" w:lineRule="exact"/>
        <w:jc w:val="left"/>
        <w:rPr>
          <w:rFonts w:hint="eastAsia" w:ascii="仿宋" w:hAnsi="仿宋" w:eastAsia="仿宋"/>
          <w:color w:val="auto"/>
          <w:sz w:val="30"/>
          <w:szCs w:val="30"/>
        </w:rPr>
      </w:pPr>
    </w:p>
    <w:p w14:paraId="084A1743">
      <w:pPr>
        <w:pStyle w:val="7"/>
        <w:spacing w:line="500" w:lineRule="exact"/>
        <w:jc w:val="left"/>
        <w:rPr>
          <w:rFonts w:hint="eastAsia" w:ascii="仿宋" w:hAnsi="仿宋" w:eastAsia="仿宋"/>
          <w:color w:val="auto"/>
          <w:sz w:val="30"/>
          <w:szCs w:val="30"/>
        </w:rPr>
      </w:pPr>
    </w:p>
    <w:p w14:paraId="5C486898">
      <w:pPr>
        <w:pStyle w:val="7"/>
        <w:spacing w:line="500" w:lineRule="exact"/>
        <w:jc w:val="left"/>
        <w:rPr>
          <w:rFonts w:hint="eastAsia" w:ascii="仿宋" w:hAnsi="仿宋" w:eastAsia="仿宋"/>
          <w:color w:val="auto"/>
          <w:sz w:val="30"/>
          <w:szCs w:val="30"/>
        </w:rPr>
      </w:pPr>
    </w:p>
    <w:p w14:paraId="628A79FE">
      <w:pPr>
        <w:pStyle w:val="7"/>
        <w:spacing w:line="500" w:lineRule="exact"/>
        <w:jc w:val="left"/>
        <w:rPr>
          <w:rFonts w:hint="eastAsia" w:ascii="仿宋" w:hAnsi="仿宋" w:eastAsia="仿宋"/>
          <w:color w:val="auto"/>
          <w:sz w:val="30"/>
          <w:szCs w:val="30"/>
        </w:rPr>
      </w:pPr>
    </w:p>
    <w:p w14:paraId="4E7D706F">
      <w:pPr>
        <w:pStyle w:val="7"/>
        <w:spacing w:line="500" w:lineRule="exact"/>
        <w:jc w:val="left"/>
        <w:rPr>
          <w:rFonts w:hint="eastAsia" w:ascii="仿宋" w:hAnsi="仿宋" w:eastAsia="仿宋"/>
          <w:color w:val="auto"/>
          <w:sz w:val="30"/>
          <w:szCs w:val="30"/>
        </w:rPr>
      </w:pPr>
    </w:p>
    <w:p w14:paraId="56BECB6B">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729EBE64">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E2AF190">
      <w:pPr>
        <w:spacing w:line="360" w:lineRule="exact"/>
        <w:ind w:firstLine="413" w:firstLineChars="196"/>
        <w:rPr>
          <w:rFonts w:hint="eastAsia" w:ascii="宋体" w:hAnsi="宋体"/>
          <w:b/>
          <w:bCs/>
          <w:color w:val="auto"/>
          <w:kern w:val="0"/>
          <w:szCs w:val="21"/>
          <w:highlight w:val="none"/>
        </w:rPr>
      </w:pPr>
    </w:p>
    <w:p w14:paraId="7D9888E2">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52278FA">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55406D4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CF6D708">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15204468">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441C0FBC">
      <w:pPr>
        <w:spacing w:line="360" w:lineRule="exact"/>
        <w:ind w:firstLine="420" w:firstLineChars="200"/>
        <w:outlineLvl w:val="0"/>
        <w:rPr>
          <w:rFonts w:hint="eastAsia" w:ascii="宋体" w:hAnsi="宋体"/>
          <w:color w:val="auto"/>
          <w:kern w:val="0"/>
          <w:szCs w:val="21"/>
          <w:highlight w:val="none"/>
        </w:rPr>
      </w:pPr>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33BC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D56B249">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532E82B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6CB5BA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513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76D0C82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32EF658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4388D5BA">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55616CF">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16ABBAE">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660B3113">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0A2E01C4">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7CC3322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p w14:paraId="1D9BF8AB">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FE3F00E">
            <w:pPr>
              <w:spacing w:line="400" w:lineRule="exact"/>
              <w:rPr>
                <w:rFonts w:hint="eastAsia" w:ascii="宋体" w:hAnsi="宋体" w:cs="宋体"/>
                <w:bCs/>
                <w:color w:val="auto"/>
                <w:szCs w:val="21"/>
                <w:highlight w:val="none"/>
              </w:rPr>
            </w:pPr>
          </w:p>
          <w:p w14:paraId="2F5AD491">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F1DA7D9">
            <w:pPr>
              <w:pStyle w:val="40"/>
            </w:pPr>
          </w:p>
        </w:tc>
      </w:tr>
      <w:tr w14:paraId="7774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527" w:type="dxa"/>
            <w:vMerge w:val="restart"/>
            <w:noWrap w:val="0"/>
            <w:vAlign w:val="center"/>
          </w:tcPr>
          <w:p w14:paraId="0AE641C5">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E6E454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0C664B5F">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noWrap w:val="0"/>
            <w:vAlign w:val="center"/>
          </w:tcPr>
          <w:p w14:paraId="5794EE33">
            <w:pPr>
              <w:snapToGrid w:val="0"/>
              <w:spacing w:line="380" w:lineRule="exact"/>
              <w:jc w:val="center"/>
              <w:rPr>
                <w:rFonts w:hint="eastAsia" w:ascii="宋体" w:hAnsi="宋体" w:cs="宋体"/>
                <w:b/>
                <w:color w:val="auto"/>
                <w:szCs w:val="21"/>
                <w:highlight w:val="none"/>
              </w:rPr>
            </w:pPr>
          </w:p>
          <w:p w14:paraId="189D5F58">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24</w:t>
            </w:r>
            <w:r>
              <w:rPr>
                <w:rFonts w:hint="eastAsia" w:ascii="宋体" w:hAnsi="宋体" w:cs="宋体"/>
                <w:b/>
                <w:color w:val="auto"/>
                <w:szCs w:val="21"/>
                <w:highlight w:val="none"/>
              </w:rPr>
              <w:t>分）</w:t>
            </w:r>
          </w:p>
        </w:tc>
        <w:tc>
          <w:tcPr>
            <w:tcW w:w="6016" w:type="dxa"/>
            <w:noWrap w:val="0"/>
            <w:vAlign w:val="center"/>
          </w:tcPr>
          <w:p w14:paraId="683FF1B9">
            <w:pPr>
              <w:pStyle w:val="3"/>
              <w:rPr>
                <w:rFonts w:hint="eastAsia"/>
                <w:color w:val="auto"/>
                <w:highlight w:val="none"/>
              </w:rPr>
            </w:pPr>
          </w:p>
          <w:p w14:paraId="2FF9E158">
            <w:pPr>
              <w:pStyle w:val="3"/>
              <w:rPr>
                <w:color w:val="auto"/>
                <w:highlight w:val="none"/>
              </w:rPr>
            </w:pPr>
            <w:r>
              <w:rPr>
                <w:rFonts w:hint="eastAsia"/>
                <w:b/>
                <w:bCs/>
                <w:color w:val="auto"/>
                <w:highlight w:val="none"/>
              </w:rPr>
              <w:t>一档（</w:t>
            </w:r>
            <w:r>
              <w:rPr>
                <w:rFonts w:hint="eastAsia"/>
                <w:b/>
                <w:bCs/>
                <w:color w:val="auto"/>
                <w:highlight w:val="none"/>
                <w:lang w:val="en-US" w:eastAsia="zh-CN"/>
              </w:rPr>
              <w:t>8</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652031D6">
            <w:pPr>
              <w:pStyle w:val="3"/>
              <w:rPr>
                <w:color w:val="auto"/>
                <w:highlight w:val="none"/>
              </w:rPr>
            </w:pPr>
            <w:r>
              <w:rPr>
                <w:rFonts w:hint="eastAsia"/>
                <w:b/>
                <w:bCs/>
                <w:color w:val="auto"/>
                <w:highlight w:val="none"/>
              </w:rPr>
              <w:t>二档（</w:t>
            </w:r>
            <w:r>
              <w:rPr>
                <w:rFonts w:hint="eastAsia"/>
                <w:b/>
                <w:bCs/>
                <w:color w:val="auto"/>
                <w:highlight w:val="none"/>
                <w:lang w:val="en-US" w:eastAsia="zh-CN"/>
              </w:rPr>
              <w:t>16</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2A163E57">
            <w:pPr>
              <w:pStyle w:val="3"/>
              <w:rPr>
                <w:color w:val="auto"/>
                <w:highlight w:val="none"/>
              </w:rPr>
            </w:pPr>
            <w:r>
              <w:rPr>
                <w:rFonts w:hint="eastAsia"/>
                <w:b/>
                <w:bCs/>
                <w:color w:val="auto"/>
                <w:highlight w:val="none"/>
              </w:rPr>
              <w:t>三档（</w:t>
            </w:r>
            <w:r>
              <w:rPr>
                <w:rFonts w:hint="eastAsia"/>
                <w:b/>
                <w:bCs/>
                <w:color w:val="auto"/>
                <w:highlight w:val="none"/>
                <w:lang w:val="en-US" w:eastAsia="zh-CN"/>
              </w:rPr>
              <w:t>24</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0931DAC">
            <w:pPr>
              <w:spacing w:line="360" w:lineRule="auto"/>
              <w:rPr>
                <w:rFonts w:hint="eastAsia" w:ascii="宋体" w:hAnsi="宋体" w:eastAsia="宋体" w:cs="宋体"/>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25F4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2568213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3A07FF4">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6EAC487">
            <w:pPr>
              <w:snapToGrid w:val="0"/>
              <w:spacing w:line="380" w:lineRule="exact"/>
              <w:rPr>
                <w:rFonts w:ascii="宋体" w:hAnsi="宋体" w:cs="宋体"/>
                <w:b/>
                <w:color w:val="auto"/>
                <w:szCs w:val="21"/>
                <w:highlight w:val="none"/>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18</w:t>
            </w:r>
            <w:r>
              <w:rPr>
                <w:rFonts w:ascii="宋体" w:hAnsi="宋体" w:cs="宋体"/>
                <w:b/>
                <w:bCs/>
                <w:color w:val="auto"/>
                <w:kern w:val="0"/>
                <w:szCs w:val="21"/>
                <w:highlight w:val="none"/>
              </w:rPr>
              <w:t>分）</w:t>
            </w:r>
          </w:p>
        </w:tc>
        <w:tc>
          <w:tcPr>
            <w:tcW w:w="6016" w:type="dxa"/>
            <w:noWrap w:val="0"/>
            <w:vAlign w:val="center"/>
          </w:tcPr>
          <w:p w14:paraId="3F93346F">
            <w:pPr>
              <w:pStyle w:val="3"/>
              <w:rPr>
                <w:rFonts w:hint="eastAsia" w:ascii="宋体" w:hAnsi="宋体" w:eastAsia="宋体" w:cs="宋体"/>
                <w:color w:val="auto"/>
                <w:highlight w:val="none"/>
              </w:rPr>
            </w:pPr>
          </w:p>
          <w:p w14:paraId="34566296">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人员配置方案相对简单，仅能满足项目需求。 </w:t>
            </w:r>
          </w:p>
          <w:p w14:paraId="616258BF">
            <w:pPr>
              <w:pStyle w:val="3"/>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cs="宋体"/>
                <w:b/>
                <w:bCs/>
                <w:color w:val="auto"/>
                <w:highlight w:val="none"/>
                <w:lang w:val="en-US" w:eastAsia="zh-CN"/>
              </w:rPr>
              <w:t>12</w:t>
            </w:r>
            <w:r>
              <w:rPr>
                <w:rFonts w:hint="eastAsia" w:ascii="宋体" w:hAnsi="宋体" w:eastAsia="宋体" w:cs="宋体"/>
                <w:b/>
                <w:bCs/>
                <w:color w:val="auto"/>
                <w:highlight w:val="none"/>
              </w:rPr>
              <w:t>分）：</w:t>
            </w:r>
            <w:r>
              <w:rPr>
                <w:rFonts w:hint="eastAsia" w:ascii="宋体" w:hAnsi="宋体" w:eastAsia="宋体" w:cs="宋体"/>
                <w:color w:val="auto"/>
                <w:highlight w:val="none"/>
              </w:rPr>
              <w:t>人员配置方案比较详细、较为可行，人员分工明确，项目实施团队人员专业性较好。</w:t>
            </w:r>
          </w:p>
          <w:p w14:paraId="428A7E93">
            <w:pPr>
              <w:rPr>
                <w:rFonts w:hint="eastAsia" w:ascii="宋体" w:hAnsi="宋体" w:cs="宋体"/>
                <w:color w:val="auto"/>
                <w:highlight w:val="none"/>
              </w:rPr>
            </w:pPr>
            <w:r>
              <w:rPr>
                <w:rFonts w:hint="eastAsia" w:ascii="宋体" w:hAnsi="宋体" w:cs="宋体"/>
                <w:b/>
                <w:bCs/>
                <w:color w:val="auto"/>
                <w:highlight w:val="none"/>
              </w:rPr>
              <w:t>三档（</w:t>
            </w:r>
            <w:r>
              <w:rPr>
                <w:rFonts w:hint="eastAsia" w:ascii="宋体" w:hAnsi="宋体" w:cs="宋体"/>
                <w:b/>
                <w:bCs/>
                <w:color w:val="auto"/>
                <w:highlight w:val="none"/>
                <w:lang w:val="en-US" w:eastAsia="zh-CN"/>
              </w:rPr>
              <w:t>18</w:t>
            </w:r>
            <w:r>
              <w:rPr>
                <w:rFonts w:hint="eastAsia" w:ascii="宋体" w:hAnsi="宋体" w:cs="宋体"/>
                <w:b/>
                <w:bCs/>
                <w:color w:val="auto"/>
                <w:highlight w:val="none"/>
              </w:rPr>
              <w:t>分）：</w:t>
            </w:r>
            <w:r>
              <w:rPr>
                <w:rFonts w:hint="eastAsia" w:ascii="宋体" w:hAnsi="宋体" w:cs="宋体"/>
                <w:color w:val="auto"/>
                <w:highlight w:val="none"/>
              </w:rPr>
              <w:t>人员配置方案详细、全面、可行、人员分工明确，实施团队人员有相关经验，项目实施团队人员专业性强，项目实施团队成员有详细的介绍。</w:t>
            </w:r>
          </w:p>
          <w:p w14:paraId="5835B815">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7107BB49">
            <w:pPr>
              <w:pStyle w:val="3"/>
              <w:rPr>
                <w:rFonts w:hint="eastAsia"/>
                <w:color w:val="auto"/>
                <w:highlight w:val="none"/>
              </w:rPr>
            </w:pPr>
          </w:p>
        </w:tc>
      </w:tr>
      <w:tr w14:paraId="1D44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238C8E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3B67D77">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A3AAEBB">
            <w:pPr>
              <w:snapToGrid w:val="0"/>
              <w:spacing w:line="380" w:lineRule="exact"/>
              <w:rPr>
                <w:rFonts w:hint="eastAsia" w:ascii="宋体" w:hAnsi="宋体"/>
                <w:b/>
                <w:bCs/>
                <w:color w:val="auto"/>
                <w:szCs w:val="32"/>
                <w:highlight w:val="none"/>
                <w:lang w:val="en-US" w:eastAsia="zh-CN"/>
              </w:rPr>
            </w:pPr>
            <w:r>
              <w:rPr>
                <w:rFonts w:hint="eastAsia" w:ascii="宋体" w:hAnsi="宋体"/>
                <w:b/>
                <w:bCs/>
                <w:color w:val="auto"/>
                <w:szCs w:val="32"/>
                <w:highlight w:val="none"/>
                <w:lang w:val="en-US" w:eastAsia="zh-CN"/>
              </w:rPr>
              <w:t>服务完成时效</w:t>
            </w:r>
          </w:p>
          <w:p w14:paraId="2AF3B252">
            <w:pPr>
              <w:snapToGrid w:val="0"/>
              <w:spacing w:line="380" w:lineRule="exact"/>
              <w:rPr>
                <w:rFonts w:hint="default" w:ascii="宋体" w:hAnsi="宋体"/>
                <w:b/>
                <w:bCs/>
                <w:color w:val="auto"/>
                <w:szCs w:val="32"/>
                <w:highlight w:val="none"/>
                <w:lang w:val="en-US" w:eastAsia="zh-CN"/>
              </w:rPr>
            </w:pPr>
            <w:r>
              <w:rPr>
                <w:rFonts w:hint="eastAsia" w:ascii="宋体" w:hAnsi="宋体"/>
                <w:b/>
                <w:bCs/>
                <w:color w:val="auto"/>
                <w:szCs w:val="32"/>
                <w:highlight w:val="none"/>
                <w:lang w:val="en-US" w:eastAsia="zh-CN"/>
              </w:rPr>
              <w:t>（满分18分）</w:t>
            </w:r>
          </w:p>
        </w:tc>
        <w:tc>
          <w:tcPr>
            <w:tcW w:w="6016" w:type="dxa"/>
            <w:noWrap w:val="0"/>
            <w:vAlign w:val="center"/>
          </w:tcPr>
          <w:p w14:paraId="775F3492">
            <w:pPr>
              <w:pStyle w:val="3"/>
              <w:rPr>
                <w:rFonts w:hint="eastAsia"/>
                <w:color w:val="auto"/>
                <w:highlight w:val="none"/>
                <w:lang w:val="en-US" w:eastAsia="zh-CN"/>
              </w:rPr>
            </w:pPr>
          </w:p>
          <w:p w14:paraId="787C745A">
            <w:pPr>
              <w:pStyle w:val="3"/>
              <w:rPr>
                <w:rFonts w:hint="eastAsia"/>
                <w:color w:val="auto"/>
                <w:highlight w:val="none"/>
                <w:lang w:val="en-US" w:eastAsia="zh-CN"/>
              </w:rPr>
            </w:pPr>
            <w:r>
              <w:rPr>
                <w:rFonts w:hint="eastAsia"/>
                <w:color w:val="auto"/>
                <w:highlight w:val="none"/>
                <w:lang w:val="en-US" w:eastAsia="zh-CN"/>
              </w:rPr>
              <w:t>一档（6分）：承诺合同签订后40日内按采购人要求完成检测、校准服务并出具相应报告的；</w:t>
            </w:r>
          </w:p>
          <w:p w14:paraId="290883CF">
            <w:pPr>
              <w:pStyle w:val="3"/>
              <w:rPr>
                <w:rFonts w:hint="eastAsia"/>
                <w:color w:val="auto"/>
                <w:highlight w:val="none"/>
                <w:lang w:val="en-US" w:eastAsia="zh-CN"/>
              </w:rPr>
            </w:pPr>
            <w:r>
              <w:rPr>
                <w:rFonts w:hint="eastAsia"/>
                <w:color w:val="auto"/>
                <w:highlight w:val="none"/>
                <w:lang w:val="en-US" w:eastAsia="zh-CN"/>
              </w:rPr>
              <w:t>二挡（12分）：承诺合同签订后35日内按采购人要求完成检测、校准服务并出具相应报告的；</w:t>
            </w:r>
          </w:p>
          <w:p w14:paraId="148AEF40">
            <w:pPr>
              <w:pStyle w:val="3"/>
              <w:rPr>
                <w:rFonts w:hint="eastAsia"/>
                <w:color w:val="auto"/>
                <w:highlight w:val="none"/>
                <w:lang w:val="en-US" w:eastAsia="zh-CN"/>
              </w:rPr>
            </w:pPr>
            <w:r>
              <w:rPr>
                <w:rFonts w:hint="eastAsia"/>
                <w:color w:val="auto"/>
                <w:highlight w:val="none"/>
                <w:lang w:val="en-US" w:eastAsia="zh-CN"/>
              </w:rPr>
              <w:t>三挡（18分）：承诺合同签订后30日内按采购人要求完成检测、校准服务并出具相应报告的。</w:t>
            </w:r>
          </w:p>
          <w:p w14:paraId="4752CCB9">
            <w:pPr>
              <w:pStyle w:val="3"/>
              <w:rPr>
                <w:rFonts w:hint="eastAsia"/>
                <w:color w:val="auto"/>
                <w:highlight w:val="none"/>
                <w:lang w:val="en-US" w:eastAsia="zh-CN"/>
              </w:rPr>
            </w:pPr>
            <w:r>
              <w:rPr>
                <w:rFonts w:hint="eastAsia"/>
                <w:color w:val="auto"/>
                <w:highlight w:val="none"/>
                <w:lang w:val="en-US" w:eastAsia="zh-CN"/>
              </w:rPr>
              <w:t>注：须提供承诺书（格式自拟），未提供不得分</w:t>
            </w:r>
          </w:p>
          <w:p w14:paraId="6B5EDF38">
            <w:pPr>
              <w:pStyle w:val="3"/>
              <w:rPr>
                <w:rFonts w:hint="default"/>
                <w:color w:val="auto"/>
                <w:highlight w:val="none"/>
                <w:lang w:val="en-US" w:eastAsia="zh-CN"/>
              </w:rPr>
            </w:pPr>
          </w:p>
        </w:tc>
      </w:tr>
      <w:tr w14:paraId="26E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0C2BA5E">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1F3F43DA">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3B1AF46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6F35B4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38C1F914">
            <w:pPr>
              <w:pStyle w:val="3"/>
              <w:rPr>
                <w:rFonts w:hint="eastAsia"/>
                <w:color w:val="auto"/>
                <w:highlight w:val="none"/>
                <w:lang w:val="en-US" w:eastAsia="zh-CN"/>
              </w:rPr>
            </w:pPr>
          </w:p>
          <w:p w14:paraId="22496AA4">
            <w:pPr>
              <w:pStyle w:val="3"/>
              <w:rPr>
                <w:rFonts w:hint="eastAsia"/>
                <w:color w:val="auto"/>
                <w:highlight w:val="none"/>
              </w:rPr>
            </w:pPr>
            <w:r>
              <w:rPr>
                <w:rFonts w:hint="eastAsia"/>
                <w:color w:val="auto"/>
                <w:highlight w:val="none"/>
                <w:lang w:eastAsia="zh-CN"/>
              </w:rPr>
              <w:t>自</w:t>
            </w:r>
            <w:r>
              <w:rPr>
                <w:rFonts w:hint="eastAsia"/>
                <w:color w:val="auto"/>
                <w:highlight w:val="none"/>
              </w:rPr>
              <w:t>2023年1月1日</w:t>
            </w:r>
            <w:r>
              <w:rPr>
                <w:rFonts w:hint="eastAsia"/>
                <w:color w:val="auto"/>
                <w:highlight w:val="none"/>
                <w:lang w:val="en-US" w:eastAsia="zh-CN"/>
              </w:rPr>
              <w:t>以来</w:t>
            </w:r>
            <w:r>
              <w:rPr>
                <w:rFonts w:hint="eastAsia"/>
                <w:color w:val="auto"/>
                <w:highlight w:val="none"/>
              </w:rPr>
              <w:t>具有的类似业绩有效证明</w:t>
            </w:r>
            <w:r>
              <w:rPr>
                <w:rFonts w:hint="eastAsia"/>
                <w:color w:val="auto"/>
                <w:highlight w:val="none"/>
                <w:lang w:eastAsia="zh-CN"/>
              </w:rPr>
              <w:t>的</w:t>
            </w:r>
            <w:r>
              <w:rPr>
                <w:rFonts w:hint="eastAsia"/>
                <w:color w:val="auto"/>
                <w:highlight w:val="none"/>
              </w:rPr>
              <w:t>，每提供</w:t>
            </w:r>
            <w:r>
              <w:rPr>
                <w:rFonts w:hint="default"/>
                <w:color w:val="auto"/>
                <w:highlight w:val="none"/>
                <w:lang w:val="en-US"/>
              </w:rPr>
              <w:t>1</w:t>
            </w:r>
            <w:r>
              <w:rPr>
                <w:rFonts w:hint="eastAsia"/>
                <w:color w:val="auto"/>
                <w:highlight w:val="none"/>
              </w:rPr>
              <w:t>份业绩证明得</w:t>
            </w:r>
            <w:r>
              <w:rPr>
                <w:rFonts w:hint="eastAsia"/>
                <w:color w:val="auto"/>
                <w:highlight w:val="none"/>
                <w:lang w:val="en-US" w:eastAsia="zh-CN"/>
              </w:rPr>
              <w:t>2</w:t>
            </w:r>
            <w:r>
              <w:rPr>
                <w:rFonts w:hint="eastAsia"/>
                <w:color w:val="auto"/>
                <w:highlight w:val="none"/>
              </w:rPr>
              <w:t>分，最多得</w:t>
            </w:r>
            <w:r>
              <w:rPr>
                <w:rFonts w:hint="eastAsia"/>
                <w:color w:val="auto"/>
                <w:highlight w:val="none"/>
                <w:lang w:val="en-US" w:eastAsia="zh-CN"/>
              </w:rPr>
              <w:t>10</w:t>
            </w:r>
            <w:r>
              <w:rPr>
                <w:rFonts w:hint="eastAsia"/>
                <w:color w:val="auto"/>
                <w:highlight w:val="none"/>
              </w:rPr>
              <w:t>分。【须提供合同原件扫描件，能清晰反映该项目的项目名称、种类等（有合同首页、主要内容页及双方签字盖章页），未提供合同原件扫描件不得分】。</w:t>
            </w:r>
          </w:p>
        </w:tc>
      </w:tr>
      <w:tr w14:paraId="77A5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29A64A7">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726C20F">
      <w:pPr>
        <w:spacing w:line="360" w:lineRule="exact"/>
        <w:outlineLvl w:val="9"/>
        <w:rPr>
          <w:rFonts w:ascii="宋体" w:hAnsi="宋体"/>
          <w:color w:val="auto"/>
          <w:kern w:val="0"/>
          <w:szCs w:val="21"/>
          <w:highlight w:val="none"/>
        </w:rPr>
      </w:pPr>
    </w:p>
    <w:p w14:paraId="79DF028F">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7306450B">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w:t>
      </w:r>
      <w:r>
        <w:rPr>
          <w:rFonts w:hint="eastAsia"/>
          <w:lang w:eastAsia="zh-CN"/>
        </w:rPr>
        <w:t>相同且</w:t>
      </w:r>
      <w:r>
        <w:rPr>
          <w:rFonts w:hint="eastAsia"/>
          <w:lang w:val="en-US" w:eastAsia="zh-CN"/>
        </w:rPr>
        <w:t>响应</w:t>
      </w:r>
      <w:r>
        <w:rPr>
          <w:rFonts w:hint="eastAsia"/>
        </w:rPr>
        <w:t>报价相同的，按照评审因素的量化指标评审得分最高的</w:t>
      </w:r>
      <w:r>
        <w:rPr>
          <w:rFonts w:hint="eastAsia"/>
          <w:lang w:eastAsia="zh-CN"/>
        </w:rPr>
        <w:t>确定为</w:t>
      </w:r>
      <w:r>
        <w:rPr>
          <w:rFonts w:hint="eastAsia"/>
          <w:lang w:val="en-US" w:eastAsia="zh-CN"/>
        </w:rPr>
        <w:t>成交供应商</w:t>
      </w:r>
      <w:r>
        <w:rPr>
          <w:rFonts w:hint="eastAsia"/>
        </w:rPr>
        <w:t>。</w:t>
      </w:r>
    </w:p>
    <w:p w14:paraId="130C6836">
      <w:pPr>
        <w:ind w:firstLine="420" w:firstLineChars="200"/>
      </w:pPr>
      <w:r>
        <w:rPr>
          <w:rFonts w:hint="eastAsia"/>
        </w:rPr>
        <w:t>采购人应当</w:t>
      </w:r>
      <w:r>
        <w:rPr>
          <w:rFonts w:hint="eastAsia"/>
          <w:lang w:eastAsia="zh-CN"/>
        </w:rPr>
        <w:t>将</w:t>
      </w:r>
      <w:r>
        <w:rPr>
          <w:rFonts w:hint="eastAsia"/>
          <w:lang w:val="en-US" w:eastAsia="zh-CN"/>
        </w:rPr>
        <w:t>得分</w:t>
      </w:r>
      <w:r>
        <w:rPr>
          <w:rFonts w:hint="eastAsia"/>
        </w:rPr>
        <w:t>排名第一的</w:t>
      </w:r>
      <w:r>
        <w:rPr>
          <w:rFonts w:hint="eastAsia"/>
          <w:lang w:val="en-US" w:eastAsia="zh-CN"/>
        </w:rPr>
        <w:t>供应商确定为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47A974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南宁中心血站2026年度冷链设备检测、校准服务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南宁中心血站2026年度冷链设备检测、校准服务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1台</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金额不能超过项目每台最高限价（￥120.00元）。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南宁中心血站2026年度冷链设备检测、校准服务</w:t>
            </w:r>
          </w:p>
        </w:tc>
        <w:tc>
          <w:tcPr>
            <w:tcW w:w="3052" w:type="dxa"/>
            <w:vAlign w:val="center"/>
          </w:tcPr>
          <w:p w14:paraId="4D634659">
            <w:pPr>
              <w:bidi w:val="0"/>
              <w:rPr>
                <w:rFonts w:hint="eastAsia" w:ascii="宋体" w:hAnsi="宋体" w:eastAsia="宋体" w:cs="宋体"/>
                <w:b/>
                <w:bCs/>
                <w:lang w:val="en-US" w:eastAsia="zh-CN"/>
              </w:rPr>
            </w:pPr>
            <w:r>
              <w:rPr>
                <w:rFonts w:hint="eastAsia" w:ascii="宋体" w:hAnsi="宋体" w:eastAsia="宋体" w:cs="宋体"/>
                <w:b/>
                <w:bCs/>
                <w:lang w:val="en-US" w:eastAsia="zh-CN"/>
              </w:rPr>
              <w:t>一、基本情况：</w:t>
            </w:r>
          </w:p>
          <w:p w14:paraId="49D4D5A1">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现有冷链设备约295台，主要分布于血站本部，各捐血屋。设备涵盖医用血液冰箱、试剂冰箱、超低温冰箱、血小板振荡箱等类型。要求设备定期进行检测、校准，确保运行状态安全稳定，保障血液、试剂安全。</w:t>
            </w:r>
          </w:p>
          <w:p w14:paraId="070D69D9">
            <w:pPr>
              <w:bidi w:val="0"/>
              <w:rPr>
                <w:rFonts w:hint="eastAsia" w:ascii="宋体" w:hAnsi="宋体" w:eastAsia="宋体" w:cs="宋体"/>
                <w:b/>
                <w:bCs/>
                <w:lang w:val="en-US" w:eastAsia="zh-CN"/>
              </w:rPr>
            </w:pPr>
            <w:r>
              <w:rPr>
                <w:rFonts w:hint="eastAsia" w:ascii="宋体" w:hAnsi="宋体" w:eastAsia="宋体" w:cs="宋体"/>
                <w:b/>
                <w:bCs/>
                <w:lang w:val="en-US" w:eastAsia="zh-CN"/>
              </w:rPr>
              <w:t>二、服务地点及设备分布：</w:t>
            </w:r>
          </w:p>
          <w:p w14:paraId="50FCCE49">
            <w:pPr>
              <w:bidi w:val="0"/>
              <w:rPr>
                <w:rFonts w:hint="eastAsia" w:ascii="宋体" w:hAnsi="宋体" w:eastAsia="宋体" w:cs="宋体"/>
                <w:lang w:val="en-US" w:eastAsia="zh-CN"/>
              </w:rPr>
            </w:pPr>
            <w:r>
              <w:rPr>
                <w:rFonts w:hint="eastAsia" w:ascii="宋体" w:hAnsi="宋体" w:eastAsia="宋体" w:cs="宋体"/>
                <w:lang w:val="en-US" w:eastAsia="zh-CN"/>
              </w:rPr>
              <w:t>1.南宁市区内设备约255台：分布于南宁中心血站本部、南宁市内各捐血屋及采血车。</w:t>
            </w:r>
          </w:p>
          <w:p w14:paraId="50935E46">
            <w:pPr>
              <w:bidi w:val="0"/>
              <w:rPr>
                <w:rFonts w:hint="eastAsia" w:ascii="宋体" w:hAnsi="宋体" w:eastAsia="宋体" w:cs="宋体"/>
                <w:lang w:val="en-US" w:eastAsia="zh-CN"/>
              </w:rPr>
            </w:pPr>
            <w:r>
              <w:rPr>
                <w:rFonts w:hint="eastAsia" w:ascii="宋体" w:hAnsi="宋体" w:eastAsia="宋体" w:cs="宋体"/>
                <w:lang w:val="en-US" w:eastAsia="zh-CN"/>
              </w:rPr>
              <w:t>2.南宁市区外设备约40台（医用血液冰箱）：分布于横州市、武鸣区、宾阳县、上林县、马山县、隆安县共8个捐血屋，。</w:t>
            </w:r>
          </w:p>
          <w:p w14:paraId="5A39BFFF">
            <w:pPr>
              <w:bidi w:val="0"/>
              <w:rPr>
                <w:rFonts w:hint="eastAsia" w:ascii="宋体" w:hAnsi="宋体" w:eastAsia="宋体" w:cs="宋体"/>
                <w:b/>
                <w:bCs/>
                <w:lang w:val="en-US" w:eastAsia="zh-CN"/>
              </w:rPr>
            </w:pPr>
            <w:r>
              <w:rPr>
                <w:rFonts w:hint="eastAsia" w:ascii="宋体" w:hAnsi="宋体" w:eastAsia="宋体" w:cs="宋体"/>
                <w:b/>
                <w:bCs/>
                <w:lang w:val="en-US" w:eastAsia="zh-CN"/>
              </w:rPr>
              <w:t>三、冷链设备数量：</w:t>
            </w:r>
          </w:p>
          <w:p w14:paraId="340F4555">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冷链设备总台数约为295台，其中医用血液冰箱、试剂冰箱约225台，超低温冰箱约45台，血小板振荡箱约25台，最终结算以实际检测、校准数量为准。</w:t>
            </w:r>
          </w:p>
          <w:p w14:paraId="2B1A37CA">
            <w:pPr>
              <w:bidi w:val="0"/>
              <w:rPr>
                <w:rFonts w:hint="eastAsia" w:ascii="宋体" w:hAnsi="宋体" w:eastAsia="宋体" w:cs="宋体"/>
                <w:b/>
                <w:bCs/>
                <w:lang w:val="en-US" w:eastAsia="zh-CN"/>
              </w:rPr>
            </w:pPr>
            <w:r>
              <w:rPr>
                <w:rFonts w:hint="eastAsia" w:ascii="宋体" w:hAnsi="宋体" w:eastAsia="宋体" w:cs="宋体"/>
                <w:b/>
                <w:bCs/>
                <w:lang w:val="en-US" w:eastAsia="zh-CN"/>
              </w:rPr>
              <w:t>四、服务内容：</w:t>
            </w:r>
          </w:p>
          <w:p w14:paraId="4EAAC5EB">
            <w:pPr>
              <w:bidi w:val="0"/>
              <w:rPr>
                <w:rFonts w:hint="eastAsia" w:ascii="宋体" w:hAnsi="宋体" w:eastAsia="宋体" w:cs="宋体"/>
                <w:lang w:val="en-US" w:eastAsia="zh-CN"/>
              </w:rPr>
            </w:pPr>
            <w:r>
              <w:rPr>
                <w:rFonts w:hint="eastAsia" w:ascii="宋体" w:hAnsi="宋体" w:eastAsia="宋体" w:cs="宋体"/>
                <w:lang w:val="en-US" w:eastAsia="zh-CN"/>
              </w:rPr>
              <w:t>1.依据JJF 1101《环境试验设备温度、湿度参数校准规范》对医用血液、试剂冰箱、超低温冰箱，血小板振荡箱等冷链设备进行检测、校准。</w:t>
            </w:r>
          </w:p>
          <w:p w14:paraId="573CB6F5">
            <w:pPr>
              <w:bidi w:val="0"/>
              <w:rPr>
                <w:rFonts w:hint="eastAsia" w:ascii="宋体" w:hAnsi="宋体" w:eastAsia="宋体" w:cs="宋体"/>
                <w:lang w:val="en-US" w:eastAsia="zh-CN"/>
              </w:rPr>
            </w:pPr>
            <w:r>
              <w:rPr>
                <w:rFonts w:hint="eastAsia" w:ascii="宋体" w:hAnsi="宋体" w:eastAsia="宋体" w:cs="宋体"/>
                <w:lang w:val="en-US" w:eastAsia="zh-CN"/>
              </w:rPr>
              <w:t>2.检测、校准所依据的规范标准须符合现行国家最新相关规范标准。</w:t>
            </w:r>
          </w:p>
          <w:p w14:paraId="680CAC46">
            <w:pPr>
              <w:bidi w:val="0"/>
              <w:rPr>
                <w:rFonts w:hint="eastAsia" w:ascii="宋体" w:hAnsi="宋体" w:eastAsia="宋体" w:cs="宋体"/>
                <w:b/>
                <w:bCs/>
                <w:lang w:val="en-US" w:eastAsia="zh-CN"/>
              </w:rPr>
            </w:pPr>
            <w:r>
              <w:rPr>
                <w:rFonts w:hint="eastAsia" w:ascii="宋体" w:hAnsi="宋体" w:eastAsia="宋体" w:cs="宋体"/>
                <w:b/>
                <w:bCs/>
                <w:lang w:val="en-US" w:eastAsia="zh-CN"/>
              </w:rPr>
              <w:t>五、其他要求：</w:t>
            </w:r>
          </w:p>
          <w:p w14:paraId="7E0A9CB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1.</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日内完成检测、校准，出具检测、校准相关证书/报告，并按采购人要求对冷链设备粘贴检测、校准标签。</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南宁中心血站2026年度冷链设备检测、校准服务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0" w:name="_Toc521096352"/>
      <w:bookmarkStart w:id="1" w:name="_Toc460253713"/>
      <w:r>
        <w:rPr>
          <w:rFonts w:hint="eastAsia" w:hAnsi="宋体"/>
          <w:color w:val="auto"/>
          <w:sz w:val="21"/>
          <w:szCs w:val="21"/>
        </w:rPr>
        <w:t>法定代表人或其委托代理人（签字或盖章）：</w:t>
      </w:r>
      <w:bookmarkEnd w:id="0"/>
      <w:bookmarkEnd w:id="1"/>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合同签订期：</w:t>
            </w:r>
            <w:r>
              <w:rPr>
                <w:rFonts w:hint="eastAsia" w:ascii="宋体" w:hAnsi="宋体"/>
                <w:b w:val="0"/>
                <w:bCs w:val="0"/>
                <w:szCs w:val="21"/>
                <w:lang w:val="en-US" w:eastAsia="zh-CN"/>
              </w:rPr>
              <w:t>自采购结果公告结束之日起 20 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服务时间：</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w:t>
            </w:r>
            <w:r>
              <w:rPr>
                <w:rFonts w:hint="eastAsia" w:ascii="宋体" w:hAnsi="宋体" w:cs="Times New Roman"/>
                <w:b w:val="0"/>
                <w:bCs w:val="0"/>
                <w:kern w:val="2"/>
                <w:sz w:val="21"/>
                <w:szCs w:val="21"/>
                <w:lang w:val="en-US" w:eastAsia="zh-CN" w:bidi="ar-SA"/>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E42BB87">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p>
          <w:p w14:paraId="04CA6BBE">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p>
          <w:p w14:paraId="0914FADF">
            <w:pPr>
              <w:pStyle w:val="10"/>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服务地点：</w:t>
            </w:r>
            <w:r>
              <w:rPr>
                <w:rFonts w:hint="eastAsia" w:ascii="宋体" w:hAnsi="宋体" w:eastAsia="宋体" w:cs="Times New Roman"/>
                <w:b w:val="0"/>
                <w:bCs w:val="0"/>
                <w:kern w:val="2"/>
                <w:sz w:val="21"/>
                <w:szCs w:val="21"/>
                <w:lang w:val="en-US" w:eastAsia="zh-CN" w:bidi="ar-SA"/>
              </w:rPr>
              <w:t>南宁市</w:t>
            </w:r>
            <w:r>
              <w:rPr>
                <w:rFonts w:hint="eastAsia" w:ascii="宋体" w:hAnsi="宋体" w:cs="Times New Roman"/>
                <w:b w:val="0"/>
                <w:bCs w:val="0"/>
                <w:kern w:val="2"/>
                <w:sz w:val="21"/>
                <w:szCs w:val="21"/>
                <w:lang w:val="en-US" w:eastAsia="zh-CN" w:bidi="ar-SA"/>
              </w:rPr>
              <w:t>区及南宁市县区</w:t>
            </w:r>
            <w:r>
              <w:rPr>
                <w:rFonts w:hint="eastAsia" w:ascii="宋体" w:hAnsi="宋体" w:eastAsia="宋体" w:cs="Times New Roman"/>
                <w:b w:val="0"/>
                <w:bCs w:val="0"/>
                <w:kern w:val="2"/>
                <w:sz w:val="21"/>
                <w:szCs w:val="21"/>
                <w:lang w:val="en-US" w:eastAsia="zh-CN" w:bidi="ar-SA"/>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69EF9149">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037C5362">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w:t>
            </w:r>
          </w:p>
          <w:p w14:paraId="45B38C41">
            <w:pPr>
              <w:bidi w:val="0"/>
              <w:rPr>
                <w:rFonts w:hint="eastAsia" w:ascii="宋体" w:hAnsi="宋体" w:eastAsia="宋体" w:cs="宋体"/>
                <w:lang w:val="en-US" w:eastAsia="zh-CN"/>
              </w:rPr>
            </w:pPr>
            <w:r>
              <w:rPr>
                <w:rFonts w:hint="eastAsia" w:ascii="宋体" w:hAnsi="宋体" w:eastAsia="宋体" w:cs="宋体"/>
                <w:lang w:val="en-US" w:eastAsia="zh-CN"/>
              </w:rPr>
              <w:t>(1)服务价格；</w:t>
            </w:r>
          </w:p>
          <w:p w14:paraId="048FC848">
            <w:pPr>
              <w:bidi w:val="0"/>
              <w:rPr>
                <w:rFonts w:hint="eastAsia" w:ascii="宋体" w:hAnsi="宋体" w:eastAsia="宋体" w:cs="宋体"/>
                <w:lang w:val="en-US" w:eastAsia="zh-CN"/>
              </w:rPr>
            </w:pPr>
            <w:r>
              <w:rPr>
                <w:rFonts w:hint="eastAsia" w:ascii="宋体" w:hAnsi="宋体" w:eastAsia="宋体" w:cs="宋体"/>
                <w:lang w:val="en-US" w:eastAsia="zh-CN"/>
              </w:rPr>
              <w:t>(2)各项费用包括：</w:t>
            </w:r>
          </w:p>
          <w:p w14:paraId="034155A9">
            <w:pPr>
              <w:bidi w:val="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eastAsia="宋体" w:cs="宋体"/>
              </w:rPr>
              <w:t>人工、差旅、调试、检测、</w:t>
            </w:r>
            <w:r>
              <w:rPr>
                <w:rFonts w:hint="eastAsia" w:ascii="宋体" w:hAnsi="宋体" w:eastAsia="宋体" w:cs="宋体"/>
                <w:lang w:val="en-US" w:eastAsia="zh-CN"/>
              </w:rPr>
              <w:t>校准</w:t>
            </w:r>
            <w:r>
              <w:rPr>
                <w:rFonts w:hint="eastAsia" w:ascii="宋体" w:hAnsi="宋体" w:eastAsia="宋体" w:cs="宋体"/>
              </w:rPr>
              <w:t>等费用</w:t>
            </w:r>
            <w:r>
              <w:rPr>
                <w:rFonts w:hint="eastAsia" w:ascii="宋体" w:hAnsi="宋体" w:eastAsia="宋体" w:cs="宋体"/>
                <w:lang w:val="en-US" w:eastAsia="zh-CN"/>
              </w:rPr>
              <w:t>。</w:t>
            </w:r>
          </w:p>
          <w:p w14:paraId="4969E457">
            <w:pPr>
              <w:bidi w:val="0"/>
              <w:rPr>
                <w:rFonts w:hint="eastAsia" w:ascii="宋体" w:hAnsi="宋体" w:eastAsia="宋体" w:cs="宋体"/>
                <w:lang w:val="en-US" w:eastAsia="zh-CN"/>
              </w:rPr>
            </w:pPr>
            <w:r>
              <w:rPr>
                <w:rFonts w:hint="eastAsia" w:ascii="宋体" w:hAnsi="宋体" w:eastAsia="宋体" w:cs="宋体"/>
                <w:lang w:val="en-US" w:eastAsia="zh-CN"/>
              </w:rPr>
              <w:t>②工作人员修理检测等工具、配件等费用。</w:t>
            </w:r>
          </w:p>
          <w:p w14:paraId="7DC77EC4">
            <w:pPr>
              <w:bidi w:val="0"/>
              <w:rPr>
                <w:rFonts w:hint="eastAsia" w:ascii="宋体" w:hAnsi="宋体" w:eastAsia="宋体" w:cs="宋体"/>
                <w:lang w:val="en-US" w:eastAsia="zh-CN"/>
              </w:rPr>
            </w:pPr>
            <w:r>
              <w:rPr>
                <w:rFonts w:hint="eastAsia" w:ascii="宋体" w:hAnsi="宋体" w:eastAsia="宋体" w:cs="宋体"/>
                <w:lang w:val="en-US" w:eastAsia="zh-CN"/>
              </w:rPr>
              <w:t>③培训、技术支持、售后服务等费用。</w:t>
            </w:r>
          </w:p>
          <w:p w14:paraId="38BCE965">
            <w:pPr>
              <w:bidi w:val="0"/>
              <w:rPr>
                <w:rFonts w:hint="eastAsia" w:ascii="宋体" w:hAnsi="宋体" w:eastAsia="宋体" w:cs="宋体"/>
                <w:lang w:val="en-US" w:eastAsia="zh-CN"/>
              </w:rPr>
            </w:pPr>
            <w:r>
              <w:rPr>
                <w:rFonts w:hint="eastAsia" w:ascii="宋体" w:hAnsi="宋体" w:eastAsia="宋体" w:cs="宋体"/>
                <w:lang w:val="en-US" w:eastAsia="zh-CN"/>
              </w:rPr>
              <w:t>④必</w:t>
            </w:r>
            <w:r>
              <w:rPr>
                <w:rFonts w:hint="eastAsia" w:ascii="宋体" w:hAnsi="宋体" w:eastAsia="宋体" w:cs="宋体"/>
              </w:rPr>
              <w:t>要的保险费用和各项税费</w:t>
            </w:r>
            <w:r>
              <w:rPr>
                <w:rFonts w:hint="eastAsia" w:ascii="宋体" w:hAnsi="宋体" w:eastAsia="宋体" w:cs="宋体"/>
                <w:lang w:val="en-US" w:eastAsia="zh-CN"/>
              </w:rPr>
              <w:t>。</w:t>
            </w:r>
          </w:p>
          <w:p w14:paraId="752B1784">
            <w:pPr>
              <w:bidi w:val="0"/>
              <w:rPr>
                <w:rFonts w:hint="eastAsia" w:ascii="宋体" w:hAnsi="宋体" w:eastAsia="宋体" w:cs="宋体"/>
                <w:lang w:val="en-US" w:eastAsia="zh-CN"/>
              </w:rPr>
            </w:pPr>
            <w:r>
              <w:rPr>
                <w:rFonts w:hint="eastAsia" w:ascii="宋体" w:hAnsi="宋体" w:eastAsia="宋体" w:cs="宋体"/>
                <w:lang w:val="en-US" w:eastAsia="zh-CN"/>
              </w:rPr>
              <w:t xml:space="preserve">2.报价已包含完成本项目所有工作任务、出具成果文件（校准相关证书、报告）所需的一切费用，采购人不再支付成交供应商除报价以外的任何费用。                      </w:t>
            </w:r>
          </w:p>
          <w:p w14:paraId="4BF87B1A">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lang w:val="en-US" w:eastAsia="zh-CN"/>
              </w:rPr>
              <w:t>3.付款方式：以实际检测、校准设备数量乘以响应单价的金额进行结算，按实际票据清单核对检定、校准证书无误并经采购人验收合格后一次性支付</w:t>
            </w:r>
            <w:r>
              <w:rPr>
                <w:rFonts w:hint="default" w:ascii="宋体" w:hAnsi="宋体" w:eastAsia="宋体" w:cs="宋体"/>
                <w:lang w:val="en-US" w:eastAsia="zh-CN"/>
              </w:rPr>
              <w:t>服务款</w:t>
            </w:r>
            <w:r>
              <w:rPr>
                <w:rFonts w:hint="eastAsia" w:ascii="宋体" w:hAnsi="宋体" w:eastAsia="宋体" w:cs="宋体"/>
                <w:lang w:val="en-US" w:eastAsia="zh-CN"/>
              </w:rPr>
              <w:t>。（付款前成交供应商须开具等额合规的增值税普通发票给采购人）</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29E9D55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南宁中心血站2026年度冷链设备检测、校准服务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45AE80-3DAC-4154-AB34-620BEB921B8A}"/>
  </w:font>
  <w:font w:name="Courier New">
    <w:panose1 w:val="02070309020205020404"/>
    <w:charset w:val="01"/>
    <w:family w:val="modern"/>
    <w:pitch w:val="default"/>
    <w:sig w:usb0="E0002EFF" w:usb1="C0007843" w:usb2="00000009" w:usb3="00000000" w:csb0="400001FF" w:csb1="FFFF0000"/>
    <w:embedRegular r:id="rId2" w:fontKey="{953E86AB-F9FD-4A73-BF28-020E9C27F1F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0E9172D-2DC1-4F25-A0A2-1FCF4946CA4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942011C-3595-4B92-BB0C-D6618D99BCC2}"/>
  </w:font>
  <w:font w:name="仿宋_GB2312">
    <w:panose1 w:val="02010609030101010101"/>
    <w:charset w:val="86"/>
    <w:family w:val="modern"/>
    <w:pitch w:val="default"/>
    <w:sig w:usb0="00000001" w:usb1="080E0000" w:usb2="00000000" w:usb3="00000000" w:csb0="00040000" w:csb1="00000000"/>
    <w:embedRegular r:id="rId5" w:fontKey="{BE62D290-B1EB-4230-8730-F16DF4D1755D}"/>
  </w:font>
  <w:font w:name="方正楷体_GB2312">
    <w:panose1 w:val="02000000000000000000"/>
    <w:charset w:val="86"/>
    <w:family w:val="auto"/>
    <w:pitch w:val="default"/>
    <w:sig w:usb0="A00002BF" w:usb1="184F6CFA" w:usb2="00000012" w:usb3="00000000" w:csb0="00040001" w:csb1="00000000"/>
    <w:embedRegular r:id="rId6" w:fontKey="{3966D9A2-D4EA-4FE8-8BDA-299FFC12E41A}"/>
  </w:font>
  <w:font w:name="仿宋">
    <w:panose1 w:val="02010609060101010101"/>
    <w:charset w:val="86"/>
    <w:family w:val="modern"/>
    <w:pitch w:val="default"/>
    <w:sig w:usb0="800002BF" w:usb1="38CF7CFA" w:usb2="00000016" w:usb3="00000000" w:csb0="00040001" w:csb1="00000000"/>
    <w:embedRegular r:id="rId7" w:fontKey="{5FC7B0FC-A9F4-4889-B914-50C8845A013D}"/>
  </w:font>
  <w:font w:name="Wingdings 2">
    <w:panose1 w:val="05020102010507070707"/>
    <w:charset w:val="02"/>
    <w:family w:val="roman"/>
    <w:pitch w:val="default"/>
    <w:sig w:usb0="00000000" w:usb1="00000000" w:usb2="00000000" w:usb3="00000000" w:csb0="80000000" w:csb1="00000000"/>
    <w:embedRegular r:id="rId8" w:fontKey="{6218F793-369A-4828-9AB5-738451BBB4FE}"/>
  </w:font>
  <w:font w:name="方正公文小标宋">
    <w:panose1 w:val="02000500000000000000"/>
    <w:charset w:val="86"/>
    <w:family w:val="auto"/>
    <w:pitch w:val="default"/>
    <w:sig w:usb0="A00002BF" w:usb1="38CF7CFA" w:usb2="00000016" w:usb3="00000000" w:csb0="00040001" w:csb1="00000000"/>
    <w:embedRegular r:id="rId9" w:fontKey="{F3180C75-DE0D-477A-BC06-6ED8C9FF51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EE755D"/>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8F24AF9"/>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D658A1"/>
    <w:rsid w:val="0FE57B2C"/>
    <w:rsid w:val="0FF451BB"/>
    <w:rsid w:val="0FF55387"/>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C332D1"/>
    <w:rsid w:val="19DC4392"/>
    <w:rsid w:val="1A0D346F"/>
    <w:rsid w:val="1A504656"/>
    <w:rsid w:val="1A6D6D72"/>
    <w:rsid w:val="1A73374A"/>
    <w:rsid w:val="1AC403B5"/>
    <w:rsid w:val="1B1F4E7E"/>
    <w:rsid w:val="1B2E7D52"/>
    <w:rsid w:val="1B2F36F2"/>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5F356A"/>
    <w:rsid w:val="238E7993"/>
    <w:rsid w:val="23AA0F48"/>
    <w:rsid w:val="23DF7159"/>
    <w:rsid w:val="24645B79"/>
    <w:rsid w:val="24880C9A"/>
    <w:rsid w:val="24C95406"/>
    <w:rsid w:val="24EE7D9B"/>
    <w:rsid w:val="24FA0878"/>
    <w:rsid w:val="24FF6C02"/>
    <w:rsid w:val="25030284"/>
    <w:rsid w:val="251915B4"/>
    <w:rsid w:val="256D244F"/>
    <w:rsid w:val="25857052"/>
    <w:rsid w:val="25B165B1"/>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932C71"/>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77246E"/>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F261CC5"/>
    <w:rsid w:val="2F4A332F"/>
    <w:rsid w:val="2F552023"/>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B659F5"/>
    <w:rsid w:val="37CD6645"/>
    <w:rsid w:val="380D6333"/>
    <w:rsid w:val="382A1CD8"/>
    <w:rsid w:val="38545D10"/>
    <w:rsid w:val="38575800"/>
    <w:rsid w:val="388C54AA"/>
    <w:rsid w:val="389E09C9"/>
    <w:rsid w:val="38B26D9C"/>
    <w:rsid w:val="38C869B0"/>
    <w:rsid w:val="38DD5D05"/>
    <w:rsid w:val="38E946AA"/>
    <w:rsid w:val="3905525C"/>
    <w:rsid w:val="390B7A49"/>
    <w:rsid w:val="39254A49"/>
    <w:rsid w:val="393F18F6"/>
    <w:rsid w:val="394E3863"/>
    <w:rsid w:val="395B6CC9"/>
    <w:rsid w:val="398B39B3"/>
    <w:rsid w:val="39D015BE"/>
    <w:rsid w:val="39D94B34"/>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1D5F7E"/>
    <w:rsid w:val="3F2A4DD9"/>
    <w:rsid w:val="3F2D1E50"/>
    <w:rsid w:val="3F440652"/>
    <w:rsid w:val="3F53684C"/>
    <w:rsid w:val="3F794BDA"/>
    <w:rsid w:val="3F7A4F0B"/>
    <w:rsid w:val="3F965F54"/>
    <w:rsid w:val="3FC0099F"/>
    <w:rsid w:val="3FC128CE"/>
    <w:rsid w:val="400D263F"/>
    <w:rsid w:val="401C2F2A"/>
    <w:rsid w:val="404B3E9C"/>
    <w:rsid w:val="405E2277"/>
    <w:rsid w:val="407F4960"/>
    <w:rsid w:val="41230FA5"/>
    <w:rsid w:val="41431D95"/>
    <w:rsid w:val="41455C40"/>
    <w:rsid w:val="415A01F3"/>
    <w:rsid w:val="41657370"/>
    <w:rsid w:val="41663E6F"/>
    <w:rsid w:val="416C5E78"/>
    <w:rsid w:val="417116E0"/>
    <w:rsid w:val="41717D14"/>
    <w:rsid w:val="41727207"/>
    <w:rsid w:val="41F15C61"/>
    <w:rsid w:val="42452E7D"/>
    <w:rsid w:val="42660F50"/>
    <w:rsid w:val="42B42802"/>
    <w:rsid w:val="42C615B8"/>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C48C9"/>
    <w:rsid w:val="452B1BA6"/>
    <w:rsid w:val="45380C3A"/>
    <w:rsid w:val="453831D6"/>
    <w:rsid w:val="454C2B49"/>
    <w:rsid w:val="45520F19"/>
    <w:rsid w:val="455677C8"/>
    <w:rsid w:val="455C75A3"/>
    <w:rsid w:val="456B4699"/>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A2E27D8"/>
    <w:rsid w:val="4A3E3F1C"/>
    <w:rsid w:val="4A45120E"/>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D12584"/>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4D149B"/>
    <w:rsid w:val="54714A29"/>
    <w:rsid w:val="5471519A"/>
    <w:rsid w:val="547C2BFD"/>
    <w:rsid w:val="549E6845"/>
    <w:rsid w:val="54CA63D7"/>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060006"/>
    <w:rsid w:val="6213192F"/>
    <w:rsid w:val="621C504A"/>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03767F"/>
    <w:rsid w:val="6B126460"/>
    <w:rsid w:val="6B2C59DC"/>
    <w:rsid w:val="6B311A3F"/>
    <w:rsid w:val="6B3B488D"/>
    <w:rsid w:val="6B4F21E3"/>
    <w:rsid w:val="6B636F41"/>
    <w:rsid w:val="6BC423DA"/>
    <w:rsid w:val="6BCE135A"/>
    <w:rsid w:val="6BE16838"/>
    <w:rsid w:val="6BEE3528"/>
    <w:rsid w:val="6C027255"/>
    <w:rsid w:val="6C1903D8"/>
    <w:rsid w:val="6C553829"/>
    <w:rsid w:val="6C9E721E"/>
    <w:rsid w:val="6CBC34EB"/>
    <w:rsid w:val="6CC0027B"/>
    <w:rsid w:val="6D6372E5"/>
    <w:rsid w:val="6D9A05C1"/>
    <w:rsid w:val="6DA55599"/>
    <w:rsid w:val="6DBC48D5"/>
    <w:rsid w:val="6DF31972"/>
    <w:rsid w:val="6E677844"/>
    <w:rsid w:val="6E8B3D8C"/>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1E227D9"/>
    <w:rsid w:val="726C367A"/>
    <w:rsid w:val="7280413D"/>
    <w:rsid w:val="732B5B1E"/>
    <w:rsid w:val="732C6966"/>
    <w:rsid w:val="733358DA"/>
    <w:rsid w:val="741507DA"/>
    <w:rsid w:val="742C1037"/>
    <w:rsid w:val="745C607B"/>
    <w:rsid w:val="74602789"/>
    <w:rsid w:val="746C5BB4"/>
    <w:rsid w:val="74974BA2"/>
    <w:rsid w:val="75267081"/>
    <w:rsid w:val="75B766A5"/>
    <w:rsid w:val="75C572BA"/>
    <w:rsid w:val="75CC2D87"/>
    <w:rsid w:val="75DF65E3"/>
    <w:rsid w:val="7623252F"/>
    <w:rsid w:val="76A34AD1"/>
    <w:rsid w:val="76EA516E"/>
    <w:rsid w:val="770248CF"/>
    <w:rsid w:val="772E0C62"/>
    <w:rsid w:val="77D04B43"/>
    <w:rsid w:val="77F64F8C"/>
    <w:rsid w:val="78222C3F"/>
    <w:rsid w:val="784309DA"/>
    <w:rsid w:val="785C2B0F"/>
    <w:rsid w:val="786E4A47"/>
    <w:rsid w:val="7877401B"/>
    <w:rsid w:val="789705D6"/>
    <w:rsid w:val="78BD69DE"/>
    <w:rsid w:val="78CC1807"/>
    <w:rsid w:val="7906426E"/>
    <w:rsid w:val="792579EC"/>
    <w:rsid w:val="793B3B86"/>
    <w:rsid w:val="799139C7"/>
    <w:rsid w:val="7A005805"/>
    <w:rsid w:val="7A19098A"/>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7475</Words>
  <Characters>7777</Characters>
  <Lines>39</Lines>
  <Paragraphs>11</Paragraphs>
  <TotalTime>5</TotalTime>
  <ScaleCrop>false</ScaleCrop>
  <LinksUpToDate>false</LinksUpToDate>
  <CharactersWithSpaces>8450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2026-07-09T06:47:51Z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