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南宁中心血站采购文件(服务类)</w:t>
      </w:r>
    </w:p>
    <w:p w14:paraId="3C487CCD">
      <w:pPr>
        <w:snapToGrid w:val="0"/>
        <w:spacing w:before="156" w:beforeLines="50" w:line="360" w:lineRule="auto"/>
        <w:jc w:val="center"/>
        <w:rPr>
          <w:rFonts w:ascii="宋体" w:hAnsi="宋体"/>
          <w:color w:val="auto"/>
          <w:sz w:val="36"/>
          <w:szCs w:val="36"/>
        </w:rPr>
      </w:pPr>
    </w:p>
    <w:p w14:paraId="3B1F102F">
      <w:pPr>
        <w:snapToGrid w:val="0"/>
        <w:spacing w:before="50" w:after="120" w:line="360" w:lineRule="auto"/>
        <w:jc w:val="center"/>
        <w:rPr>
          <w:rFonts w:hint="eastAsia" w:ascii="仿宋_GB2312" w:hAnsi="宋体" w:eastAsia="仿宋_GB2312"/>
          <w:b/>
          <w:bCs/>
          <w:color w:val="auto"/>
          <w:kern w:val="0"/>
          <w:sz w:val="44"/>
          <w:szCs w:val="44"/>
          <w:lang w:val="en-US" w:eastAsia="zh-CN"/>
        </w:rPr>
      </w:pPr>
      <w:r>
        <w:rPr>
          <w:rFonts w:hint="eastAsia" w:ascii="仿宋_GB2312" w:hAnsi="宋体" w:eastAsia="仿宋_GB2312"/>
          <w:b/>
          <w:bCs/>
          <w:color w:val="auto"/>
          <w:kern w:val="0"/>
          <w:sz w:val="44"/>
          <w:szCs w:val="44"/>
          <w:lang w:val="en-US" w:eastAsia="zh-CN"/>
        </w:rPr>
        <w:t>综合评选文件</w:t>
      </w:r>
    </w:p>
    <w:p w14:paraId="155C0B76">
      <w:pPr>
        <w:spacing w:line="360" w:lineRule="auto"/>
        <w:rPr>
          <w:rFonts w:ascii="宋体" w:hAnsi="宋体"/>
          <w:b/>
          <w:color w:val="auto"/>
          <w:sz w:val="32"/>
          <w:szCs w:val="32"/>
        </w:rPr>
      </w:pPr>
    </w:p>
    <w:p w14:paraId="1CF0B03D">
      <w:pPr>
        <w:spacing w:line="360" w:lineRule="auto"/>
        <w:jc w:val="center"/>
        <w:rPr>
          <w:rFonts w:ascii="宋体" w:hAnsi="宋体"/>
          <w:b/>
          <w:color w:val="auto"/>
          <w:sz w:val="32"/>
          <w:szCs w:val="32"/>
        </w:rPr>
      </w:pPr>
    </w:p>
    <w:p w14:paraId="604FF5B9">
      <w:pPr>
        <w:spacing w:line="360" w:lineRule="auto"/>
        <w:jc w:val="center"/>
        <w:rPr>
          <w:rFonts w:ascii="宋体" w:hAnsi="宋体"/>
          <w:b w:val="0"/>
          <w:bCs/>
          <w:color w:val="auto"/>
          <w:sz w:val="32"/>
          <w:szCs w:val="32"/>
        </w:rPr>
      </w:pPr>
    </w:p>
    <w:p w14:paraId="762F763C">
      <w:pPr>
        <w:spacing w:line="360" w:lineRule="auto"/>
        <w:jc w:val="center"/>
        <w:rPr>
          <w:rFonts w:ascii="宋体" w:hAnsi="宋体"/>
          <w:b/>
          <w:color w:val="auto"/>
          <w:sz w:val="32"/>
          <w:szCs w:val="32"/>
        </w:rPr>
      </w:pPr>
    </w:p>
    <w:p w14:paraId="69F9241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项目名称：南宁中心血站2026年献血退役纪念杯（牌）及生日献血纪念徽章定制采购</w:t>
      </w:r>
    </w:p>
    <w:p w14:paraId="24DFDF0E">
      <w:pPr>
        <w:spacing w:line="600" w:lineRule="exact"/>
        <w:ind w:firstLine="643" w:firstLineChars="200"/>
        <w:jc w:val="left"/>
        <w:rPr>
          <w:rFonts w:hint="default" w:ascii="仿宋_GB2312" w:hAnsi="Courier New" w:eastAsia="仿宋_GB2312" w:cs="Courier New"/>
          <w:b/>
          <w:bCs/>
          <w:color w:val="auto"/>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w:t>
      </w:r>
      <w:r>
        <w:rPr>
          <w:rFonts w:hint="eastAsia" w:ascii="仿宋_GB2312" w:hAnsi="Courier New" w:eastAsia="仿宋_GB2312" w:cs="Courier New"/>
          <w:b/>
          <w:bCs/>
          <w:color w:val="auto"/>
          <w:kern w:val="0"/>
          <w:sz w:val="32"/>
          <w:szCs w:val="32"/>
          <w:lang w:val="zh-TW" w:eastAsia="zh-TW"/>
        </w:rPr>
        <w:t>NNBCCG202</w:t>
      </w:r>
      <w:r>
        <w:rPr>
          <w:rFonts w:hint="eastAsia" w:ascii="仿宋_GB2312" w:hAnsi="Courier New" w:eastAsia="仿宋_GB2312" w:cs="Courier New"/>
          <w:b/>
          <w:bCs/>
          <w:color w:val="auto"/>
          <w:kern w:val="0"/>
          <w:sz w:val="32"/>
          <w:szCs w:val="32"/>
          <w:lang w:val="en-US" w:eastAsia="zh-CN"/>
        </w:rPr>
        <w:t>6028</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D8FED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56EE02">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605CBCF7">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4602E3E5">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2DDBB6B6">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14AC3D8C">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w:t>
      </w:r>
      <w:r>
        <w:rPr>
          <w:rFonts w:hint="eastAsia" w:ascii="仿宋_GB2312" w:hAnsi="Courier New" w:eastAsia="仿宋_GB2312" w:cs="Courier New"/>
          <w:b/>
          <w:bCs/>
          <w:color w:val="000000"/>
          <w:kern w:val="0"/>
          <w:sz w:val="32"/>
          <w:szCs w:val="32"/>
          <w:lang w:val="en-US" w:eastAsia="zh-CN"/>
        </w:rPr>
        <w:t>6</w:t>
      </w:r>
      <w:r>
        <w:rPr>
          <w:rFonts w:hint="eastAsia" w:ascii="仿宋_GB2312" w:hAnsi="Courier New" w:eastAsia="仿宋_GB2312" w:cs="Courier New"/>
          <w:b/>
          <w:bCs/>
          <w:color w:val="000000"/>
          <w:kern w:val="0"/>
          <w:sz w:val="32"/>
          <w:szCs w:val="32"/>
          <w:lang w:val="zh-TW" w:eastAsia="zh-TW"/>
        </w:rPr>
        <w:t>年</w:t>
      </w:r>
      <w:r>
        <w:rPr>
          <w:rFonts w:hint="eastAsia" w:ascii="仿宋_GB2312" w:hAnsi="Courier New" w:eastAsia="仿宋_GB2312" w:cs="Courier New"/>
          <w:b/>
          <w:bCs/>
          <w:color w:val="000000"/>
          <w:kern w:val="0"/>
          <w:sz w:val="32"/>
          <w:szCs w:val="32"/>
          <w:lang w:val="en-US" w:eastAsia="zh-CN"/>
        </w:rPr>
        <w:t>8</w:t>
      </w:r>
      <w:r>
        <w:rPr>
          <w:rFonts w:hint="eastAsia" w:ascii="仿宋_GB2312" w:hAnsi="Courier New" w:eastAsia="仿宋_GB2312" w:cs="Courier New"/>
          <w:b/>
          <w:bCs/>
          <w:color w:val="000000"/>
          <w:kern w:val="0"/>
          <w:sz w:val="32"/>
          <w:szCs w:val="32"/>
          <w:lang w:val="zh-TW" w:eastAsia="zh-TW"/>
        </w:rPr>
        <w:t>月</w:t>
      </w:r>
    </w:p>
    <w:p w14:paraId="7D4FD06D">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7BA65B54">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p>
    <w:p w14:paraId="7A2BAED1">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南宁中心血站2026年献血退役纪念杯（牌）及生日献血纪念徽章定制采购公告</w:t>
      </w:r>
    </w:p>
    <w:p w14:paraId="0052D9C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p>
    <w:p w14:paraId="5CD78F1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南宁中心血站按照采购计划，对南宁中心血站2026年献血退役纪念杯（牌）及生日献血纪念徽章定制进行采购，现就该项目邀请具有资质的单位进行响应，采购信息如下：</w:t>
      </w:r>
    </w:p>
    <w:p w14:paraId="4B693EA0">
      <w:pPr>
        <w:keepNext w:val="0"/>
        <w:keepLines w:val="0"/>
        <w:pageBreakBefore w:val="0"/>
        <w:widowControl w:val="0"/>
        <w:numPr>
          <w:ilvl w:val="0"/>
          <w:numId w:val="2"/>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项目基本情况:</w:t>
      </w:r>
    </w:p>
    <w:p w14:paraId="110D067E">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auto"/>
          <w:kern w:val="0"/>
          <w:sz w:val="32"/>
          <w:szCs w:val="32"/>
          <w:lang w:val="en-US" w:eastAsia="zh-CN"/>
        </w:rPr>
      </w:pPr>
      <w:r>
        <w:rPr>
          <w:rFonts w:hint="eastAsia" w:ascii="仿宋_GB2312" w:hAnsi="Courier New" w:eastAsia="仿宋_GB2312" w:cs="Courier New"/>
          <w:color w:val="000000"/>
          <w:kern w:val="0"/>
          <w:sz w:val="32"/>
          <w:szCs w:val="32"/>
          <w:lang w:val="zh-TW" w:eastAsia="zh-TW"/>
        </w:rPr>
        <w:t>项目编号：</w:t>
      </w:r>
      <w:r>
        <w:rPr>
          <w:rFonts w:hint="eastAsia" w:ascii="仿宋_GB2312" w:hAnsi="Courier New" w:eastAsia="仿宋_GB2312" w:cs="Courier New"/>
          <w:color w:val="auto"/>
          <w:kern w:val="0"/>
          <w:sz w:val="32"/>
          <w:szCs w:val="32"/>
          <w:lang w:val="zh-TW" w:eastAsia="zh-TW"/>
        </w:rPr>
        <w:t>NNBCCG202</w:t>
      </w:r>
      <w:r>
        <w:rPr>
          <w:rFonts w:hint="eastAsia" w:ascii="仿宋_GB2312" w:hAnsi="Courier New" w:eastAsia="仿宋_GB2312" w:cs="Courier New"/>
          <w:color w:val="auto"/>
          <w:kern w:val="0"/>
          <w:sz w:val="32"/>
          <w:szCs w:val="32"/>
          <w:lang w:val="en-US" w:eastAsia="zh-CN"/>
        </w:rPr>
        <w:t>6028</w:t>
      </w:r>
    </w:p>
    <w:p w14:paraId="24C50F4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项目名称：南宁中心血站2026年献血退役纪念杯（牌）及生日献血纪念徽章定制采购</w:t>
      </w:r>
    </w:p>
    <w:p w14:paraId="09FBF9F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项目预算：</w:t>
      </w:r>
      <w:r>
        <w:rPr>
          <w:rFonts w:hint="eastAsia" w:ascii="仿宋_GB2312" w:hAnsi="Courier New" w:eastAsia="仿宋_GB2312" w:cs="Courier New"/>
          <w:color w:val="000000"/>
          <w:kern w:val="0"/>
          <w:sz w:val="32"/>
          <w:szCs w:val="32"/>
          <w:lang w:val="en-US" w:eastAsia="zh-CN"/>
        </w:rPr>
        <w:t>贰万伍仟元整（￥25000.00）</w:t>
      </w:r>
    </w:p>
    <w:p w14:paraId="3A48E9F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最高限价：</w:t>
      </w:r>
      <w:r>
        <w:rPr>
          <w:rFonts w:hint="eastAsia" w:ascii="仿宋_GB2312" w:hAnsi="Courier New" w:eastAsia="仿宋_GB2312" w:cs="Courier New"/>
          <w:color w:val="000000"/>
          <w:kern w:val="0"/>
          <w:sz w:val="32"/>
          <w:szCs w:val="32"/>
          <w:lang w:val="en-US" w:eastAsia="zh-CN"/>
        </w:rPr>
        <w:t>贰万伍仟元整（￥25000.00）</w:t>
      </w:r>
    </w:p>
    <w:p w14:paraId="7C7888A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项目内容：详见附件1</w:t>
      </w:r>
    </w:p>
    <w:p w14:paraId="0D83C65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二、响应人资格要求：</w:t>
      </w:r>
    </w:p>
    <w:p w14:paraId="6719E88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（一）具有</w:t>
      </w:r>
      <w:r>
        <w:rPr>
          <w:rFonts w:hint="eastAsia" w:ascii="仿宋_GB2312" w:hAnsi="Courier New" w:eastAsia="仿宋_GB2312" w:cs="Courier New"/>
          <w:color w:val="000000"/>
          <w:kern w:val="0"/>
          <w:sz w:val="32"/>
          <w:szCs w:val="32"/>
          <w:lang w:val="en-US" w:eastAsia="zh-CN"/>
        </w:rPr>
        <w:t>独立承担民事责任能力的法人、其他组织或自然人</w:t>
      </w:r>
      <w:r>
        <w:rPr>
          <w:rFonts w:hint="eastAsia" w:ascii="仿宋_GB2312" w:hAnsi="Courier New" w:eastAsia="仿宋_GB2312" w:cs="Courier New"/>
          <w:color w:val="000000"/>
          <w:kern w:val="0"/>
          <w:sz w:val="32"/>
          <w:szCs w:val="32"/>
          <w:lang w:val="zh-TW" w:eastAsia="zh-CN"/>
        </w:rPr>
        <w:t>；</w:t>
      </w:r>
    </w:p>
    <w:p w14:paraId="65FC199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（二）经营状况及信誉良好，未被列入失信被执行人、重大税收违法案件当事人名单、政府采购严重违法失信行为记录名单；</w:t>
      </w:r>
    </w:p>
    <w:p w14:paraId="2DAC100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（三）本项目不接受联合体报价，不允许分包、转包</w:t>
      </w:r>
      <w:r>
        <w:rPr>
          <w:rFonts w:hint="eastAsia" w:ascii="仿宋_GB2312" w:hAnsi="Courier New" w:eastAsia="仿宋_GB2312" w:cs="Courier New"/>
          <w:color w:val="000000"/>
          <w:kern w:val="0"/>
          <w:sz w:val="32"/>
          <w:szCs w:val="32"/>
          <w:lang w:val="zh-TW" w:eastAsia="zh-CN"/>
        </w:rPr>
        <w:t>；</w:t>
      </w:r>
    </w:p>
    <w:p w14:paraId="538E7F4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40EE942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（五）未违反本单位投标廉政承诺的供应商。</w:t>
      </w:r>
    </w:p>
    <w:p w14:paraId="3621F1B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三、评选方式：</w:t>
      </w:r>
      <w:r>
        <w:rPr>
          <w:rFonts w:hint="eastAsia" w:ascii="黑体" w:hAnsi="黑体" w:eastAsia="黑体" w:cs="黑体"/>
          <w:color w:val="000000"/>
          <w:kern w:val="0"/>
          <w:sz w:val="32"/>
          <w:szCs w:val="32"/>
          <w:lang w:val="en-US" w:eastAsia="zh-CN"/>
        </w:rPr>
        <w:t>综合评分法。</w:t>
      </w:r>
    </w:p>
    <w:p w14:paraId="4352251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评选标准：</w:t>
      </w:r>
      <w:r>
        <w:rPr>
          <w:rFonts w:hint="eastAsia" w:ascii="仿宋_GB2312" w:hAnsi="Courier New" w:eastAsia="仿宋_GB2312" w:cs="Courier New"/>
          <w:color w:val="000000"/>
          <w:kern w:val="0"/>
          <w:sz w:val="32"/>
          <w:szCs w:val="32"/>
          <w:lang w:val="en-US" w:eastAsia="zh-CN"/>
        </w:rPr>
        <w:t>评选</w:t>
      </w:r>
      <w:r>
        <w:rPr>
          <w:rFonts w:hint="eastAsia" w:ascii="仿宋_GB2312" w:hAnsi="Courier New" w:eastAsia="仿宋_GB2312" w:cs="Courier New"/>
          <w:color w:val="000000"/>
          <w:kern w:val="0"/>
          <w:sz w:val="32"/>
          <w:szCs w:val="32"/>
          <w:lang w:val="zh-TW" w:eastAsia="zh-TW"/>
        </w:rPr>
        <w:t>小组</w:t>
      </w:r>
      <w:r>
        <w:rPr>
          <w:rFonts w:hint="eastAsia" w:ascii="仿宋_GB2312" w:hAnsi="Courier New" w:eastAsia="仿宋_GB2312" w:cs="Courier New"/>
          <w:color w:val="000000"/>
          <w:kern w:val="0"/>
          <w:sz w:val="32"/>
          <w:szCs w:val="32"/>
          <w:lang w:val="en-US" w:eastAsia="zh-CN"/>
        </w:rPr>
        <w:t>以响应文件为依据，</w:t>
      </w:r>
      <w:r>
        <w:rPr>
          <w:rFonts w:hint="eastAsia" w:ascii="仿宋_GB2312" w:hAnsi="Courier New" w:eastAsia="仿宋_GB2312" w:cs="Courier New"/>
          <w:color w:val="000000"/>
          <w:kern w:val="0"/>
          <w:sz w:val="32"/>
          <w:szCs w:val="32"/>
          <w:lang w:val="zh-TW" w:eastAsia="zh-TW"/>
        </w:rPr>
        <w:t>根据</w:t>
      </w:r>
      <w:r>
        <w:rPr>
          <w:rFonts w:hint="eastAsia" w:ascii="仿宋_GB2312" w:hAnsi="Courier New" w:eastAsia="仿宋_GB2312" w:cs="Courier New"/>
          <w:color w:val="000000"/>
          <w:kern w:val="0"/>
          <w:sz w:val="32"/>
          <w:szCs w:val="32"/>
          <w:lang w:val="en-US" w:eastAsia="zh-CN"/>
        </w:rPr>
        <w:t>响应文件的报价、技术、商务等内容进行百分制打分，按照评审得分最高者确定成交供应商（详见附件2）。</w:t>
      </w:r>
    </w:p>
    <w:p w14:paraId="427535E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黑体" w:hAnsi="黑体" w:eastAsia="黑体" w:cs="黑体"/>
          <w:color w:val="000000"/>
          <w:kern w:val="0"/>
          <w:sz w:val="32"/>
          <w:szCs w:val="32"/>
          <w:lang w:val="zh-TW" w:eastAsia="zh-TW"/>
        </w:rPr>
        <w:t>四、响应文件组成（每项材料须加盖公章）：</w:t>
      </w:r>
    </w:p>
    <w:p w14:paraId="32493E7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（一）</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为法人或者其他组织的，提供其营业执照</w:t>
      </w:r>
      <w:r>
        <w:rPr>
          <w:rFonts w:hint="eastAsia" w:ascii="仿宋_GB2312" w:hAnsi="Courier New" w:eastAsia="仿宋_GB2312" w:cs="Courier New"/>
          <w:color w:val="000000"/>
          <w:kern w:val="0"/>
          <w:sz w:val="32"/>
          <w:szCs w:val="32"/>
          <w:lang w:val="en-US" w:eastAsia="zh-CN"/>
        </w:rPr>
        <w:t>正本或副本复印件</w:t>
      </w:r>
      <w:r>
        <w:rPr>
          <w:rFonts w:hint="eastAsia" w:ascii="仿宋_GB2312" w:hAnsi="Courier New" w:eastAsia="仿宋_GB2312" w:cs="Courier New"/>
          <w:color w:val="000000"/>
          <w:kern w:val="0"/>
          <w:sz w:val="32"/>
          <w:szCs w:val="32"/>
          <w:lang w:val="zh-TW" w:eastAsia="zh-CN"/>
        </w:rPr>
        <w:t>（如营业执照或者事业单位法人证书或者执业许可证等）；</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为自然人的，提供其身份证复印件</w:t>
      </w:r>
      <w:r>
        <w:rPr>
          <w:rFonts w:hint="eastAsia" w:ascii="仿宋_GB2312" w:hAnsi="Courier New" w:eastAsia="仿宋_GB2312" w:cs="Courier New"/>
          <w:color w:val="000000"/>
          <w:kern w:val="0"/>
          <w:sz w:val="32"/>
          <w:szCs w:val="32"/>
          <w:lang w:val="zh-TW" w:eastAsia="zh-TW"/>
        </w:rPr>
        <w:t>；</w:t>
      </w:r>
    </w:p>
    <w:p w14:paraId="78A19AD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TW"/>
        </w:rPr>
        <w:t>在“信用中国”网站、中国政府采购网的相关违法、失信行为的记录；</w:t>
      </w:r>
    </w:p>
    <w:p w14:paraId="46652DD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（三）法定代表人身份证明书及法定代表人有效身份证正反面复印件（除自然人竞标外必须提供，否则响应文件按无效响应处理）；</w:t>
      </w:r>
    </w:p>
    <w:p w14:paraId="464D5DF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（四）法定代表人授权委托书及委托代理人有效身份证正反面复印件</w:t>
      </w:r>
      <w:r>
        <w:rPr>
          <w:rFonts w:hint="eastAsia" w:ascii="仿宋_GB2312" w:hAnsi="Courier New" w:eastAsia="仿宋_GB2312" w:cs="Courier New"/>
          <w:color w:val="000000"/>
          <w:kern w:val="0"/>
          <w:sz w:val="32"/>
          <w:szCs w:val="32"/>
          <w:lang w:val="zh-TW" w:eastAsia="zh-CN"/>
        </w:rPr>
        <w:t>（委托时必须提供，法定代表人授权委托书必须由法定代表人及委托代理人签字，并加盖供应商公章，否则响应文件按无效响应处理，格式详见附件</w:t>
      </w:r>
      <w:r>
        <w:rPr>
          <w:rFonts w:hint="eastAsia" w:ascii="仿宋_GB2312" w:hAnsi="Courier New" w:eastAsia="仿宋_GB2312" w:cs="Courier New"/>
          <w:color w:val="000000"/>
          <w:kern w:val="0"/>
          <w:sz w:val="32"/>
          <w:szCs w:val="32"/>
          <w:lang w:val="en-US" w:eastAsia="zh-CN"/>
        </w:rPr>
        <w:t>3</w:t>
      </w:r>
      <w:r>
        <w:rPr>
          <w:rFonts w:hint="eastAsia" w:ascii="仿宋_GB2312" w:hAnsi="Courier New" w:eastAsia="仿宋_GB2312" w:cs="Courier New"/>
          <w:color w:val="000000"/>
          <w:kern w:val="0"/>
          <w:sz w:val="32"/>
          <w:szCs w:val="32"/>
          <w:lang w:val="zh-TW" w:eastAsia="zh-CN"/>
        </w:rPr>
        <w:t>）；</w:t>
      </w:r>
    </w:p>
    <w:p w14:paraId="4D87624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（五）供应商直接控股、管理关系信息表（格式详见附件</w:t>
      </w:r>
      <w:r>
        <w:rPr>
          <w:rFonts w:hint="eastAsia" w:ascii="仿宋_GB2312" w:hAnsi="Courier New" w:eastAsia="仿宋_GB2312" w:cs="Courier New"/>
          <w:color w:val="000000"/>
          <w:kern w:val="0"/>
          <w:sz w:val="32"/>
          <w:szCs w:val="32"/>
          <w:lang w:val="en-US" w:eastAsia="zh-CN"/>
        </w:rPr>
        <w:t>4</w:t>
      </w:r>
      <w:r>
        <w:rPr>
          <w:rFonts w:hint="eastAsia" w:ascii="仿宋_GB2312" w:hAnsi="Courier New" w:eastAsia="仿宋_GB2312" w:cs="Courier New"/>
          <w:color w:val="000000"/>
          <w:kern w:val="0"/>
          <w:sz w:val="32"/>
          <w:szCs w:val="32"/>
          <w:lang w:val="zh-TW" w:eastAsia="zh-TW"/>
        </w:rPr>
        <w:t>）；</w:t>
      </w:r>
    </w:p>
    <w:p w14:paraId="1BA22BB0">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（六）</w:t>
      </w:r>
      <w:r>
        <w:rPr>
          <w:rFonts w:hint="eastAsia" w:ascii="仿宋_GB2312" w:hAnsi="Courier New" w:eastAsia="仿宋_GB2312" w:cs="Courier New"/>
          <w:color w:val="000000"/>
          <w:kern w:val="0"/>
          <w:sz w:val="32"/>
          <w:szCs w:val="32"/>
          <w:lang w:val="zh-TW" w:eastAsia="zh-TW" w:bidi="ar-SA"/>
        </w:rPr>
        <w:t>报价表（格式详见附件</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TW" w:bidi="ar-SA"/>
        </w:rPr>
        <w:t>），报价表中的报价包含提供该项服务所产生的所用费用（包含人工、交通、税费等）且不能超过本项目最高限价，超出最高限价的报价为无效报价，该供应商响应作无效响应处理</w:t>
      </w:r>
      <w:r>
        <w:rPr>
          <w:rFonts w:hint="eastAsia" w:ascii="仿宋_GB2312" w:hAnsi="Courier New" w:eastAsia="仿宋_GB2312" w:cs="Courier New"/>
          <w:color w:val="000000"/>
          <w:kern w:val="0"/>
          <w:sz w:val="36"/>
          <w:szCs w:val="36"/>
          <w:lang w:val="zh-TW" w:eastAsia="zh-TW" w:bidi="ar-SA"/>
        </w:rPr>
        <w:t>；</w:t>
      </w:r>
    </w:p>
    <w:p w14:paraId="565EF03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七</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响应技术资料表（格式详见附件</w:t>
      </w:r>
      <w:r>
        <w:rPr>
          <w:rFonts w:hint="eastAsia" w:ascii="仿宋_GB2312" w:hAnsi="Courier New" w:eastAsia="仿宋_GB2312" w:cs="Courier New"/>
          <w:color w:val="000000"/>
          <w:kern w:val="0"/>
          <w:sz w:val="32"/>
          <w:szCs w:val="32"/>
          <w:lang w:val="en-US" w:eastAsia="zh-CN"/>
        </w:rPr>
        <w:t>6</w:t>
      </w:r>
      <w:r>
        <w:rPr>
          <w:rFonts w:hint="eastAsia" w:ascii="仿宋_GB2312" w:hAnsi="Courier New" w:eastAsia="仿宋_GB2312" w:cs="Courier New"/>
          <w:color w:val="000000"/>
          <w:kern w:val="0"/>
          <w:sz w:val="32"/>
          <w:szCs w:val="32"/>
          <w:lang w:val="zh-TW" w:eastAsia="zh-TW"/>
        </w:rPr>
        <w:t>）；</w:t>
      </w:r>
    </w:p>
    <w:p w14:paraId="492F65E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八</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商务条款响应及偏离情况说明表（格式详见附件</w:t>
      </w:r>
      <w:r>
        <w:rPr>
          <w:rFonts w:hint="eastAsia" w:ascii="仿宋_GB2312" w:hAnsi="Courier New" w:eastAsia="仿宋_GB2312" w:cs="Courier New"/>
          <w:color w:val="000000"/>
          <w:kern w:val="0"/>
          <w:sz w:val="32"/>
          <w:szCs w:val="32"/>
          <w:lang w:val="en-US" w:eastAsia="zh-CN"/>
        </w:rPr>
        <w:t>7</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6570DDE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九</w:t>
      </w:r>
      <w:r>
        <w:rPr>
          <w:rFonts w:hint="eastAsia" w:ascii="仿宋_GB2312" w:hAnsi="Courier New" w:eastAsia="仿宋_GB2312" w:cs="Courier New"/>
          <w:color w:val="000000"/>
          <w:kern w:val="0"/>
          <w:sz w:val="32"/>
          <w:szCs w:val="32"/>
          <w:lang w:val="zh-TW" w:eastAsia="zh-TW"/>
        </w:rPr>
        <w:t>）廉洁响应承诺书（详见附件</w:t>
      </w:r>
      <w:r>
        <w:rPr>
          <w:rFonts w:hint="eastAsia" w:ascii="仿宋_GB2312" w:hAnsi="Courier New" w:eastAsia="仿宋_GB2312" w:cs="Courier New"/>
          <w:color w:val="000000"/>
          <w:kern w:val="0"/>
          <w:sz w:val="32"/>
          <w:szCs w:val="32"/>
          <w:lang w:val="en-US" w:eastAsia="zh-CN"/>
        </w:rPr>
        <w:t>8</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39789F03">
      <w:pPr>
        <w:bidi w:val="0"/>
        <w:ind w:firstLine="640" w:firstLineChars="200"/>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十</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采购需求一览表中要求提供的相关材料；</w:t>
      </w:r>
    </w:p>
    <w:p w14:paraId="2922FA61">
      <w:pPr>
        <w:bidi w:val="0"/>
        <w:ind w:firstLine="640" w:firstLineChars="200"/>
        <w:rPr>
          <w:rFonts w:hint="eastAsia" w:ascii="方正楷体_GB2312" w:hAnsi="方正楷体_GB2312" w:eastAsia="方正楷体_GB2312" w:cs="方正楷体_GB2312"/>
          <w:sz w:val="32"/>
          <w:szCs w:val="32"/>
          <w:lang w:val="en-US"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十一</w:t>
      </w:r>
      <w:r>
        <w:rPr>
          <w:rFonts w:hint="eastAsia" w:ascii="仿宋_GB2312" w:hAnsi="Courier New" w:eastAsia="仿宋_GB2312" w:cs="Courier New"/>
          <w:color w:val="000000"/>
          <w:kern w:val="0"/>
          <w:sz w:val="32"/>
          <w:szCs w:val="32"/>
          <w:lang w:val="zh-TW" w:eastAsia="zh-CN"/>
        </w:rPr>
        <w:t>）</w:t>
      </w:r>
      <w:r>
        <w:rPr>
          <w:rFonts w:hint="eastAsia" w:ascii="仿宋_GB2312" w:hAnsi="仿宋_GB2312" w:eastAsia="仿宋_GB2312" w:cs="仿宋_GB2312"/>
          <w:sz w:val="32"/>
          <w:szCs w:val="32"/>
          <w:lang w:val="en-US" w:eastAsia="zh-CN"/>
        </w:rPr>
        <w:t>根据“附件2 评选方法及标准”提供设计方案、售后服务方案、业绩及企业信誉实力等证明材料。</w:t>
      </w:r>
    </w:p>
    <w:p w14:paraId="56A64836">
      <w:pPr>
        <w:bidi w:val="0"/>
        <w:ind w:firstLine="643" w:firstLineChars="200"/>
        <w:rPr>
          <w:rFonts w:hint="eastAsia" w:ascii="仿宋_GB2312" w:hAnsi="仿宋_GB2312" w:eastAsia="仿宋_GB2312" w:cs="仿宋_GB2312"/>
          <w:b/>
          <w:bCs/>
          <w:sz w:val="32"/>
          <w:szCs w:val="32"/>
          <w:lang w:val="zh-TW" w:eastAsia="zh-CN"/>
        </w:rPr>
      </w:pPr>
      <w:r>
        <w:rPr>
          <w:rFonts w:hint="eastAsia" w:ascii="仿宋_GB2312" w:hAnsi="仿宋_GB2312" w:eastAsia="仿宋_GB2312" w:cs="仿宋_GB2312"/>
          <w:b/>
          <w:bCs/>
          <w:sz w:val="32"/>
          <w:szCs w:val="32"/>
          <w:lang w:val="zh-TW" w:eastAsia="zh-TW"/>
        </w:rPr>
        <w:t>五、资格文件组成</w:t>
      </w:r>
      <w:r>
        <w:rPr>
          <w:rFonts w:hint="eastAsia" w:ascii="仿宋_GB2312" w:hAnsi="仿宋_GB2312" w:eastAsia="仿宋_GB2312" w:cs="仿宋_GB2312"/>
          <w:b/>
          <w:bCs/>
          <w:sz w:val="32"/>
          <w:szCs w:val="32"/>
          <w:lang w:val="zh-TW" w:eastAsia="zh-CN"/>
        </w:rPr>
        <w:t>：</w:t>
      </w:r>
    </w:p>
    <w:p w14:paraId="7005C47B">
      <w:pPr>
        <w:bidi w:val="0"/>
        <w:ind w:firstLine="640" w:firstLineChars="200"/>
        <w:rPr>
          <w:rFonts w:hint="eastAsia" w:ascii="仿宋_GB2312" w:hAnsi="仿宋_GB2312" w:eastAsia="仿宋_GB2312" w:cs="仿宋_GB2312"/>
          <w:sz w:val="32"/>
          <w:szCs w:val="32"/>
          <w:lang w:val="zh-TW" w:eastAsia="zh-TW"/>
        </w:rPr>
      </w:pPr>
      <w:r>
        <w:rPr>
          <w:rFonts w:hint="eastAsia" w:ascii="仿宋_GB2312" w:hAnsi="仿宋_GB2312" w:eastAsia="仿宋_GB2312" w:cs="仿宋_GB2312"/>
          <w:sz w:val="32"/>
          <w:szCs w:val="32"/>
          <w:lang w:val="zh-TW" w:eastAsia="zh-TW"/>
        </w:rPr>
        <w:t>资格文件（一份），根据响应人资格要求，提供证明材料（即响应文件组成中的（一）、（二）、（三）</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zh-TW" w:eastAsia="zh-TW"/>
        </w:rPr>
        <w:t>（</w:t>
      </w: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lang w:val="zh-TW" w:eastAsia="zh-TW"/>
        </w:rPr>
        <w:t>）</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en-US" w:eastAsia="zh-CN"/>
        </w:rPr>
        <w:t>五</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zh-TW" w:eastAsia="zh-TW"/>
        </w:rPr>
        <w:t>），随响应文件一同送达，以备采购人审查响应人是否符合响应资格要求。</w:t>
      </w:r>
    </w:p>
    <w:p w14:paraId="3AD8E9AE">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CN"/>
        </w:rPr>
      </w:pPr>
      <w:r>
        <w:rPr>
          <w:rFonts w:hint="eastAsia" w:ascii="黑体" w:hAnsi="黑体" w:eastAsia="黑体" w:cs="黑体"/>
          <w:color w:val="000000"/>
          <w:kern w:val="0"/>
          <w:sz w:val="32"/>
          <w:szCs w:val="32"/>
          <w:lang w:val="en-US" w:eastAsia="zh-CN"/>
        </w:rPr>
        <w:t>六、</w:t>
      </w:r>
      <w:r>
        <w:rPr>
          <w:rFonts w:hint="eastAsia" w:ascii="黑体" w:hAnsi="黑体" w:eastAsia="黑体" w:cs="黑体"/>
          <w:color w:val="000000"/>
          <w:kern w:val="0"/>
          <w:sz w:val="32"/>
          <w:szCs w:val="32"/>
          <w:lang w:val="zh-TW" w:eastAsia="zh-TW"/>
        </w:rPr>
        <w:t>签订合同</w:t>
      </w:r>
      <w:r>
        <w:rPr>
          <w:rFonts w:hint="eastAsia" w:ascii="黑体" w:hAnsi="黑体" w:eastAsia="黑体" w:cs="黑体"/>
          <w:color w:val="000000"/>
          <w:kern w:val="0"/>
          <w:sz w:val="32"/>
          <w:szCs w:val="32"/>
          <w:lang w:val="zh-TW" w:eastAsia="zh-CN"/>
        </w:rPr>
        <w:t>：</w:t>
      </w:r>
    </w:p>
    <w:p w14:paraId="7E3FC9B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采购人与成交供应商应当在</w:t>
      </w:r>
      <w:r>
        <w:rPr>
          <w:rFonts w:hint="eastAsia" w:ascii="仿宋_GB2312" w:hAnsi="Courier New" w:eastAsia="仿宋_GB2312" w:cs="Courier New"/>
          <w:color w:val="000000"/>
          <w:kern w:val="0"/>
          <w:sz w:val="32"/>
          <w:szCs w:val="32"/>
          <w:lang w:val="en-US" w:eastAsia="zh-CN"/>
        </w:rPr>
        <w:t>采购商务条款</w:t>
      </w:r>
      <w:r>
        <w:rPr>
          <w:rFonts w:hint="eastAsia" w:ascii="仿宋_GB2312" w:hAnsi="Courier New" w:eastAsia="仿宋_GB2312" w:cs="Courier New"/>
          <w:color w:val="000000"/>
          <w:kern w:val="0"/>
          <w:sz w:val="32"/>
          <w:szCs w:val="32"/>
          <w:lang w:val="zh-TW" w:eastAsia="zh-TW"/>
        </w:rPr>
        <w:t>规定的时间内，按照</w:t>
      </w:r>
      <w:r>
        <w:rPr>
          <w:rFonts w:hint="eastAsia" w:ascii="仿宋_GB2312" w:hAnsi="Courier New" w:eastAsia="仿宋_GB2312" w:cs="Courier New"/>
          <w:color w:val="000000"/>
          <w:kern w:val="0"/>
          <w:sz w:val="32"/>
          <w:szCs w:val="32"/>
          <w:lang w:val="en-US" w:eastAsia="zh-CN"/>
        </w:rPr>
        <w:t>采购</w:t>
      </w:r>
      <w:r>
        <w:rPr>
          <w:rFonts w:hint="eastAsia" w:ascii="仿宋_GB2312" w:hAnsi="Courier New" w:eastAsia="仿宋_GB2312" w:cs="Courier New"/>
          <w:color w:val="000000"/>
          <w:kern w:val="0"/>
          <w:sz w:val="32"/>
          <w:szCs w:val="32"/>
          <w:lang w:val="zh-TW" w:eastAsia="zh-TW"/>
        </w:rPr>
        <w:t>文件确定的合同文本以及</w:t>
      </w:r>
      <w:r>
        <w:rPr>
          <w:rFonts w:hint="eastAsia" w:ascii="仿宋_GB2312" w:hAnsi="Courier New" w:eastAsia="仿宋_GB2312" w:cs="Courier New"/>
          <w:color w:val="000000"/>
          <w:kern w:val="0"/>
          <w:sz w:val="32"/>
          <w:szCs w:val="32"/>
          <w:lang w:val="en-US" w:eastAsia="zh-CN"/>
        </w:rPr>
        <w:t>采购需求</w:t>
      </w:r>
      <w:r>
        <w:rPr>
          <w:rFonts w:hint="eastAsia" w:ascii="仿宋_GB2312" w:hAnsi="Courier New" w:eastAsia="仿宋_GB2312" w:cs="Courier New"/>
          <w:color w:val="000000"/>
          <w:kern w:val="0"/>
          <w:sz w:val="32"/>
          <w:szCs w:val="32"/>
          <w:lang w:val="zh-TW" w:eastAsia="zh-TW"/>
        </w:rPr>
        <w:t>等事项签订采购合同</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详见附件</w:t>
      </w:r>
      <w:r>
        <w:rPr>
          <w:rFonts w:hint="eastAsia" w:ascii="仿宋_GB2312" w:hAnsi="Courier New" w:eastAsia="仿宋_GB2312" w:cs="Courier New"/>
          <w:color w:val="000000"/>
          <w:kern w:val="0"/>
          <w:sz w:val="32"/>
          <w:szCs w:val="32"/>
          <w:lang w:val="en-US" w:eastAsia="zh-CN"/>
        </w:rPr>
        <w:t>9</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p>
    <w:p w14:paraId="4058EC97">
      <w:pPr>
        <w:pStyle w:val="1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成交供应商拒绝签订采购合同的，采购人可以按照</w:t>
      </w:r>
      <w:r>
        <w:rPr>
          <w:rFonts w:hint="eastAsia" w:ascii="仿宋_GB2312" w:hAnsi="Courier New" w:eastAsia="仿宋_GB2312" w:cs="Courier New"/>
          <w:color w:val="000000"/>
          <w:kern w:val="0"/>
          <w:sz w:val="32"/>
          <w:szCs w:val="32"/>
          <w:lang w:val="en-US" w:eastAsia="zh-CN" w:bidi="ar-SA"/>
        </w:rPr>
        <w:t>得分由高到低排名</w:t>
      </w:r>
      <w:r>
        <w:rPr>
          <w:rFonts w:hint="eastAsia" w:ascii="仿宋_GB2312" w:hAnsi="Courier New" w:eastAsia="仿宋_GB2312" w:cs="Courier New"/>
          <w:color w:val="000000"/>
          <w:kern w:val="0"/>
          <w:sz w:val="32"/>
          <w:szCs w:val="32"/>
          <w:lang w:val="zh-TW" w:eastAsia="zh-TW" w:bidi="ar-SA"/>
        </w:rPr>
        <w:t>，确定</w:t>
      </w:r>
      <w:r>
        <w:rPr>
          <w:rFonts w:hint="eastAsia" w:ascii="仿宋_GB2312" w:hAnsi="Courier New" w:eastAsia="仿宋_GB2312" w:cs="Courier New"/>
          <w:color w:val="000000"/>
          <w:kern w:val="0"/>
          <w:sz w:val="32"/>
          <w:szCs w:val="32"/>
          <w:lang w:val="en-US" w:eastAsia="zh-CN" w:bidi="ar-SA"/>
        </w:rPr>
        <w:t>下一供应商为</w:t>
      </w:r>
      <w:r>
        <w:rPr>
          <w:rFonts w:hint="eastAsia" w:ascii="仿宋_GB2312" w:hAnsi="Courier New" w:eastAsia="仿宋_GB2312" w:cs="Courier New"/>
          <w:color w:val="000000"/>
          <w:kern w:val="0"/>
          <w:sz w:val="32"/>
          <w:szCs w:val="32"/>
          <w:lang w:val="zh-TW" w:eastAsia="zh-TW" w:bidi="ar-SA"/>
        </w:rPr>
        <w:t>成交供应商，也可以重新开展采购活动。拒绝签订采购合同的成交供应商不得参加对该项目重新开展的采购活动。</w:t>
      </w:r>
    </w:p>
    <w:p w14:paraId="4312548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七、</w:t>
      </w:r>
      <w:r>
        <w:rPr>
          <w:rFonts w:hint="eastAsia" w:ascii="黑体" w:hAnsi="黑体" w:eastAsia="黑体" w:cs="黑体"/>
          <w:color w:val="000000"/>
          <w:kern w:val="0"/>
          <w:sz w:val="32"/>
          <w:szCs w:val="32"/>
          <w:lang w:val="zh-TW" w:eastAsia="zh-TW"/>
        </w:rPr>
        <w:t>其他要求：</w:t>
      </w:r>
    </w:p>
    <w:p w14:paraId="1862BAEF">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资格文件</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一份</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外包封面需留有以下信息：</w:t>
      </w:r>
    </w:p>
    <w:p w14:paraId="65EE0A25">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1.文件类型：资格文件；</w:t>
      </w:r>
    </w:p>
    <w:p w14:paraId="60698E3D">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TW" w:bidi="ar-SA"/>
        </w:rPr>
        <w:t>项目名称</w:t>
      </w:r>
      <w:r>
        <w:rPr>
          <w:rFonts w:hint="eastAsia" w:ascii="仿宋_GB2312" w:hAnsi="Courier New" w:eastAsia="仿宋_GB2312" w:cs="Courier New"/>
          <w:color w:val="000000"/>
          <w:kern w:val="0"/>
          <w:sz w:val="32"/>
          <w:szCs w:val="32"/>
          <w:lang w:val="zh-TW" w:eastAsia="zh-CN" w:bidi="ar-SA"/>
        </w:rPr>
        <w:t>；</w:t>
      </w:r>
    </w:p>
    <w:p w14:paraId="6DE90964">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TW" w:bidi="ar-SA"/>
        </w:rPr>
        <w:t>项目编号</w:t>
      </w:r>
      <w:r>
        <w:rPr>
          <w:rFonts w:hint="eastAsia" w:ascii="仿宋_GB2312" w:hAnsi="Courier New" w:eastAsia="仿宋_GB2312" w:cs="Courier New"/>
          <w:color w:val="000000"/>
          <w:kern w:val="0"/>
          <w:sz w:val="32"/>
          <w:szCs w:val="32"/>
          <w:lang w:val="zh-TW" w:eastAsia="zh-CN" w:bidi="ar-SA"/>
        </w:rPr>
        <w:t>；</w:t>
      </w:r>
    </w:p>
    <w:p w14:paraId="04315DAF">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响应人</w:t>
      </w:r>
      <w:r>
        <w:rPr>
          <w:rFonts w:hint="eastAsia" w:ascii="仿宋_GB2312" w:hAnsi="Courier New" w:eastAsia="仿宋_GB2312" w:cs="Courier New"/>
          <w:color w:val="000000"/>
          <w:kern w:val="0"/>
          <w:sz w:val="32"/>
          <w:szCs w:val="32"/>
          <w:lang w:val="en-US" w:eastAsia="zh-CN" w:bidi="ar-SA"/>
        </w:rPr>
        <w:t>单位</w:t>
      </w:r>
      <w:r>
        <w:rPr>
          <w:rFonts w:hint="eastAsia" w:ascii="仿宋_GB2312" w:hAnsi="Courier New" w:eastAsia="仿宋_GB2312" w:cs="Courier New"/>
          <w:color w:val="000000"/>
          <w:kern w:val="0"/>
          <w:sz w:val="32"/>
          <w:szCs w:val="32"/>
          <w:lang w:val="zh-TW" w:eastAsia="zh-TW" w:bidi="ar-SA"/>
        </w:rPr>
        <w:t>名称（加盖公章）</w:t>
      </w:r>
      <w:r>
        <w:rPr>
          <w:rFonts w:hint="eastAsia" w:ascii="仿宋_GB2312" w:hAnsi="Courier New" w:eastAsia="仿宋_GB2312" w:cs="Courier New"/>
          <w:color w:val="000000"/>
          <w:kern w:val="0"/>
          <w:sz w:val="32"/>
          <w:szCs w:val="32"/>
          <w:lang w:val="zh-TW" w:eastAsia="zh-CN" w:bidi="ar-SA"/>
        </w:rPr>
        <w:t>；</w:t>
      </w:r>
    </w:p>
    <w:p w14:paraId="2FEEB94D">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5.联系人及联系电话；</w:t>
      </w:r>
    </w:p>
    <w:p w14:paraId="42E3D1FB">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6.响应日期。</w:t>
      </w:r>
    </w:p>
    <w:p w14:paraId="0954C572">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二</w:t>
      </w:r>
      <w:r>
        <w:rPr>
          <w:rFonts w:hint="eastAsia" w:ascii="方正楷体_GB2312" w:hAnsi="方正楷体_GB2312" w:eastAsia="方正楷体_GB2312" w:cs="方正楷体_GB2312"/>
          <w:b/>
          <w:bCs/>
          <w:color w:val="000000"/>
          <w:kern w:val="0"/>
          <w:sz w:val="32"/>
          <w:szCs w:val="32"/>
          <w:lang w:val="zh-TW" w:eastAsia="zh-CN" w:bidi="ar-SA"/>
        </w:rPr>
        <w:t>）响应文件（</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份（一正</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副））外包封面需留有以下信息：</w:t>
      </w:r>
    </w:p>
    <w:p w14:paraId="76E23DC3">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1.文件类型：响应文件；</w:t>
      </w:r>
    </w:p>
    <w:p w14:paraId="7A5EBB92">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项目名称；</w:t>
      </w:r>
    </w:p>
    <w:p w14:paraId="493AD2E2">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响应人名称（加盖公章）；</w:t>
      </w:r>
    </w:p>
    <w:p w14:paraId="66ED32C1">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4.授权人或委托代理人</w:t>
      </w:r>
      <w:r>
        <w:rPr>
          <w:rFonts w:hint="eastAsia" w:ascii="仿宋_GB2312" w:hAnsi="Courier New" w:eastAsia="仿宋_GB2312" w:cs="Courier New"/>
          <w:color w:val="000000"/>
          <w:kern w:val="0"/>
          <w:sz w:val="32"/>
          <w:szCs w:val="32"/>
          <w:lang w:val="zh-TW" w:eastAsia="zh-CN" w:bidi="ar-SA"/>
        </w:rPr>
        <w:t>姓名及联系方式；</w:t>
      </w:r>
    </w:p>
    <w:p w14:paraId="79E4A597">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5.响应日期。</w:t>
      </w:r>
    </w:p>
    <w:p w14:paraId="48ADD5BA">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包装</w:t>
      </w:r>
      <w:r>
        <w:rPr>
          <w:rFonts w:hint="eastAsia" w:ascii="方正楷体_GB2312" w:hAnsi="方正楷体_GB2312" w:eastAsia="方正楷体_GB2312" w:cs="方正楷体_GB2312"/>
          <w:b/>
          <w:bCs/>
          <w:color w:val="000000"/>
          <w:kern w:val="0"/>
          <w:sz w:val="32"/>
          <w:szCs w:val="32"/>
          <w:lang w:val="zh-TW" w:eastAsia="zh-CN" w:bidi="ar-SA"/>
        </w:rPr>
        <w:t>要求：</w:t>
      </w:r>
    </w:p>
    <w:p w14:paraId="287B075D">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CN" w:bidi="ar-SA"/>
        </w:rPr>
        <w:t>资格文件与响应文件</w:t>
      </w:r>
      <w:r>
        <w:rPr>
          <w:rFonts w:hint="eastAsia" w:ascii="仿宋_GB2312" w:hAnsi="Courier New" w:eastAsia="仿宋_GB2312" w:cs="Courier New"/>
          <w:color w:val="000000"/>
          <w:kern w:val="0"/>
          <w:sz w:val="32"/>
          <w:szCs w:val="32"/>
          <w:lang w:val="en-US" w:eastAsia="zh-CN" w:bidi="ar-SA"/>
        </w:rPr>
        <w:t>要求单独密封装订。</w:t>
      </w:r>
    </w:p>
    <w:p w14:paraId="05600740">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）文件提交截止时间：</w:t>
      </w:r>
    </w:p>
    <w:p w14:paraId="55491077">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请于202</w:t>
      </w:r>
      <w:r>
        <w:rPr>
          <w:rFonts w:hint="eastAsia" w:ascii="仿宋_GB2312" w:hAnsi="Courier New" w:eastAsia="仿宋_GB2312" w:cs="Courier New"/>
          <w:color w:val="000000"/>
          <w:kern w:val="0"/>
          <w:sz w:val="32"/>
          <w:szCs w:val="32"/>
          <w:lang w:val="en-US" w:eastAsia="zh-CN" w:bidi="ar-SA"/>
        </w:rPr>
        <w:t>6</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8</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25</w:t>
      </w:r>
      <w:bookmarkStart w:id="21" w:name="_GoBack"/>
      <w:bookmarkEnd w:id="21"/>
      <w:r>
        <w:rPr>
          <w:rFonts w:hint="eastAsia" w:ascii="仿宋_GB2312" w:hAnsi="Courier New" w:eastAsia="仿宋_GB2312" w:cs="Courier New"/>
          <w:color w:val="auto"/>
          <w:kern w:val="0"/>
          <w:sz w:val="32"/>
          <w:szCs w:val="32"/>
          <w:lang w:val="zh-TW" w:eastAsia="zh-CN" w:bidi="ar-SA"/>
        </w:rPr>
        <w:t>日17时</w:t>
      </w:r>
      <w:r>
        <w:rPr>
          <w:rFonts w:hint="eastAsia" w:ascii="仿宋_GB2312" w:hAnsi="Courier New" w:eastAsia="仿宋_GB2312" w:cs="Courier New"/>
          <w:color w:val="000000"/>
          <w:kern w:val="0"/>
          <w:sz w:val="32"/>
          <w:szCs w:val="32"/>
          <w:lang w:val="zh-TW" w:eastAsia="zh-CN" w:bidi="ar-SA"/>
        </w:rPr>
        <w:t>前以密封形式（封口处必须加盖公司公章）快件投递（</w:t>
      </w:r>
      <w:r>
        <w:rPr>
          <w:rFonts w:hint="eastAsia" w:ascii="仿宋_GB2312" w:hAnsi="Courier New" w:eastAsia="仿宋_GB2312" w:cs="Courier New"/>
          <w:b/>
          <w:bCs/>
          <w:color w:val="000000"/>
          <w:kern w:val="0"/>
          <w:sz w:val="32"/>
          <w:szCs w:val="32"/>
          <w:lang w:val="en-US" w:eastAsia="zh-CN" w:bidi="ar-SA"/>
        </w:rPr>
        <w:t>须与采购人确认是否送达</w:t>
      </w:r>
      <w:r>
        <w:rPr>
          <w:rFonts w:hint="eastAsia" w:ascii="仿宋_GB2312" w:hAnsi="Courier New" w:eastAsia="仿宋_GB2312" w:cs="Courier New"/>
          <w:color w:val="000000"/>
          <w:kern w:val="0"/>
          <w:sz w:val="32"/>
          <w:szCs w:val="32"/>
          <w:lang w:val="zh-TW" w:eastAsia="zh-CN" w:bidi="ar-SA"/>
        </w:rPr>
        <w:t>）或直接送达方式送达。</w:t>
      </w:r>
    </w:p>
    <w:p w14:paraId="2D6C1C53">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五</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文件寄送地址信息</w:t>
      </w:r>
      <w:r>
        <w:rPr>
          <w:rFonts w:hint="eastAsia" w:ascii="方正楷体_GB2312" w:hAnsi="方正楷体_GB2312" w:eastAsia="方正楷体_GB2312" w:cs="方正楷体_GB2312"/>
          <w:b/>
          <w:bCs/>
          <w:color w:val="000000"/>
          <w:kern w:val="0"/>
          <w:sz w:val="32"/>
          <w:szCs w:val="32"/>
          <w:lang w:val="zh-TW" w:eastAsia="zh-CN" w:bidi="ar-SA"/>
        </w:rPr>
        <w:t>：</w:t>
      </w:r>
    </w:p>
    <w:p w14:paraId="421044A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地址：南宁市科园大道18号南宁中心血站业务大楼六楼采购</w:t>
      </w:r>
      <w:r>
        <w:rPr>
          <w:rFonts w:hint="eastAsia" w:ascii="仿宋_GB2312" w:hAnsi="Courier New" w:eastAsia="仿宋_GB2312" w:cs="Courier New"/>
          <w:color w:val="000000"/>
          <w:kern w:val="0"/>
          <w:sz w:val="32"/>
          <w:szCs w:val="32"/>
          <w:lang w:val="en-US" w:eastAsia="zh-CN" w:bidi="ar-SA"/>
        </w:rPr>
        <w:t>科</w:t>
      </w:r>
    </w:p>
    <w:p w14:paraId="3820BC15">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联系人：</w:t>
      </w:r>
      <w:r>
        <w:rPr>
          <w:rFonts w:hint="eastAsia" w:ascii="仿宋_GB2312" w:hAnsi="Courier New" w:eastAsia="仿宋_GB2312" w:cs="Courier New"/>
          <w:color w:val="000000"/>
          <w:kern w:val="0"/>
          <w:sz w:val="32"/>
          <w:szCs w:val="32"/>
          <w:lang w:val="en-US" w:eastAsia="zh-CN" w:bidi="ar-SA"/>
        </w:rPr>
        <w:t>许工</w:t>
      </w:r>
    </w:p>
    <w:p w14:paraId="594525FA">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 xml:space="preserve">联系电话：0771-3210882。             </w:t>
      </w:r>
    </w:p>
    <w:p w14:paraId="594DE03B">
      <w:pPr>
        <w:pStyle w:val="15"/>
        <w:rPr>
          <w:rFonts w:hint="eastAsia" w:ascii="仿宋_GB2312" w:hAnsi="Courier New" w:eastAsia="仿宋_GB2312" w:cs="Courier New"/>
          <w:color w:val="000000"/>
          <w:kern w:val="0"/>
          <w:sz w:val="32"/>
          <w:szCs w:val="32"/>
          <w:lang w:val="zh-TW" w:eastAsia="zh-TW" w:bidi="ar-SA"/>
        </w:rPr>
      </w:pPr>
    </w:p>
    <w:p w14:paraId="22C0B80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 xml:space="preserve">          </w:t>
      </w: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TW" w:bidi="ar-SA"/>
        </w:rPr>
        <w:t xml:space="preserve"> 南宁中心血站</w:t>
      </w:r>
      <w:r>
        <w:rPr>
          <w:rFonts w:hint="eastAsia" w:ascii="仿宋_GB2312" w:hAnsi="Courier New" w:eastAsia="仿宋_GB2312" w:cs="Courier New"/>
          <w:color w:val="000000"/>
          <w:kern w:val="0"/>
          <w:sz w:val="32"/>
          <w:szCs w:val="32"/>
          <w:lang w:val="en-US" w:eastAsia="zh-CN" w:bidi="ar-SA"/>
        </w:rPr>
        <w:t xml:space="preserve">     </w:t>
      </w:r>
    </w:p>
    <w:p w14:paraId="6E3C6E1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TW" w:bidi="ar-SA"/>
        </w:rPr>
        <w:t xml:space="preserve">                                   </w:t>
      </w: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TW" w:bidi="ar-SA"/>
        </w:rPr>
        <w:t>202</w:t>
      </w:r>
      <w:r>
        <w:rPr>
          <w:rFonts w:hint="eastAsia" w:ascii="仿宋_GB2312" w:hAnsi="Courier New" w:eastAsia="仿宋_GB2312" w:cs="Courier New"/>
          <w:color w:val="000000"/>
          <w:kern w:val="0"/>
          <w:sz w:val="32"/>
          <w:szCs w:val="32"/>
          <w:lang w:val="en-US" w:eastAsia="zh-CN" w:bidi="ar-SA"/>
        </w:rPr>
        <w:t>6</w:t>
      </w:r>
      <w:r>
        <w:rPr>
          <w:rFonts w:hint="eastAsia" w:ascii="仿宋_GB2312" w:hAnsi="Courier New" w:eastAsia="仿宋_GB2312" w:cs="Courier New"/>
          <w:color w:val="000000"/>
          <w:kern w:val="0"/>
          <w:sz w:val="32"/>
          <w:szCs w:val="32"/>
          <w:lang w:val="zh-TW" w:eastAsia="zh-TW" w:bidi="ar-SA"/>
        </w:rPr>
        <w:t>年</w:t>
      </w:r>
      <w:r>
        <w:rPr>
          <w:rFonts w:hint="eastAsia" w:ascii="仿宋_GB2312" w:hAnsi="Courier New" w:eastAsia="仿宋_GB2312" w:cs="Courier New"/>
          <w:color w:val="000000"/>
          <w:kern w:val="0"/>
          <w:sz w:val="32"/>
          <w:szCs w:val="32"/>
          <w:lang w:val="en-US" w:eastAsia="zh-CN" w:bidi="ar-SA"/>
        </w:rPr>
        <w:t>8</w:t>
      </w:r>
      <w:r>
        <w:rPr>
          <w:rFonts w:hint="eastAsia" w:ascii="仿宋_GB2312" w:hAnsi="Courier New" w:eastAsia="仿宋_GB2312" w:cs="Courier New"/>
          <w:color w:val="000000"/>
          <w:kern w:val="0"/>
          <w:sz w:val="32"/>
          <w:szCs w:val="32"/>
          <w:lang w:val="zh-TW" w:eastAsia="zh-TW" w:bidi="ar-SA"/>
        </w:rPr>
        <w:t>月</w:t>
      </w:r>
      <w:r>
        <w:rPr>
          <w:rFonts w:hint="eastAsia" w:ascii="仿宋_GB2312" w:hAnsi="Courier New" w:eastAsia="仿宋_GB2312" w:cs="Courier New"/>
          <w:color w:val="000000"/>
          <w:kern w:val="0"/>
          <w:sz w:val="32"/>
          <w:szCs w:val="32"/>
          <w:lang w:val="en-US" w:eastAsia="zh-CN" w:bidi="ar-SA"/>
        </w:rPr>
        <w:t>18</w:t>
      </w:r>
      <w:r>
        <w:rPr>
          <w:rFonts w:hint="eastAsia" w:ascii="仿宋_GB2312" w:hAnsi="Courier New" w:eastAsia="仿宋_GB2312" w:cs="Courier New"/>
          <w:color w:val="000000"/>
          <w:kern w:val="0"/>
          <w:sz w:val="32"/>
          <w:szCs w:val="32"/>
          <w:lang w:val="zh-TW" w:eastAsia="zh-TW" w:bidi="ar-SA"/>
        </w:rPr>
        <w:t>日</w:t>
      </w:r>
      <w:r>
        <w:rPr>
          <w:rFonts w:hint="eastAsia" w:ascii="仿宋_GB2312" w:hAnsi="Courier New" w:eastAsia="仿宋_GB2312" w:cs="Courier New"/>
          <w:color w:val="000000"/>
          <w:kern w:val="0"/>
          <w:sz w:val="32"/>
          <w:szCs w:val="32"/>
          <w:lang w:val="en-US" w:eastAsia="zh-CN" w:bidi="ar-SA"/>
        </w:rPr>
        <w:t xml:space="preserve">    </w:t>
      </w:r>
    </w:p>
    <w:p w14:paraId="6363B87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2036621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610C4B5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3E2F402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附件详见南宁中心血站官方网站公告栏</w:t>
      </w:r>
    </w:p>
    <w:p w14:paraId="09A6DC2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 w:hAnsi="仿宋" w:eastAsia="仿宋"/>
          <w:color w:val="auto"/>
          <w:sz w:val="30"/>
          <w:szCs w:val="30"/>
        </w:rPr>
      </w:pPr>
      <w:r>
        <w:rPr>
          <w:rFonts w:hint="eastAsia" w:ascii="仿宋_GB2312" w:hAnsi="Courier New" w:eastAsia="仿宋_GB2312" w:cs="Courier New"/>
          <w:color w:val="000000"/>
          <w:kern w:val="0"/>
          <w:sz w:val="32"/>
          <w:szCs w:val="32"/>
          <w:lang w:val="zh-TW" w:eastAsia="zh-TW" w:bidi="ar-SA"/>
        </w:rPr>
        <w:t>网址：</w:t>
      </w:r>
      <w:r>
        <w:rPr>
          <w:rFonts w:hint="eastAsia" w:ascii="仿宋_GB2312" w:hAnsi="Courier New" w:eastAsia="仿宋_GB2312" w:cs="Courier New"/>
          <w:color w:val="000000"/>
          <w:kern w:val="0"/>
          <w:sz w:val="32"/>
          <w:szCs w:val="32"/>
          <w:lang w:val="zh-TW" w:eastAsia="zh-TW" w:bidi="ar-SA"/>
        </w:rPr>
        <w:fldChar w:fldCharType="begin"/>
      </w:r>
      <w:r>
        <w:rPr>
          <w:rFonts w:hint="eastAsia" w:ascii="仿宋_GB2312" w:hAnsi="Courier New" w:eastAsia="仿宋_GB2312" w:cs="Courier New"/>
          <w:color w:val="000000"/>
          <w:kern w:val="0"/>
          <w:sz w:val="32"/>
          <w:szCs w:val="32"/>
          <w:lang w:val="zh-TW" w:eastAsia="zh-TW" w:bidi="ar-SA"/>
        </w:rPr>
        <w:instrText xml:space="preserve"> HYPERLINK "http://www.nnbb.com.cn/" </w:instrText>
      </w:r>
      <w:r>
        <w:rPr>
          <w:rFonts w:hint="eastAsia" w:ascii="仿宋_GB2312" w:hAnsi="Courier New" w:eastAsia="仿宋_GB2312" w:cs="Courier New"/>
          <w:color w:val="000000"/>
          <w:kern w:val="0"/>
          <w:sz w:val="32"/>
          <w:szCs w:val="32"/>
          <w:lang w:val="zh-TW" w:eastAsia="zh-TW" w:bidi="ar-SA"/>
        </w:rPr>
        <w:fldChar w:fldCharType="separate"/>
      </w:r>
      <w:r>
        <w:rPr>
          <w:rFonts w:hint="eastAsia" w:ascii="仿宋_GB2312" w:hAnsi="Courier New" w:eastAsia="仿宋_GB2312" w:cs="Courier New"/>
          <w:color w:val="000000"/>
          <w:kern w:val="0"/>
          <w:sz w:val="32"/>
          <w:szCs w:val="32"/>
          <w:lang w:val="zh-TW" w:eastAsia="zh-TW" w:bidi="ar-SA"/>
        </w:rPr>
        <w:t>http://www.nnbb.com.cn/</w:t>
      </w:r>
      <w:r>
        <w:rPr>
          <w:rFonts w:hint="eastAsia" w:ascii="仿宋_GB2312" w:hAnsi="Courier New" w:eastAsia="仿宋_GB2312" w:cs="Courier New"/>
          <w:color w:val="000000"/>
          <w:kern w:val="0"/>
          <w:sz w:val="32"/>
          <w:szCs w:val="32"/>
          <w:lang w:val="zh-TW" w:eastAsia="zh-TW" w:bidi="ar-SA"/>
        </w:rPr>
        <w:fldChar w:fldCharType="end"/>
      </w:r>
    </w:p>
    <w:p w14:paraId="1FF58EE6">
      <w:pPr>
        <w:rPr>
          <w:rFonts w:hint="eastAsia" w:ascii="仿宋" w:hAnsi="仿宋" w:eastAsia="仿宋"/>
          <w:color w:val="auto"/>
          <w:sz w:val="30"/>
          <w:szCs w:val="30"/>
        </w:rPr>
        <w:sectPr>
          <w:footerReference r:id="rId3" w:type="default"/>
          <w:pgSz w:w="11906" w:h="16838"/>
          <w:pgMar w:top="1701" w:right="1474" w:bottom="1701" w:left="1587" w:header="851" w:footer="992" w:gutter="0"/>
          <w:pgNumType w:fmt="numberInDash"/>
          <w:cols w:space="425" w:num="1"/>
          <w:docGrid w:type="lines" w:linePitch="312" w:charSpace="0"/>
        </w:sectPr>
      </w:pPr>
    </w:p>
    <w:p w14:paraId="4111A1A7">
      <w:pPr>
        <w:rPr>
          <w:rFonts w:hint="eastAsia" w:ascii="仿宋" w:hAnsi="仿宋" w:eastAsia="仿宋"/>
          <w:color w:val="auto"/>
          <w:sz w:val="30"/>
          <w:szCs w:val="30"/>
          <w:lang w:eastAsia="zh-CN"/>
        </w:rPr>
      </w:pPr>
      <w:r>
        <w:rPr>
          <w:rFonts w:hint="eastAsia" w:ascii="仿宋" w:hAnsi="仿宋" w:eastAsia="仿宋"/>
          <w:color w:val="auto"/>
          <w:sz w:val="30"/>
          <w:szCs w:val="30"/>
        </w:rPr>
        <w:t>附件1</w:t>
      </w:r>
    </w:p>
    <w:p w14:paraId="3222BADA">
      <w:pPr>
        <w:jc w:val="center"/>
        <w:rPr>
          <w:rFonts w:hint="eastAsia" w:hAnsi="宋体" w:cs="宋体"/>
          <w:b/>
          <w:sz w:val="36"/>
        </w:rPr>
      </w:pPr>
      <w:r>
        <w:rPr>
          <w:rFonts w:hint="eastAsia" w:hAnsi="宋体" w:cs="宋体"/>
          <w:b/>
          <w:sz w:val="36"/>
        </w:rPr>
        <w:t>采购需求一览表</w:t>
      </w:r>
    </w:p>
    <w:p w14:paraId="0C719F13">
      <w:pPr>
        <w:pStyle w:val="3"/>
        <w:numPr>
          <w:ilvl w:val="3"/>
          <w:numId w:val="0"/>
        </w:numPr>
        <w:ind w:firstLine="422" w:firstLineChars="200"/>
        <w:rPr>
          <w:rFonts w:asciiTheme="minorEastAsia" w:hAnsiTheme="minorEastAsia" w:eastAsiaTheme="minorEastAsia" w:cstheme="minorEastAsia"/>
          <w:sz w:val="21"/>
          <w:szCs w:val="21"/>
        </w:rPr>
      </w:pPr>
      <w:r>
        <w:rPr>
          <w:rFonts w:hint="eastAsia" w:asciiTheme="minorEastAsia" w:hAnsiTheme="minorEastAsia" w:eastAsiaTheme="minorEastAsia" w:cstheme="minorEastAsia"/>
          <w:b/>
          <w:kern w:val="1"/>
          <w:sz w:val="21"/>
          <w:szCs w:val="21"/>
        </w:rPr>
        <w:t>说明：本采购需求一览表中各参数要求需要全部满足，不允许负偏离，负偏离视为无效响应。</w:t>
      </w:r>
    </w:p>
    <w:tbl>
      <w:tblPr>
        <w:tblStyle w:val="17"/>
        <w:tblW w:w="958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25"/>
        <w:gridCol w:w="967"/>
        <w:gridCol w:w="880"/>
        <w:gridCol w:w="5948"/>
        <w:gridCol w:w="1060"/>
      </w:tblGrid>
      <w:tr w14:paraId="7450A8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6781EA84">
            <w:pPr>
              <w:jc w:val="center"/>
              <w:rPr>
                <w:rFonts w:ascii="宋体" w:cs="Times New Roman"/>
                <w:b/>
                <w:bCs/>
              </w:rPr>
            </w:pPr>
            <w:r>
              <w:rPr>
                <w:rFonts w:hint="eastAsia" w:ascii="宋体" w:hAnsi="宋体" w:cs="宋体"/>
                <w:b/>
                <w:bCs/>
              </w:rPr>
              <w:t>项号</w:t>
            </w:r>
          </w:p>
        </w:tc>
        <w:tc>
          <w:tcPr>
            <w:tcW w:w="967" w:type="dxa"/>
            <w:tcBorders>
              <w:top w:val="single" w:color="auto" w:sz="4" w:space="0"/>
              <w:left w:val="single" w:color="auto" w:sz="4" w:space="0"/>
              <w:bottom w:val="single" w:color="auto" w:sz="4" w:space="0"/>
              <w:right w:val="single" w:color="auto" w:sz="4" w:space="0"/>
            </w:tcBorders>
            <w:vAlign w:val="center"/>
          </w:tcPr>
          <w:p w14:paraId="3263548E">
            <w:pPr>
              <w:jc w:val="center"/>
              <w:rPr>
                <w:rFonts w:ascii="宋体" w:cs="Times New Roman"/>
                <w:b/>
                <w:bCs/>
              </w:rPr>
            </w:pPr>
            <w:r>
              <w:rPr>
                <w:rFonts w:hint="eastAsia" w:ascii="宋体" w:hAnsi="宋体" w:cs="宋体"/>
                <w:b/>
                <w:bCs/>
                <w:lang w:val="en-US" w:eastAsia="zh-CN"/>
              </w:rPr>
              <w:t>货物</w:t>
            </w:r>
            <w:r>
              <w:rPr>
                <w:rFonts w:hint="eastAsia" w:ascii="宋体" w:hAnsi="宋体" w:cs="宋体"/>
                <w:b/>
                <w:bCs/>
              </w:rPr>
              <w:t>名称</w:t>
            </w:r>
          </w:p>
        </w:tc>
        <w:tc>
          <w:tcPr>
            <w:tcW w:w="880" w:type="dxa"/>
            <w:tcBorders>
              <w:top w:val="single" w:color="auto" w:sz="4" w:space="0"/>
              <w:left w:val="single" w:color="auto" w:sz="4" w:space="0"/>
              <w:bottom w:val="single" w:color="auto" w:sz="4" w:space="0"/>
              <w:right w:val="single" w:color="auto" w:sz="4" w:space="0"/>
            </w:tcBorders>
            <w:vAlign w:val="center"/>
          </w:tcPr>
          <w:p w14:paraId="13447C66">
            <w:pPr>
              <w:jc w:val="center"/>
              <w:rPr>
                <w:rFonts w:ascii="宋体" w:hAnsi="宋体" w:cs="宋体"/>
                <w:b/>
                <w:bCs/>
              </w:rPr>
            </w:pPr>
            <w:r>
              <w:rPr>
                <w:rFonts w:hint="eastAsia" w:ascii="宋体" w:hAnsi="宋体" w:cs="宋体"/>
                <w:b/>
                <w:bCs/>
              </w:rPr>
              <w:t>数量</w:t>
            </w:r>
          </w:p>
        </w:tc>
        <w:tc>
          <w:tcPr>
            <w:tcW w:w="5948" w:type="dxa"/>
            <w:tcBorders>
              <w:top w:val="single" w:color="auto" w:sz="4" w:space="0"/>
              <w:left w:val="single" w:color="auto" w:sz="4" w:space="0"/>
              <w:bottom w:val="single" w:color="auto" w:sz="4" w:space="0"/>
              <w:right w:val="single" w:color="auto" w:sz="4" w:space="0"/>
            </w:tcBorders>
            <w:vAlign w:val="center"/>
          </w:tcPr>
          <w:p w14:paraId="2B9A8E7E">
            <w:pPr>
              <w:jc w:val="center"/>
              <w:rPr>
                <w:rFonts w:ascii="宋体" w:cs="Times New Roman"/>
                <w:b/>
                <w:bCs/>
              </w:rPr>
            </w:pPr>
            <w:r>
              <w:rPr>
                <w:rFonts w:hint="eastAsia" w:ascii="宋体" w:hAnsi="宋体" w:cs="宋体"/>
                <w:b/>
                <w:bCs/>
              </w:rPr>
              <w:t>具体内容和要求</w:t>
            </w:r>
          </w:p>
        </w:tc>
        <w:tc>
          <w:tcPr>
            <w:tcW w:w="1060" w:type="dxa"/>
            <w:tcBorders>
              <w:top w:val="single" w:color="auto" w:sz="4" w:space="0"/>
              <w:left w:val="single" w:color="auto" w:sz="4" w:space="0"/>
              <w:bottom w:val="single" w:color="auto" w:sz="4" w:space="0"/>
            </w:tcBorders>
            <w:vAlign w:val="center"/>
          </w:tcPr>
          <w:p w14:paraId="31E4F504">
            <w:pPr>
              <w:jc w:val="center"/>
              <w:rPr>
                <w:rFonts w:hint="eastAsia" w:ascii="宋体" w:cs="Times New Roman" w:eastAsiaTheme="minorEastAsia"/>
                <w:b/>
                <w:bCs/>
                <w:lang w:val="en-US" w:eastAsia="zh-CN"/>
              </w:rPr>
            </w:pPr>
            <w:r>
              <w:rPr>
                <w:rFonts w:hint="eastAsia" w:ascii="宋体" w:hAnsi="宋体" w:cs="宋体"/>
                <w:b/>
                <w:bCs/>
              </w:rPr>
              <w:t>预算</w:t>
            </w:r>
            <w:r>
              <w:rPr>
                <w:rFonts w:hint="eastAsia" w:ascii="宋体" w:hAnsi="宋体" w:cs="宋体"/>
                <w:b/>
                <w:bCs/>
                <w:lang w:val="en-US" w:eastAsia="zh-CN"/>
              </w:rPr>
              <w:t>合计（元）</w:t>
            </w:r>
          </w:p>
        </w:tc>
      </w:tr>
      <w:tr w14:paraId="593F587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75715AB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s="宋体"/>
              </w:rPr>
            </w:pPr>
            <w:r>
              <w:rPr>
                <w:rFonts w:ascii="宋体" w:hAnsi="宋体" w:cs="宋体"/>
              </w:rPr>
              <w:t>1</w:t>
            </w:r>
          </w:p>
        </w:tc>
        <w:tc>
          <w:tcPr>
            <w:tcW w:w="967" w:type="dxa"/>
            <w:tcBorders>
              <w:top w:val="single" w:color="auto" w:sz="4" w:space="0"/>
              <w:left w:val="single" w:color="auto" w:sz="4" w:space="0"/>
              <w:bottom w:val="single" w:color="auto" w:sz="4" w:space="0"/>
              <w:right w:val="single" w:color="auto" w:sz="4" w:space="0"/>
            </w:tcBorders>
            <w:vAlign w:val="center"/>
          </w:tcPr>
          <w:p w14:paraId="7AE751B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cs="Times New Roman"/>
              </w:rPr>
            </w:pPr>
            <w:r>
              <w:rPr>
                <w:rFonts w:hint="eastAsia" w:ascii="宋体" w:hAnsi="宋体" w:eastAsia="宋体" w:cs="宋体"/>
                <w:b w:val="0"/>
                <w:bCs w:val="0"/>
                <w:sz w:val="21"/>
                <w:szCs w:val="21"/>
                <w:highlight w:val="none"/>
                <w:lang w:val="en-US" w:eastAsia="zh-CN"/>
              </w:rPr>
              <w:t>献血退役纪念杯（牌）</w:t>
            </w:r>
          </w:p>
        </w:tc>
        <w:tc>
          <w:tcPr>
            <w:tcW w:w="880" w:type="dxa"/>
            <w:tcBorders>
              <w:top w:val="single" w:color="auto" w:sz="4" w:space="0"/>
              <w:left w:val="single" w:color="auto" w:sz="4" w:space="0"/>
              <w:bottom w:val="single" w:color="auto" w:sz="4" w:space="0"/>
              <w:right w:val="single" w:color="auto" w:sz="4" w:space="0"/>
            </w:tcBorders>
            <w:vAlign w:val="center"/>
          </w:tcPr>
          <w:p w14:paraId="625E3BA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宋体" w:hAnsi="宋体" w:cs="宋体" w:eastAsiaTheme="minorEastAsia"/>
                <w:lang w:val="en-US" w:eastAsia="zh-CN"/>
              </w:rPr>
            </w:pPr>
            <w:r>
              <w:rPr>
                <w:rFonts w:hint="eastAsia" w:ascii="宋体" w:hAnsi="宋体" w:cs="宋体"/>
                <w:lang w:val="en-US" w:eastAsia="zh-CN"/>
              </w:rPr>
              <w:t>100个</w:t>
            </w:r>
          </w:p>
        </w:tc>
        <w:tc>
          <w:tcPr>
            <w:tcW w:w="5948" w:type="dxa"/>
            <w:tcBorders>
              <w:top w:val="single" w:color="auto" w:sz="4" w:space="0"/>
              <w:left w:val="single" w:color="auto" w:sz="4" w:space="0"/>
              <w:bottom w:val="single" w:color="auto" w:sz="4" w:space="0"/>
              <w:right w:val="single" w:color="auto" w:sz="4" w:space="0"/>
            </w:tcBorders>
            <w:vAlign w:val="center"/>
          </w:tcPr>
          <w:p w14:paraId="0B7840B0">
            <w:pPr>
              <w:bidi w:val="0"/>
              <w:rPr>
                <w:rFonts w:hint="eastAsia" w:ascii="宋体" w:hAnsi="宋体" w:eastAsia="宋体" w:cs="宋体"/>
                <w:lang w:val="en-US" w:eastAsia="zh-CN"/>
              </w:rPr>
            </w:pPr>
            <w:r>
              <w:rPr>
                <w:rFonts w:hint="eastAsia" w:ascii="宋体" w:hAnsi="宋体" w:eastAsia="宋体" w:cs="宋体"/>
                <w:lang w:val="en-US" w:eastAsia="zh-CN"/>
              </w:rPr>
              <w:t>1、设计要求：以南宁特有的铜鼓、壮锦等文化结合南宁中心血站的献血文化设计，并将献血证元素延伸设计造型，同时具有U盘功能。要求整体造型美观大气，画面和谐、识别度高，织带印刷定制南宁中心血站文化结合献血证元素延伸设计的图案。</w:t>
            </w:r>
            <w:r>
              <w:rPr>
                <w:rFonts w:hint="eastAsia" w:ascii="宋体" w:hAnsi="宋体" w:eastAsia="宋体" w:cs="宋体"/>
                <w:b/>
                <w:bCs/>
                <w:lang w:val="en-US" w:eastAsia="zh-CN"/>
              </w:rPr>
              <w:t>响应文件中须提供初步设计图稿，用于项目评审。</w:t>
            </w:r>
          </w:p>
          <w:p w14:paraId="57D399FD">
            <w:pPr>
              <w:bidi w:val="0"/>
              <w:rPr>
                <w:rFonts w:hint="eastAsia" w:ascii="宋体" w:hAnsi="宋体" w:eastAsia="宋体" w:cs="宋体"/>
                <w:lang w:val="en-US" w:eastAsia="zh-CN"/>
              </w:rPr>
            </w:pPr>
            <w:r>
              <w:rPr>
                <w:rFonts w:hint="eastAsia" w:ascii="宋体" w:hAnsi="宋体" w:eastAsia="宋体" w:cs="宋体"/>
                <w:lang w:val="en-US" w:eastAsia="zh-CN"/>
              </w:rPr>
              <w:t>2、材质要求：锌合金材质、织带为聚酯纤维材质。</w:t>
            </w:r>
          </w:p>
          <w:p w14:paraId="54EAC111">
            <w:pPr>
              <w:bidi w:val="0"/>
              <w:rPr>
                <w:rFonts w:hint="eastAsia" w:ascii="宋体" w:hAnsi="宋体" w:eastAsia="宋体" w:cs="宋体"/>
                <w:lang w:val="en-US" w:eastAsia="zh-CN"/>
              </w:rPr>
            </w:pPr>
            <w:r>
              <w:rPr>
                <w:rFonts w:hint="eastAsia" w:ascii="宋体" w:hAnsi="宋体" w:eastAsia="宋体" w:cs="宋体"/>
                <w:lang w:val="en-US" w:eastAsia="zh-CN"/>
              </w:rPr>
              <w:t>3、规格尺寸:直径≥7cm，厚度≥3cm，U盘容量≥32G。</w:t>
            </w:r>
          </w:p>
          <w:p w14:paraId="7AB5D2CA">
            <w:pPr>
              <w:bidi w:val="0"/>
              <w:rPr>
                <w:rFonts w:hint="eastAsia" w:ascii="宋体" w:hAnsi="宋体" w:eastAsia="宋体" w:cs="宋体"/>
                <w:lang w:val="en-US" w:eastAsia="zh-CN"/>
              </w:rPr>
            </w:pPr>
            <w:r>
              <w:rPr>
                <w:rFonts w:hint="eastAsia" w:ascii="宋体" w:hAnsi="宋体" w:eastAsia="宋体" w:cs="宋体"/>
                <w:lang w:val="en-US" w:eastAsia="zh-CN"/>
              </w:rPr>
              <w:t>4、执行标准:GB/T 13821-2023《锌合金压铸件》</w:t>
            </w:r>
          </w:p>
          <w:p w14:paraId="01A3BA7E">
            <w:pPr>
              <w:bidi w:val="0"/>
              <w:rPr>
                <w:rFonts w:hint="eastAsia" w:ascii="宋体" w:hAnsi="宋体" w:eastAsia="宋体" w:cs="宋体"/>
                <w:lang w:val="en-US" w:eastAsia="zh-CN"/>
              </w:rPr>
            </w:pPr>
            <w:r>
              <w:rPr>
                <w:rFonts w:hint="eastAsia" w:ascii="宋体" w:hAnsi="宋体" w:eastAsia="宋体" w:cs="宋体"/>
                <w:lang w:val="en-US" w:eastAsia="zh-CN"/>
              </w:rPr>
              <w:t>5、提供响应产品检测报告：供货时提供具有检测资质的第三方检测机构出具的检测报告复印件（检测依据见第4点执行标准）；响应供应商须在响应文件中对提供的第三方检测报告真实性以书面形式进行承诺，响应文件中须提供承诺函（格式自拟）。</w:t>
            </w:r>
          </w:p>
          <w:p w14:paraId="664B2604">
            <w:pPr>
              <w:bidi w:val="0"/>
              <w:rPr>
                <w:rFonts w:hint="eastAsia" w:ascii="宋体" w:hAnsi="宋体" w:eastAsia="宋体" w:cs="宋体"/>
                <w:lang w:val="en-US" w:eastAsia="zh-CN"/>
              </w:rPr>
            </w:pPr>
            <w:r>
              <w:rPr>
                <w:rFonts w:hint="eastAsia" w:ascii="宋体" w:hAnsi="宋体" w:eastAsia="宋体" w:cs="宋体"/>
                <w:lang w:val="en-US" w:eastAsia="zh-CN"/>
              </w:rPr>
              <w:t>6、制作工艺：制版、开模、压铸、修坯、电镀烤漆、品检、包装。</w:t>
            </w:r>
          </w:p>
          <w:p w14:paraId="0A31349D">
            <w:pPr>
              <w:bidi w:val="0"/>
              <w:rPr>
                <w:rFonts w:hint="eastAsia" w:asciiTheme="minorEastAsia" w:hAnsiTheme="minorEastAsia" w:eastAsiaTheme="minorEastAsia" w:cstheme="minorEastAsia"/>
                <w:szCs w:val="21"/>
                <w:lang w:val="en-US" w:eastAsia="zh-CN"/>
              </w:rPr>
            </w:pPr>
            <w:r>
              <w:rPr>
                <w:rFonts w:hint="eastAsia" w:ascii="宋体" w:hAnsi="宋体" w:eastAsia="宋体" w:cs="宋体"/>
                <w:lang w:val="en-US" w:eastAsia="zh-CN"/>
              </w:rPr>
              <w:t>7、包装要求：采用翻盖礼盒包装或天地盖手工裱糊礼盒包装，礼盒设计须与奖牌（杯）设计吻合，材质不限于皮质、仿皮质、实木、麻布、亚麻布等，要求以南宁中心血站文化结合南宁文化延伸设计定制包装。</w:t>
            </w:r>
          </w:p>
        </w:tc>
        <w:tc>
          <w:tcPr>
            <w:tcW w:w="1060" w:type="dxa"/>
            <w:tcBorders>
              <w:top w:val="single" w:color="auto" w:sz="4" w:space="0"/>
              <w:left w:val="single" w:color="auto" w:sz="4" w:space="0"/>
            </w:tcBorders>
            <w:vAlign w:val="center"/>
          </w:tcPr>
          <w:p w14:paraId="29798FEA">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lang w:val="en-US"/>
              </w:rPr>
            </w:pPr>
            <w:r>
              <w:rPr>
                <w:rFonts w:hint="eastAsia" w:ascii="宋体" w:hAnsi="宋体" w:cs="宋体"/>
                <w:lang w:val="en-US" w:eastAsia="zh-CN"/>
              </w:rPr>
              <w:t>10000.00</w:t>
            </w:r>
          </w:p>
        </w:tc>
      </w:tr>
      <w:tr w14:paraId="5929395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64A1927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eastAsiaTheme="minorEastAsia"/>
                <w:lang w:val="en-US" w:eastAsia="zh-CN"/>
              </w:rPr>
            </w:pPr>
            <w:r>
              <w:rPr>
                <w:rFonts w:hint="eastAsia" w:ascii="宋体" w:hAnsi="宋体" w:cs="宋体"/>
                <w:lang w:val="en-US" w:eastAsia="zh-CN"/>
              </w:rPr>
              <w:t>2</w:t>
            </w:r>
          </w:p>
        </w:tc>
        <w:tc>
          <w:tcPr>
            <w:tcW w:w="967" w:type="dxa"/>
            <w:tcBorders>
              <w:top w:val="single" w:color="auto" w:sz="4" w:space="0"/>
              <w:left w:val="single" w:color="auto" w:sz="4" w:space="0"/>
              <w:bottom w:val="single" w:color="auto" w:sz="4" w:space="0"/>
              <w:right w:val="single" w:color="auto" w:sz="4" w:space="0"/>
            </w:tcBorders>
            <w:vAlign w:val="center"/>
          </w:tcPr>
          <w:p w14:paraId="1FD0742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生日献血纪念徽章</w:t>
            </w:r>
          </w:p>
        </w:tc>
        <w:tc>
          <w:tcPr>
            <w:tcW w:w="880" w:type="dxa"/>
            <w:tcBorders>
              <w:top w:val="single" w:color="auto" w:sz="4" w:space="0"/>
              <w:left w:val="single" w:color="auto" w:sz="4" w:space="0"/>
              <w:bottom w:val="single" w:color="auto" w:sz="4" w:space="0"/>
              <w:right w:val="single" w:color="auto" w:sz="4" w:space="0"/>
            </w:tcBorders>
            <w:vAlign w:val="center"/>
          </w:tcPr>
          <w:p w14:paraId="6257921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宋体" w:hAnsi="宋体" w:cs="宋体"/>
                <w:lang w:val="en-US" w:eastAsia="zh-CN"/>
              </w:rPr>
            </w:pPr>
            <w:r>
              <w:rPr>
                <w:rFonts w:hint="eastAsia" w:ascii="宋体" w:hAnsi="宋体" w:cs="宋体"/>
                <w:lang w:val="en-US" w:eastAsia="zh-CN"/>
              </w:rPr>
              <w:t>600个</w:t>
            </w:r>
          </w:p>
        </w:tc>
        <w:tc>
          <w:tcPr>
            <w:tcW w:w="5948" w:type="dxa"/>
            <w:tcBorders>
              <w:top w:val="single" w:color="auto" w:sz="4" w:space="0"/>
              <w:left w:val="single" w:color="auto" w:sz="4" w:space="0"/>
              <w:bottom w:val="single" w:color="auto" w:sz="4" w:space="0"/>
              <w:right w:val="single" w:color="auto" w:sz="4" w:space="0"/>
            </w:tcBorders>
            <w:vAlign w:val="center"/>
          </w:tcPr>
          <w:p w14:paraId="482A2998">
            <w:pPr>
              <w:bidi w:val="0"/>
              <w:rPr>
                <w:rFonts w:hint="eastAsia" w:ascii="宋体" w:hAnsi="宋体" w:eastAsia="宋体" w:cs="宋体"/>
              </w:rPr>
            </w:pPr>
            <w:r>
              <w:rPr>
                <w:rFonts w:hint="eastAsia" w:ascii="宋体" w:hAnsi="宋体" w:eastAsia="宋体" w:cs="宋体"/>
              </w:rPr>
              <w:t>1、设计要求：以南宁中心血站文化为核心，结合生日主题，有蛋糕、礼盒、血站ip等元素</w:t>
            </w:r>
            <w:r>
              <w:rPr>
                <w:rFonts w:hint="eastAsia" w:ascii="宋体" w:hAnsi="宋体" w:eastAsia="宋体" w:cs="宋体"/>
                <w:lang w:val="en-US" w:eastAsia="zh-CN"/>
              </w:rPr>
              <w:t>设计</w:t>
            </w:r>
            <w:r>
              <w:rPr>
                <w:rFonts w:hint="eastAsia" w:ascii="宋体" w:hAnsi="宋体" w:eastAsia="宋体" w:cs="宋体"/>
              </w:rPr>
              <w:t>，要求结构创新，能互动有体验感，例如能滑动、流沙、冰箱贴等符合当下潮流趋势，美观且有实用意义，</w:t>
            </w:r>
            <w:r>
              <w:rPr>
                <w:rFonts w:hint="eastAsia" w:ascii="宋体" w:hAnsi="宋体" w:eastAsia="宋体" w:cs="宋体"/>
                <w:lang w:val="en-US" w:eastAsia="zh-CN"/>
              </w:rPr>
              <w:t>同时</w:t>
            </w:r>
            <w:r>
              <w:rPr>
                <w:rFonts w:hint="eastAsia" w:ascii="宋体" w:hAnsi="宋体" w:eastAsia="宋体" w:cs="宋体"/>
              </w:rPr>
              <w:t>要求画面和谐、识别度高。</w:t>
            </w:r>
            <w:r>
              <w:rPr>
                <w:rFonts w:hint="eastAsia" w:ascii="宋体" w:hAnsi="宋体" w:eastAsia="宋体" w:cs="宋体"/>
                <w:b/>
                <w:bCs/>
              </w:rPr>
              <w:t>响应文件中须提供初步设计图稿，用于项目评审。</w:t>
            </w:r>
          </w:p>
          <w:p w14:paraId="323D1B7D">
            <w:pPr>
              <w:bidi w:val="0"/>
              <w:rPr>
                <w:rFonts w:hint="eastAsia" w:ascii="宋体" w:hAnsi="宋体" w:eastAsia="宋体" w:cs="宋体"/>
                <w:lang w:eastAsia="zh-CN"/>
              </w:rPr>
            </w:pPr>
            <w:r>
              <w:rPr>
                <w:rFonts w:hint="eastAsia" w:ascii="宋体" w:hAnsi="宋体" w:eastAsia="宋体" w:cs="宋体"/>
              </w:rPr>
              <w:t>2、材质要求:锌合金材质、磁吸扣设计</w:t>
            </w:r>
            <w:r>
              <w:rPr>
                <w:rFonts w:hint="eastAsia" w:ascii="宋体" w:hAnsi="宋体" w:eastAsia="宋体" w:cs="宋体"/>
                <w:lang w:eastAsia="zh-CN"/>
              </w:rPr>
              <w:t>。</w:t>
            </w:r>
          </w:p>
          <w:p w14:paraId="71D3C34A">
            <w:pPr>
              <w:bidi w:val="0"/>
              <w:rPr>
                <w:rFonts w:hint="eastAsia" w:ascii="宋体" w:hAnsi="宋体" w:eastAsia="宋体" w:cs="宋体"/>
              </w:rPr>
            </w:pPr>
            <w:r>
              <w:rPr>
                <w:rFonts w:hint="eastAsia" w:ascii="宋体" w:hAnsi="宋体" w:eastAsia="宋体" w:cs="宋体"/>
              </w:rPr>
              <w:t>3、规格尺寸:最长尺寸≥ 4cm，纪念章厚度≥2mm</w:t>
            </w:r>
          </w:p>
          <w:p w14:paraId="4084F308">
            <w:pPr>
              <w:bidi w:val="0"/>
              <w:rPr>
                <w:rFonts w:hint="eastAsia" w:ascii="宋体" w:hAnsi="宋体" w:eastAsia="宋体" w:cs="宋体"/>
              </w:rPr>
            </w:pPr>
            <w:r>
              <w:rPr>
                <w:rFonts w:hint="eastAsia" w:ascii="宋体" w:hAnsi="宋体" w:eastAsia="宋体" w:cs="宋体"/>
              </w:rPr>
              <w:t>4、执行标准:GB/T 13821-2023《锌合金压铸件》</w:t>
            </w:r>
          </w:p>
          <w:p w14:paraId="00E05F3E">
            <w:pPr>
              <w:bidi w:val="0"/>
              <w:rPr>
                <w:rFonts w:hint="eastAsia" w:ascii="宋体" w:hAnsi="宋体" w:eastAsia="宋体" w:cs="宋体"/>
              </w:rPr>
            </w:pPr>
            <w:r>
              <w:rPr>
                <w:rFonts w:hint="eastAsia" w:ascii="宋体" w:hAnsi="宋体" w:eastAsia="宋体" w:cs="宋体"/>
              </w:rPr>
              <w:t>5、提供</w:t>
            </w:r>
            <w:r>
              <w:rPr>
                <w:rFonts w:hint="eastAsia" w:ascii="宋体" w:hAnsi="宋体" w:eastAsia="宋体" w:cs="宋体"/>
                <w:lang w:val="en-US" w:eastAsia="zh-CN"/>
              </w:rPr>
              <w:t>响应</w:t>
            </w:r>
            <w:r>
              <w:rPr>
                <w:rFonts w:hint="eastAsia" w:ascii="宋体" w:hAnsi="宋体" w:eastAsia="宋体" w:cs="宋体"/>
              </w:rPr>
              <w:t>产品检测报告：供货时提供具有</w:t>
            </w:r>
            <w:r>
              <w:rPr>
                <w:rFonts w:hint="eastAsia" w:ascii="宋体" w:hAnsi="宋体" w:eastAsia="宋体" w:cs="宋体"/>
                <w:lang w:val="en-US" w:eastAsia="zh-CN"/>
              </w:rPr>
              <w:t>检测</w:t>
            </w:r>
            <w:r>
              <w:rPr>
                <w:rFonts w:hint="eastAsia" w:ascii="宋体" w:hAnsi="宋体" w:eastAsia="宋体" w:cs="宋体"/>
              </w:rPr>
              <w:t>资质的第三方检测机构出具的检测报告复印件（检测依据见第</w:t>
            </w:r>
            <w:r>
              <w:rPr>
                <w:rFonts w:hint="eastAsia" w:ascii="宋体" w:hAnsi="宋体" w:eastAsia="宋体" w:cs="宋体"/>
                <w:lang w:val="en-US" w:eastAsia="zh-CN"/>
              </w:rPr>
              <w:t>4</w:t>
            </w:r>
            <w:r>
              <w:rPr>
                <w:rFonts w:hint="eastAsia" w:ascii="宋体" w:hAnsi="宋体" w:eastAsia="宋体" w:cs="宋体"/>
              </w:rPr>
              <w:t>点执行标准）；响应供应商须在响应文件中对提供的第三方检测报告真实性以书面形式进行承诺，响应文件中须提供承诺函（格式自拟）。</w:t>
            </w:r>
          </w:p>
          <w:p w14:paraId="2CCCE803">
            <w:pPr>
              <w:bidi w:val="0"/>
              <w:rPr>
                <w:rFonts w:hint="eastAsia" w:ascii="宋体" w:hAnsi="宋体" w:eastAsia="宋体" w:cs="宋体"/>
                <w:lang w:eastAsia="zh-CN"/>
              </w:rPr>
            </w:pPr>
            <w:r>
              <w:rPr>
                <w:rFonts w:hint="eastAsia" w:ascii="宋体" w:hAnsi="宋体" w:eastAsia="宋体" w:cs="宋体"/>
              </w:rPr>
              <w:t>6、工艺:制版、开模、压铸、修坯、电镀烤漆、品检、包装</w:t>
            </w:r>
            <w:r>
              <w:rPr>
                <w:rFonts w:hint="eastAsia" w:ascii="宋体" w:hAnsi="宋体" w:eastAsia="宋体" w:cs="宋体"/>
                <w:lang w:eastAsia="zh-CN"/>
              </w:rPr>
              <w:t>。</w:t>
            </w:r>
          </w:p>
          <w:p w14:paraId="57BA0DEB">
            <w:pPr>
              <w:bidi w:val="0"/>
              <w:rPr>
                <w:rFonts w:hint="eastAsia" w:ascii="宋体" w:hAnsi="宋体" w:eastAsia="宋体" w:cs="宋体"/>
              </w:rPr>
            </w:pPr>
            <w:r>
              <w:rPr>
                <w:rFonts w:hint="eastAsia" w:ascii="宋体" w:hAnsi="宋体" w:eastAsia="宋体" w:cs="宋体"/>
              </w:rPr>
              <w:t>7、包装要求：定制背卡纸</w:t>
            </w:r>
            <w:r>
              <w:rPr>
                <w:rFonts w:hint="eastAsia"/>
              </w:rPr>
              <w:t>+opp袋包装，以南宁中心血站文化为核心设计图案</w:t>
            </w:r>
            <w:r>
              <w:rPr>
                <w:rFonts w:hint="eastAsia"/>
                <w:lang w:eastAsia="zh-CN"/>
              </w:rPr>
              <w:t>。</w:t>
            </w:r>
          </w:p>
        </w:tc>
        <w:tc>
          <w:tcPr>
            <w:tcW w:w="1060" w:type="dxa"/>
            <w:tcBorders>
              <w:top w:val="single" w:color="auto" w:sz="4" w:space="0"/>
              <w:left w:val="single" w:color="auto" w:sz="4" w:space="0"/>
            </w:tcBorders>
            <w:vAlign w:val="center"/>
          </w:tcPr>
          <w:p w14:paraId="2DA4A739">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cs="宋体"/>
                <w:lang w:val="en-US" w:eastAsia="zh-CN"/>
              </w:rPr>
            </w:pPr>
            <w:r>
              <w:rPr>
                <w:rFonts w:hint="eastAsia" w:ascii="宋体" w:hAnsi="宋体" w:cs="宋体"/>
                <w:lang w:val="en-US" w:eastAsia="zh-CN"/>
              </w:rPr>
              <w:t>15000.00</w:t>
            </w:r>
          </w:p>
        </w:tc>
      </w:tr>
      <w:tr w14:paraId="58A1AB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7A9654D1">
            <w:pPr>
              <w:jc w:val="center"/>
              <w:rPr>
                <w:rFonts w:ascii="宋体" w:cs="Times New Roman"/>
              </w:rPr>
            </w:pPr>
            <w:r>
              <w:rPr>
                <w:rFonts w:hint="eastAsia" w:ascii="宋体" w:hAnsi="宋体" w:cs="宋体"/>
              </w:rPr>
              <w:t>商务条款</w:t>
            </w:r>
          </w:p>
        </w:tc>
        <w:tc>
          <w:tcPr>
            <w:tcW w:w="8855" w:type="dxa"/>
            <w:gridSpan w:val="4"/>
            <w:tcBorders>
              <w:top w:val="single" w:color="auto" w:sz="4" w:space="0"/>
              <w:left w:val="single" w:color="auto" w:sz="4" w:space="0"/>
              <w:bottom w:val="single" w:color="auto" w:sz="4" w:space="0"/>
            </w:tcBorders>
            <w:vAlign w:val="center"/>
          </w:tcPr>
          <w:p w14:paraId="1950BA70">
            <w:pPr>
              <w:bidi w:val="0"/>
              <w:rPr>
                <w:rFonts w:hint="eastAsia" w:ascii="宋体" w:hAnsi="宋体"/>
                <w:b w:val="0"/>
                <w:bCs w:val="0"/>
                <w:szCs w:val="21"/>
              </w:rPr>
            </w:pPr>
            <w:r>
              <w:rPr>
                <w:rFonts w:hint="eastAsia" w:ascii="宋体" w:hAnsi="宋体"/>
                <w:b/>
                <w:bCs/>
                <w:szCs w:val="21"/>
              </w:rPr>
              <w:t>一、合同签订期：</w:t>
            </w:r>
            <w:r>
              <w:rPr>
                <w:rFonts w:hint="eastAsia" w:ascii="宋体" w:hAnsi="宋体"/>
                <w:b w:val="0"/>
                <w:bCs w:val="0"/>
                <w:szCs w:val="21"/>
              </w:rPr>
              <w:t>自采购结果公告结束之日起 10 个工作日内。</w:t>
            </w:r>
          </w:p>
          <w:p w14:paraId="784D1242">
            <w:pPr>
              <w:bidi w:val="0"/>
              <w:rPr>
                <w:rFonts w:hint="eastAsia" w:ascii="宋体" w:hAnsi="宋体"/>
                <w:b w:val="0"/>
                <w:bCs w:val="0"/>
                <w:szCs w:val="21"/>
              </w:rPr>
            </w:pPr>
            <w:r>
              <w:rPr>
                <w:rFonts w:hint="eastAsia" w:ascii="宋体" w:hAnsi="宋体"/>
                <w:b/>
                <w:bCs/>
                <w:szCs w:val="21"/>
              </w:rPr>
              <w:t>二、交货期：</w:t>
            </w:r>
            <w:r>
              <w:rPr>
                <w:rFonts w:hint="eastAsia" w:ascii="宋体" w:hAnsi="宋体"/>
                <w:b w:val="0"/>
                <w:bCs w:val="0"/>
                <w:szCs w:val="21"/>
              </w:rPr>
              <w:t>合同签订后成交供应商10个工作日内提供</w:t>
            </w:r>
            <w:r>
              <w:rPr>
                <w:rFonts w:hint="eastAsia" w:ascii="宋体" w:hAnsi="宋体"/>
                <w:b w:val="0"/>
                <w:bCs w:val="0"/>
                <w:szCs w:val="21"/>
                <w:lang w:val="en-US" w:eastAsia="zh-CN"/>
              </w:rPr>
              <w:t>最终</w:t>
            </w:r>
            <w:r>
              <w:rPr>
                <w:rFonts w:hint="eastAsia" w:ascii="宋体" w:hAnsi="宋体"/>
                <w:b w:val="0"/>
                <w:bCs w:val="0"/>
                <w:szCs w:val="21"/>
              </w:rPr>
              <w:t>设计稿，经采购人确认后批量制作。采购人确认设计稿后40个工作日内一次性交货完毕。</w:t>
            </w:r>
          </w:p>
          <w:p w14:paraId="1169C88C">
            <w:pPr>
              <w:bidi w:val="0"/>
              <w:rPr>
                <w:rFonts w:hint="eastAsia" w:ascii="宋体" w:hAnsi="宋体"/>
                <w:b w:val="0"/>
                <w:bCs w:val="0"/>
                <w:szCs w:val="21"/>
              </w:rPr>
            </w:pPr>
            <w:r>
              <w:rPr>
                <w:rFonts w:hint="eastAsia" w:ascii="宋体" w:hAnsi="宋体"/>
                <w:b/>
                <w:bCs/>
                <w:szCs w:val="21"/>
              </w:rPr>
              <w:t>三、交货地点：</w:t>
            </w:r>
            <w:r>
              <w:rPr>
                <w:rFonts w:hint="eastAsia" w:ascii="宋体" w:hAnsi="宋体"/>
                <w:b w:val="0"/>
                <w:bCs w:val="0"/>
                <w:szCs w:val="21"/>
              </w:rPr>
              <w:t xml:space="preserve">南宁中心血站指定地点。 </w:t>
            </w:r>
          </w:p>
          <w:p w14:paraId="1D0E62B0">
            <w:pPr>
              <w:bidi w:val="0"/>
              <w:rPr>
                <w:rFonts w:hint="eastAsia" w:ascii="宋体" w:hAnsi="宋体"/>
                <w:b/>
                <w:bCs/>
                <w:szCs w:val="21"/>
              </w:rPr>
            </w:pPr>
            <w:r>
              <w:rPr>
                <w:rFonts w:hint="eastAsia" w:ascii="宋体" w:hAnsi="宋体"/>
                <w:b/>
                <w:bCs/>
                <w:szCs w:val="21"/>
              </w:rPr>
              <w:t>四、交货方式及要求：</w:t>
            </w:r>
          </w:p>
          <w:p w14:paraId="31924487">
            <w:pPr>
              <w:bidi w:val="0"/>
              <w:rPr>
                <w:rFonts w:hint="eastAsia" w:ascii="宋体" w:hAnsi="宋体" w:eastAsia="宋体"/>
                <w:b w:val="0"/>
                <w:bCs w:val="0"/>
                <w:szCs w:val="21"/>
                <w:lang w:eastAsia="zh-CN"/>
              </w:rPr>
            </w:pPr>
            <w:r>
              <w:rPr>
                <w:rFonts w:hint="eastAsia" w:ascii="宋体" w:hAnsi="宋体"/>
                <w:b w:val="0"/>
                <w:bCs w:val="0"/>
                <w:szCs w:val="21"/>
              </w:rPr>
              <w:t>1、交货方式：现场交货</w:t>
            </w:r>
            <w:r>
              <w:rPr>
                <w:rFonts w:hint="eastAsia" w:ascii="宋体" w:hAnsi="宋体"/>
                <w:b w:val="0"/>
                <w:bCs w:val="0"/>
                <w:szCs w:val="21"/>
                <w:lang w:eastAsia="zh-CN"/>
              </w:rPr>
              <w:t>。</w:t>
            </w:r>
          </w:p>
          <w:p w14:paraId="1D696941">
            <w:pPr>
              <w:bidi w:val="0"/>
              <w:rPr>
                <w:rFonts w:hint="eastAsia" w:ascii="宋体" w:hAnsi="宋体"/>
                <w:b w:val="0"/>
                <w:bCs w:val="0"/>
                <w:szCs w:val="21"/>
              </w:rPr>
            </w:pPr>
            <w:r>
              <w:rPr>
                <w:rFonts w:hint="eastAsia" w:ascii="宋体" w:hAnsi="宋体"/>
                <w:b w:val="0"/>
                <w:bCs w:val="0"/>
                <w:szCs w:val="21"/>
              </w:rPr>
              <w:t>2、交货要求：成交供应商向采购人提供的货物必须是全新、完整、未使用过的，货物到达后，成交供应商和采购人应在现场进行清点，清点过程中如果发现因包装或运输不当引起的产品外观或内部的损坏，成交供应商应负责更换，若发现错发/漏发情况，成交供应商应负责更换和补发。</w:t>
            </w:r>
          </w:p>
          <w:p w14:paraId="7F815C3D">
            <w:pPr>
              <w:bidi w:val="0"/>
              <w:rPr>
                <w:rFonts w:hint="eastAsia" w:ascii="宋体" w:hAnsi="宋体"/>
                <w:b/>
                <w:bCs/>
                <w:szCs w:val="21"/>
              </w:rPr>
            </w:pPr>
            <w:r>
              <w:rPr>
                <w:rFonts w:hint="eastAsia" w:ascii="宋体" w:hAnsi="宋体"/>
                <w:b/>
                <w:bCs/>
                <w:szCs w:val="21"/>
              </w:rPr>
              <w:t>五、验收方式及要求：</w:t>
            </w:r>
          </w:p>
          <w:p w14:paraId="2D465C0F">
            <w:pPr>
              <w:bidi w:val="0"/>
              <w:rPr>
                <w:rFonts w:hint="eastAsia" w:ascii="宋体" w:hAnsi="宋体"/>
                <w:b w:val="0"/>
                <w:bCs w:val="0"/>
                <w:szCs w:val="21"/>
              </w:rPr>
            </w:pPr>
            <w:r>
              <w:rPr>
                <w:rFonts w:hint="eastAsia" w:ascii="宋体" w:hAnsi="宋体"/>
                <w:b w:val="0"/>
                <w:bCs w:val="0"/>
                <w:szCs w:val="21"/>
              </w:rPr>
              <w:t>1、交货时，所有产品均严格按采购文件上的技术参数要求，采购人按成交供应商响应和承诺的技术参数及性能和国家有关标准进行验收，达不到要求的不予验收，视为产品验收不合格，并且保留追究成交供应商虚假</w:t>
            </w:r>
            <w:r>
              <w:rPr>
                <w:rFonts w:hint="eastAsia" w:ascii="宋体" w:hAnsi="宋体"/>
                <w:b w:val="0"/>
                <w:bCs w:val="0"/>
                <w:szCs w:val="21"/>
                <w:lang w:val="en-US" w:eastAsia="zh-CN"/>
              </w:rPr>
              <w:t>响应</w:t>
            </w:r>
            <w:r>
              <w:rPr>
                <w:rFonts w:hint="eastAsia" w:ascii="宋体" w:hAnsi="宋体"/>
                <w:b w:val="0"/>
                <w:bCs w:val="0"/>
                <w:szCs w:val="21"/>
              </w:rPr>
              <w:t>的法律责任。</w:t>
            </w:r>
          </w:p>
          <w:p w14:paraId="76B9CABA">
            <w:pPr>
              <w:bidi w:val="0"/>
              <w:rPr>
                <w:rFonts w:hint="eastAsia" w:ascii="宋体" w:hAnsi="宋体"/>
                <w:b w:val="0"/>
                <w:bCs w:val="0"/>
                <w:szCs w:val="21"/>
              </w:rPr>
            </w:pPr>
            <w:r>
              <w:rPr>
                <w:rFonts w:hint="eastAsia" w:ascii="宋体" w:hAnsi="宋体"/>
                <w:b w:val="0"/>
                <w:bCs w:val="0"/>
                <w:szCs w:val="21"/>
              </w:rPr>
              <w:t>2、按要求供货到现场(包括包装、卸货及搬运)。</w:t>
            </w:r>
          </w:p>
          <w:p w14:paraId="74C577A8">
            <w:pPr>
              <w:bidi w:val="0"/>
              <w:rPr>
                <w:rFonts w:hint="eastAsia" w:ascii="宋体" w:hAnsi="宋体"/>
                <w:b/>
                <w:bCs/>
                <w:szCs w:val="21"/>
              </w:rPr>
            </w:pPr>
            <w:r>
              <w:rPr>
                <w:rFonts w:hint="eastAsia" w:ascii="宋体" w:hAnsi="宋体"/>
                <w:b/>
                <w:bCs/>
                <w:szCs w:val="21"/>
              </w:rPr>
              <w:t>六、售后服务要求：</w:t>
            </w:r>
          </w:p>
          <w:p w14:paraId="2ACAF6E5">
            <w:pPr>
              <w:bidi w:val="0"/>
              <w:rPr>
                <w:rFonts w:hint="eastAsia" w:ascii="宋体" w:hAnsi="宋体"/>
                <w:b w:val="0"/>
                <w:bCs w:val="0"/>
                <w:szCs w:val="21"/>
              </w:rPr>
            </w:pPr>
            <w:r>
              <w:rPr>
                <w:rFonts w:hint="eastAsia" w:ascii="宋体" w:hAnsi="宋体"/>
                <w:b w:val="0"/>
                <w:bCs w:val="0"/>
                <w:szCs w:val="21"/>
              </w:rPr>
              <w:t>1、质量保证期  1  年（自交货并验收合格之日起计），质量保证期内按国家有关产品“三包”规定执行“三包”，质量保证期内因产品质量问题发生的相关费用由成交供应商承担。</w:t>
            </w:r>
          </w:p>
          <w:p w14:paraId="01DE097F">
            <w:pPr>
              <w:bidi w:val="0"/>
              <w:rPr>
                <w:rFonts w:hint="eastAsia" w:ascii="宋体" w:hAnsi="宋体"/>
                <w:b w:val="0"/>
                <w:bCs w:val="0"/>
                <w:szCs w:val="21"/>
              </w:rPr>
            </w:pPr>
            <w:r>
              <w:rPr>
                <w:rFonts w:hint="eastAsia" w:ascii="宋体" w:hAnsi="宋体"/>
                <w:b w:val="0"/>
                <w:bCs w:val="0"/>
                <w:szCs w:val="21"/>
              </w:rPr>
              <w:t>2、服务响应时间：对于服务请求，须在 20 分钟内响应；一般问题 8小时内解决；对于重大问题不能超过 48 小时解决且要求 4 小时内到现场服务。</w:t>
            </w:r>
          </w:p>
          <w:p w14:paraId="3117B91F">
            <w:pPr>
              <w:bidi w:val="0"/>
              <w:rPr>
                <w:rFonts w:hint="eastAsia" w:ascii="宋体" w:hAnsi="宋体"/>
                <w:b/>
                <w:bCs/>
                <w:szCs w:val="21"/>
              </w:rPr>
            </w:pPr>
            <w:r>
              <w:rPr>
                <w:rFonts w:hint="eastAsia" w:ascii="宋体" w:hAnsi="宋体"/>
                <w:b/>
                <w:bCs/>
                <w:szCs w:val="21"/>
              </w:rPr>
              <w:t>七、其他要求：</w:t>
            </w:r>
          </w:p>
          <w:p w14:paraId="6C94018A">
            <w:pPr>
              <w:bidi w:val="0"/>
              <w:rPr>
                <w:rFonts w:hint="eastAsia" w:ascii="宋体" w:hAnsi="宋体"/>
                <w:b w:val="0"/>
                <w:bCs w:val="0"/>
                <w:szCs w:val="21"/>
              </w:rPr>
            </w:pPr>
            <w:r>
              <w:rPr>
                <w:rFonts w:hint="eastAsia" w:ascii="宋体" w:hAnsi="宋体"/>
                <w:b w:val="0"/>
                <w:bCs w:val="0"/>
                <w:szCs w:val="21"/>
              </w:rPr>
              <w:t>1、</w:t>
            </w:r>
            <w:r>
              <w:rPr>
                <w:rFonts w:hint="eastAsia" w:ascii="宋体" w:hAnsi="宋体"/>
                <w:b w:val="0"/>
                <w:bCs w:val="0"/>
                <w:szCs w:val="21"/>
                <w:lang w:val="en-US" w:eastAsia="zh-CN"/>
              </w:rPr>
              <w:t>响应</w:t>
            </w:r>
            <w:r>
              <w:rPr>
                <w:rFonts w:hint="eastAsia" w:ascii="宋体" w:hAnsi="宋体"/>
                <w:b w:val="0"/>
                <w:bCs w:val="0"/>
                <w:szCs w:val="21"/>
              </w:rPr>
              <w:t>报价为采购人指定地点的现场交货价，包括：</w:t>
            </w:r>
          </w:p>
          <w:p w14:paraId="76857AF0">
            <w:pPr>
              <w:bidi w:val="0"/>
              <w:rPr>
                <w:rFonts w:hint="eastAsia" w:ascii="宋体" w:hAnsi="宋体"/>
                <w:b w:val="0"/>
                <w:bCs w:val="0"/>
                <w:szCs w:val="21"/>
              </w:rPr>
            </w:pPr>
            <w:r>
              <w:rPr>
                <w:rFonts w:hint="eastAsia" w:ascii="宋体" w:hAnsi="宋体"/>
                <w:b w:val="0"/>
                <w:bCs w:val="0"/>
                <w:szCs w:val="21"/>
              </w:rPr>
              <w:t>（1）货物的价格；</w:t>
            </w:r>
          </w:p>
          <w:p w14:paraId="603774EA">
            <w:pPr>
              <w:bidi w:val="0"/>
              <w:rPr>
                <w:rFonts w:hint="eastAsia" w:ascii="宋体" w:hAnsi="宋体"/>
                <w:b w:val="0"/>
                <w:bCs w:val="0"/>
                <w:szCs w:val="21"/>
              </w:rPr>
            </w:pPr>
            <w:r>
              <w:rPr>
                <w:rFonts w:hint="eastAsia" w:ascii="宋体" w:hAnsi="宋体"/>
                <w:b w:val="0"/>
                <w:bCs w:val="0"/>
                <w:szCs w:val="21"/>
              </w:rPr>
              <w:t>（2）货物的标准附件配件、备品备件、专用工具的价格；</w:t>
            </w:r>
          </w:p>
          <w:p w14:paraId="270209C0">
            <w:pPr>
              <w:bidi w:val="0"/>
              <w:rPr>
                <w:rFonts w:hint="eastAsia" w:ascii="宋体" w:hAnsi="宋体"/>
                <w:b w:val="0"/>
                <w:bCs w:val="0"/>
                <w:szCs w:val="21"/>
              </w:rPr>
            </w:pPr>
            <w:r>
              <w:rPr>
                <w:rFonts w:hint="eastAsia" w:ascii="宋体" w:hAnsi="宋体"/>
                <w:b w:val="0"/>
                <w:bCs w:val="0"/>
                <w:szCs w:val="21"/>
              </w:rPr>
              <w:t>（3）设计费、运输、装卸、搬运、技术支持、售后服务等费用；</w:t>
            </w:r>
          </w:p>
          <w:p w14:paraId="6FF8EC82">
            <w:pPr>
              <w:bidi w:val="0"/>
              <w:rPr>
                <w:rFonts w:hint="eastAsia" w:ascii="宋体" w:hAnsi="宋体"/>
                <w:b w:val="0"/>
                <w:bCs w:val="0"/>
                <w:szCs w:val="21"/>
              </w:rPr>
            </w:pPr>
            <w:r>
              <w:rPr>
                <w:rFonts w:hint="eastAsia" w:ascii="宋体" w:hAnsi="宋体"/>
                <w:b w:val="0"/>
                <w:bCs w:val="0"/>
                <w:szCs w:val="21"/>
              </w:rPr>
              <w:t>（4）必要的保险费用和各项税费。</w:t>
            </w:r>
          </w:p>
          <w:p w14:paraId="608D28A2">
            <w:pPr>
              <w:keepNext w:val="0"/>
              <w:keepLines w:val="0"/>
              <w:pageBreakBefore w:val="0"/>
              <w:widowControl w:val="0"/>
              <w:kinsoku/>
              <w:wordWrap/>
              <w:overflowPunct/>
              <w:topLinePunct w:val="0"/>
              <w:autoSpaceDE/>
              <w:autoSpaceDN/>
              <w:bidi w:val="0"/>
              <w:adjustRightInd/>
              <w:snapToGrid/>
              <w:spacing w:line="400" w:lineRule="exact"/>
              <w:ind w:firstLine="0" w:firstLineChars="0"/>
              <w:textAlignment w:val="auto"/>
              <w:rPr>
                <w:rFonts w:hint="eastAsia" w:asciiTheme="minorEastAsia" w:hAnsiTheme="minorEastAsia" w:eastAsiaTheme="minorEastAsia" w:cstheme="minorEastAsia"/>
              </w:rPr>
            </w:pPr>
            <w:r>
              <w:rPr>
                <w:rFonts w:hint="eastAsia" w:ascii="宋体" w:hAnsi="宋体"/>
                <w:b w:val="0"/>
                <w:bCs w:val="0"/>
                <w:szCs w:val="21"/>
              </w:rPr>
              <w:t>2、付款方式：成交供应商交货完毕并经采购人书面验收合格后，采购人</w:t>
            </w:r>
            <w:r>
              <w:rPr>
                <w:rFonts w:hint="eastAsia" w:ascii="宋体" w:hAnsi="宋体"/>
                <w:b w:val="0"/>
                <w:bCs w:val="0"/>
                <w:szCs w:val="21"/>
                <w:lang w:val="en-US" w:eastAsia="zh-CN"/>
              </w:rPr>
              <w:t>于30日内</w:t>
            </w:r>
            <w:r>
              <w:rPr>
                <w:rFonts w:hint="eastAsia" w:ascii="宋体" w:hAnsi="宋体"/>
                <w:b w:val="0"/>
                <w:bCs w:val="0"/>
                <w:szCs w:val="21"/>
              </w:rPr>
              <w:t>一次性支付合同款（付款前成交供应商需开具等额合规的增值税普通发票）。</w:t>
            </w:r>
            <w:r>
              <w:rPr>
                <w:rFonts w:hint="eastAsia" w:asciiTheme="minorEastAsia" w:hAnsiTheme="minorEastAsia" w:eastAsiaTheme="minorEastAsia" w:cstheme="minorEastAsia"/>
              </w:rPr>
              <w:t xml:space="preserve">    </w:t>
            </w:r>
          </w:p>
        </w:tc>
      </w:tr>
    </w:tbl>
    <w:p w14:paraId="34379FB2">
      <w:pPr>
        <w:pStyle w:val="39"/>
        <w:ind w:firstLine="460" w:firstLineChars="200"/>
        <w:rPr>
          <w:rFonts w:hint="eastAsia"/>
          <w:sz w:val="21"/>
          <w:szCs w:val="21"/>
          <w:lang w:val="en-US" w:eastAsia="zh-CN"/>
        </w:rPr>
        <w:sectPr>
          <w:pgSz w:w="11906" w:h="16838"/>
          <w:pgMar w:top="1984" w:right="1474" w:bottom="1984" w:left="1587" w:header="851" w:footer="992" w:gutter="0"/>
          <w:pgNumType w:fmt="numberInDash"/>
          <w:cols w:space="425" w:num="1"/>
          <w:docGrid w:type="lines" w:linePitch="312" w:charSpace="0"/>
        </w:sectPr>
      </w:pPr>
    </w:p>
    <w:p w14:paraId="34C7292E">
      <w:pPr>
        <w:pStyle w:val="9"/>
        <w:spacing w:line="500" w:lineRule="exact"/>
        <w:jc w:val="left"/>
        <w:rPr>
          <w:rFonts w:hint="eastAsia" w:ascii="仿宋" w:hAnsi="仿宋" w:eastAsia="仿宋"/>
          <w:color w:val="auto"/>
          <w:sz w:val="30"/>
          <w:szCs w:val="30"/>
          <w:lang w:eastAsia="zh-CN"/>
        </w:rPr>
      </w:pPr>
      <w:r>
        <w:rPr>
          <w:rFonts w:hint="eastAsia" w:ascii="仿宋" w:hAnsi="仿宋" w:eastAsia="仿宋"/>
          <w:color w:val="auto"/>
          <w:sz w:val="30"/>
          <w:szCs w:val="30"/>
        </w:rPr>
        <w:t>附件2</w:t>
      </w:r>
    </w:p>
    <w:p w14:paraId="27B0DD07">
      <w:pPr>
        <w:pStyle w:val="9"/>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评选方法及标准</w:t>
      </w:r>
    </w:p>
    <w:p w14:paraId="04DE5CDF">
      <w:pPr>
        <w:spacing w:line="360" w:lineRule="exact"/>
        <w:ind w:firstLine="413" w:firstLineChars="196"/>
        <w:rPr>
          <w:rFonts w:hint="eastAsia" w:ascii="宋体" w:hAnsi="宋体"/>
          <w:b/>
          <w:bCs/>
          <w:color w:val="auto"/>
          <w:kern w:val="0"/>
          <w:szCs w:val="21"/>
          <w:highlight w:val="none"/>
        </w:rPr>
      </w:pPr>
    </w:p>
    <w:p w14:paraId="2466226D">
      <w:pPr>
        <w:spacing w:line="360" w:lineRule="exact"/>
        <w:ind w:firstLine="413" w:firstLineChars="196"/>
        <w:rPr>
          <w:rFonts w:ascii="宋体" w:hAnsi="宋体"/>
          <w:b/>
          <w:bCs/>
          <w:color w:val="auto"/>
          <w:kern w:val="0"/>
          <w:szCs w:val="21"/>
          <w:highlight w:val="none"/>
        </w:rPr>
      </w:pPr>
      <w:r>
        <w:rPr>
          <w:rFonts w:hint="eastAsia" w:ascii="宋体" w:hAnsi="宋体"/>
          <w:b/>
          <w:bCs/>
          <w:color w:val="auto"/>
          <w:kern w:val="0"/>
          <w:szCs w:val="21"/>
          <w:highlight w:val="none"/>
        </w:rPr>
        <w:t>一、评</w:t>
      </w:r>
      <w:r>
        <w:rPr>
          <w:rFonts w:hint="eastAsia" w:ascii="宋体" w:hAnsi="宋体"/>
          <w:b/>
          <w:bCs/>
          <w:color w:val="auto"/>
          <w:kern w:val="0"/>
          <w:szCs w:val="21"/>
          <w:highlight w:val="none"/>
          <w:lang w:val="en-US" w:eastAsia="zh-CN"/>
        </w:rPr>
        <w:t>选</w:t>
      </w:r>
      <w:r>
        <w:rPr>
          <w:rFonts w:hint="eastAsia" w:ascii="宋体" w:hAnsi="宋体"/>
          <w:b/>
          <w:bCs/>
          <w:color w:val="auto"/>
          <w:kern w:val="0"/>
          <w:szCs w:val="21"/>
          <w:highlight w:val="none"/>
        </w:rPr>
        <w:t>原则</w:t>
      </w:r>
    </w:p>
    <w:p w14:paraId="1125C113">
      <w:pPr>
        <w:spacing w:line="360" w:lineRule="exact"/>
        <w:ind w:firstLine="420" w:firstLineChars="200"/>
        <w:rPr>
          <w:rFonts w:hint="default" w:ascii="宋体" w:hAnsi="宋体" w:eastAsiaTheme="minorEastAsia"/>
          <w:bCs/>
          <w:color w:val="auto"/>
          <w:kern w:val="0"/>
          <w:szCs w:val="21"/>
          <w:highlight w:val="none"/>
          <w:lang w:val="en-US" w:eastAsia="zh-CN"/>
        </w:rPr>
      </w:pPr>
      <w:r>
        <w:rPr>
          <w:rFonts w:hint="eastAsia" w:ascii="宋体" w:hAnsi="宋体"/>
          <w:bCs/>
          <w:color w:val="auto"/>
          <w:kern w:val="0"/>
          <w:szCs w:val="21"/>
          <w:highlight w:val="none"/>
        </w:rPr>
        <w:t>（一）</w:t>
      </w:r>
      <w:r>
        <w:rPr>
          <w:rFonts w:hint="eastAsia" w:ascii="宋体" w:hAnsi="宋体"/>
          <w:bCs/>
          <w:color w:val="auto"/>
          <w:kern w:val="0"/>
          <w:szCs w:val="21"/>
          <w:highlight w:val="none"/>
          <w:lang w:val="en-US" w:eastAsia="zh-CN"/>
        </w:rPr>
        <w:t>评选</w:t>
      </w:r>
      <w:r>
        <w:rPr>
          <w:rFonts w:hint="eastAsia" w:ascii="宋体" w:hAnsi="宋体"/>
          <w:bCs/>
          <w:color w:val="auto"/>
          <w:kern w:val="0"/>
          <w:szCs w:val="21"/>
          <w:highlight w:val="none"/>
        </w:rPr>
        <w:t>小组构成：本项目的</w:t>
      </w:r>
      <w:r>
        <w:rPr>
          <w:rFonts w:hint="eastAsia" w:ascii="宋体" w:hAnsi="宋体"/>
          <w:bCs/>
          <w:color w:val="auto"/>
          <w:kern w:val="0"/>
          <w:szCs w:val="21"/>
          <w:highlight w:val="none"/>
          <w:lang w:val="en-US" w:eastAsia="zh-CN"/>
        </w:rPr>
        <w:t>评选</w:t>
      </w:r>
      <w:r>
        <w:rPr>
          <w:rFonts w:hint="eastAsia" w:ascii="宋体" w:hAnsi="宋体"/>
          <w:bCs/>
          <w:color w:val="auto"/>
          <w:kern w:val="0"/>
          <w:szCs w:val="21"/>
          <w:highlight w:val="none"/>
        </w:rPr>
        <w:t>小组由采购人</w:t>
      </w:r>
      <w:r>
        <w:rPr>
          <w:rFonts w:hint="eastAsia" w:ascii="宋体" w:hAnsi="宋体"/>
          <w:bCs/>
          <w:color w:val="auto"/>
          <w:kern w:val="0"/>
          <w:szCs w:val="21"/>
          <w:highlight w:val="none"/>
          <w:lang w:val="en-US" w:eastAsia="zh-CN"/>
        </w:rPr>
        <w:t>立项科室代表和采购人专家库成员</w:t>
      </w:r>
      <w:r>
        <w:rPr>
          <w:rFonts w:hint="eastAsia" w:ascii="宋体" w:hAnsi="宋体"/>
          <w:bCs/>
          <w:color w:val="auto"/>
          <w:kern w:val="0"/>
          <w:szCs w:val="21"/>
          <w:highlight w:val="none"/>
        </w:rPr>
        <w:t>组成</w:t>
      </w:r>
      <w:r>
        <w:rPr>
          <w:rFonts w:hint="eastAsia" w:ascii="宋体" w:hAnsi="宋体"/>
          <w:bCs/>
          <w:color w:val="auto"/>
          <w:kern w:val="0"/>
          <w:szCs w:val="21"/>
          <w:highlight w:val="none"/>
          <w:lang w:eastAsia="zh-CN"/>
        </w:rPr>
        <w:t>，</w:t>
      </w:r>
      <w:r>
        <w:rPr>
          <w:rFonts w:hint="eastAsia" w:ascii="宋体" w:hAnsi="宋体"/>
          <w:bCs/>
          <w:color w:val="auto"/>
          <w:kern w:val="0"/>
          <w:szCs w:val="21"/>
          <w:highlight w:val="none"/>
        </w:rPr>
        <w:t>成员人数为</w:t>
      </w:r>
      <w:r>
        <w:rPr>
          <w:rFonts w:hint="eastAsia" w:ascii="宋体" w:hAnsi="宋体"/>
          <w:bCs/>
          <w:color w:val="auto"/>
          <w:kern w:val="0"/>
          <w:szCs w:val="21"/>
          <w:highlight w:val="none"/>
          <w:lang w:val="en-US" w:eastAsia="zh-CN"/>
        </w:rPr>
        <w:t>3</w:t>
      </w:r>
      <w:r>
        <w:rPr>
          <w:rFonts w:hint="eastAsia" w:ascii="宋体" w:hAnsi="宋体"/>
          <w:bCs/>
          <w:color w:val="auto"/>
          <w:kern w:val="0"/>
          <w:szCs w:val="21"/>
          <w:highlight w:val="none"/>
        </w:rPr>
        <w:t>人</w:t>
      </w:r>
      <w:r>
        <w:rPr>
          <w:rFonts w:hint="eastAsia" w:ascii="宋体" w:hAnsi="宋体"/>
          <w:bCs/>
          <w:color w:val="auto"/>
          <w:kern w:val="0"/>
          <w:szCs w:val="21"/>
          <w:highlight w:val="none"/>
          <w:lang w:eastAsia="zh-CN"/>
        </w:rPr>
        <w:t>，</w:t>
      </w:r>
      <w:r>
        <w:rPr>
          <w:rFonts w:hint="eastAsia" w:ascii="宋体" w:hAnsi="宋体"/>
          <w:bCs/>
          <w:color w:val="auto"/>
          <w:kern w:val="0"/>
          <w:szCs w:val="21"/>
          <w:highlight w:val="none"/>
          <w:lang w:val="en-US" w:eastAsia="zh-CN"/>
        </w:rPr>
        <w:t>其中立项科室代表为1人。</w:t>
      </w:r>
    </w:p>
    <w:p w14:paraId="7328498E">
      <w:pPr>
        <w:spacing w:line="360" w:lineRule="exact"/>
        <w:ind w:firstLine="420" w:firstLineChars="200"/>
        <w:rPr>
          <w:rFonts w:ascii="宋体" w:hAnsi="宋体"/>
          <w:bCs/>
          <w:color w:val="auto"/>
          <w:kern w:val="0"/>
          <w:szCs w:val="21"/>
          <w:highlight w:val="none"/>
        </w:rPr>
      </w:pPr>
      <w:r>
        <w:rPr>
          <w:rFonts w:hint="eastAsia" w:ascii="宋体" w:hAnsi="宋体"/>
          <w:bCs/>
          <w:color w:val="auto"/>
          <w:kern w:val="0"/>
          <w:szCs w:val="21"/>
          <w:highlight w:val="none"/>
        </w:rPr>
        <w:t>（二）评</w:t>
      </w:r>
      <w:r>
        <w:rPr>
          <w:rFonts w:hint="eastAsia" w:ascii="宋体" w:hAnsi="宋体"/>
          <w:bCs/>
          <w:color w:val="auto"/>
          <w:kern w:val="0"/>
          <w:szCs w:val="21"/>
          <w:highlight w:val="none"/>
          <w:lang w:val="en-US" w:eastAsia="zh-CN"/>
        </w:rPr>
        <w:t>选</w:t>
      </w:r>
      <w:r>
        <w:rPr>
          <w:rFonts w:hint="eastAsia" w:ascii="宋体" w:hAnsi="宋体"/>
          <w:bCs/>
          <w:color w:val="auto"/>
          <w:kern w:val="0"/>
          <w:szCs w:val="21"/>
          <w:highlight w:val="none"/>
        </w:rPr>
        <w:t>依据：</w:t>
      </w:r>
      <w:r>
        <w:rPr>
          <w:rFonts w:hint="eastAsia" w:ascii="宋体" w:hAnsi="宋体"/>
          <w:bCs/>
          <w:color w:val="auto"/>
          <w:kern w:val="0"/>
          <w:szCs w:val="21"/>
          <w:highlight w:val="none"/>
          <w:lang w:val="en-US" w:eastAsia="zh-CN"/>
        </w:rPr>
        <w:t>评选</w:t>
      </w:r>
      <w:r>
        <w:rPr>
          <w:rFonts w:hint="eastAsia" w:ascii="宋体" w:hAnsi="宋体"/>
          <w:bCs/>
          <w:color w:val="auto"/>
          <w:kern w:val="0"/>
          <w:szCs w:val="21"/>
          <w:highlight w:val="none"/>
        </w:rPr>
        <w:t>小组将以</w:t>
      </w:r>
      <w:r>
        <w:rPr>
          <w:rFonts w:hint="eastAsia" w:ascii="宋体" w:hAnsi="宋体"/>
          <w:bCs/>
          <w:color w:val="auto"/>
          <w:kern w:val="0"/>
          <w:szCs w:val="21"/>
          <w:highlight w:val="none"/>
          <w:lang w:val="en-US" w:eastAsia="zh-CN"/>
        </w:rPr>
        <w:t>响应</w:t>
      </w:r>
      <w:r>
        <w:rPr>
          <w:rFonts w:hint="eastAsia" w:ascii="宋体" w:hAnsi="宋体"/>
          <w:bCs/>
          <w:color w:val="auto"/>
          <w:kern w:val="0"/>
          <w:szCs w:val="21"/>
          <w:highlight w:val="none"/>
        </w:rPr>
        <w:t>文件为评</w:t>
      </w:r>
      <w:r>
        <w:rPr>
          <w:rFonts w:hint="eastAsia" w:ascii="宋体" w:hAnsi="宋体"/>
          <w:bCs/>
          <w:color w:val="auto"/>
          <w:kern w:val="0"/>
          <w:szCs w:val="21"/>
          <w:highlight w:val="none"/>
          <w:lang w:val="en-US" w:eastAsia="zh-CN"/>
        </w:rPr>
        <w:t>选</w:t>
      </w:r>
      <w:r>
        <w:rPr>
          <w:rFonts w:hint="eastAsia" w:ascii="宋体" w:hAnsi="宋体"/>
          <w:bCs/>
          <w:color w:val="auto"/>
          <w:kern w:val="0"/>
          <w:szCs w:val="21"/>
          <w:highlight w:val="none"/>
        </w:rPr>
        <w:t>依据进行评审，对</w:t>
      </w:r>
      <w:r>
        <w:rPr>
          <w:rFonts w:hint="eastAsia" w:ascii="宋体" w:hAnsi="宋体"/>
          <w:bCs/>
          <w:color w:val="auto"/>
          <w:kern w:val="0"/>
          <w:szCs w:val="21"/>
          <w:highlight w:val="none"/>
          <w:lang w:val="en-US" w:eastAsia="zh-CN"/>
        </w:rPr>
        <w:t>响应</w:t>
      </w:r>
      <w:r>
        <w:rPr>
          <w:rFonts w:hint="eastAsia" w:ascii="宋体" w:hAnsi="宋体"/>
          <w:bCs/>
          <w:color w:val="auto"/>
          <w:kern w:val="0"/>
          <w:szCs w:val="21"/>
          <w:highlight w:val="none"/>
        </w:rPr>
        <w:t>供应商的报价、技术、商务等内容按百分制打分。</w:t>
      </w:r>
    </w:p>
    <w:p w14:paraId="57343592">
      <w:pPr>
        <w:spacing w:line="360" w:lineRule="exact"/>
        <w:ind w:firstLine="420" w:firstLineChars="200"/>
        <w:rPr>
          <w:rFonts w:ascii="宋体" w:hAnsi="宋体"/>
          <w:bCs/>
          <w:color w:val="auto"/>
          <w:kern w:val="0"/>
          <w:szCs w:val="21"/>
          <w:highlight w:val="none"/>
        </w:rPr>
      </w:pPr>
      <w:r>
        <w:rPr>
          <w:rFonts w:hint="eastAsia" w:ascii="宋体" w:hAnsi="宋体"/>
          <w:bCs/>
          <w:color w:val="auto"/>
          <w:kern w:val="0"/>
          <w:szCs w:val="21"/>
          <w:highlight w:val="none"/>
        </w:rPr>
        <w:t>（三）评标方法：综合评分法。</w:t>
      </w:r>
    </w:p>
    <w:p w14:paraId="00236FD8">
      <w:pPr>
        <w:spacing w:line="360" w:lineRule="exact"/>
        <w:ind w:firstLine="413" w:firstLineChars="196"/>
        <w:rPr>
          <w:rFonts w:hint="default" w:ascii="宋体" w:hAnsi="宋体" w:eastAsiaTheme="minorEastAsia"/>
          <w:b/>
          <w:bCs/>
          <w:color w:val="auto"/>
          <w:kern w:val="0"/>
          <w:szCs w:val="21"/>
          <w:highlight w:val="none"/>
          <w:lang w:val="en-US" w:eastAsia="zh-CN"/>
        </w:rPr>
      </w:pPr>
      <w:r>
        <w:rPr>
          <w:rFonts w:hint="eastAsia" w:ascii="宋体" w:hAnsi="宋体"/>
          <w:b/>
          <w:bCs/>
          <w:color w:val="auto"/>
          <w:kern w:val="0"/>
          <w:szCs w:val="21"/>
          <w:highlight w:val="none"/>
        </w:rPr>
        <w:t>二、评</w:t>
      </w:r>
      <w:r>
        <w:rPr>
          <w:rFonts w:hint="eastAsia" w:ascii="宋体" w:hAnsi="宋体"/>
          <w:b/>
          <w:bCs/>
          <w:color w:val="auto"/>
          <w:kern w:val="0"/>
          <w:szCs w:val="21"/>
          <w:highlight w:val="none"/>
          <w:lang w:val="en-US" w:eastAsia="zh-CN"/>
        </w:rPr>
        <w:t>选细则</w:t>
      </w:r>
    </w:p>
    <w:p w14:paraId="2B8545F5">
      <w:pPr>
        <w:spacing w:line="360" w:lineRule="exact"/>
        <w:ind w:firstLine="420" w:firstLineChars="200"/>
        <w:outlineLvl w:val="0"/>
        <w:rPr>
          <w:rFonts w:hint="eastAsia" w:ascii="宋体" w:hAnsi="宋体"/>
          <w:color w:val="auto"/>
          <w:kern w:val="0"/>
          <w:szCs w:val="21"/>
          <w:highlight w:val="none"/>
        </w:rPr>
      </w:pPr>
      <w:bookmarkStart w:id="0" w:name="_Toc940151"/>
      <w:bookmarkStart w:id="1" w:name="_Toc24280"/>
      <w:bookmarkStart w:id="2" w:name="_Toc31553"/>
      <w:r>
        <w:rPr>
          <w:rFonts w:hint="eastAsia" w:ascii="宋体" w:hAnsi="宋体"/>
          <w:color w:val="auto"/>
          <w:kern w:val="0"/>
          <w:szCs w:val="21"/>
          <w:highlight w:val="none"/>
        </w:rPr>
        <w:t>计分办法（</w:t>
      </w:r>
      <w:r>
        <w:rPr>
          <w:rFonts w:hint="eastAsia" w:ascii="宋体" w:hAnsi="宋体"/>
          <w:color w:val="auto"/>
          <w:kern w:val="0"/>
          <w:szCs w:val="21"/>
          <w:highlight w:val="none"/>
          <w:lang w:val="en-US" w:eastAsia="zh-CN"/>
        </w:rPr>
        <w:t>保留两位小数</w:t>
      </w:r>
      <w:r>
        <w:rPr>
          <w:rFonts w:hint="eastAsia" w:ascii="宋体" w:hAnsi="宋体"/>
          <w:color w:val="auto"/>
          <w:kern w:val="0"/>
          <w:szCs w:val="21"/>
          <w:highlight w:val="none"/>
        </w:rPr>
        <w:t>）：</w:t>
      </w:r>
      <w:bookmarkEnd w:id="0"/>
      <w:bookmarkEnd w:id="1"/>
      <w:bookmarkEnd w:id="2"/>
    </w:p>
    <w:tbl>
      <w:tblPr>
        <w:tblStyle w:val="17"/>
        <w:tblW w:w="93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7"/>
        <w:gridCol w:w="1065"/>
        <w:gridCol w:w="1758"/>
        <w:gridCol w:w="6016"/>
      </w:tblGrid>
      <w:tr w14:paraId="23B95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1592" w:type="dxa"/>
            <w:gridSpan w:val="2"/>
            <w:noWrap w:val="0"/>
            <w:vAlign w:val="center"/>
          </w:tcPr>
          <w:p w14:paraId="5197D372">
            <w:pPr>
              <w:adjustRightInd w:val="0"/>
              <w:spacing w:line="37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序号</w:t>
            </w:r>
          </w:p>
        </w:tc>
        <w:tc>
          <w:tcPr>
            <w:tcW w:w="1758" w:type="dxa"/>
            <w:noWrap w:val="0"/>
            <w:vAlign w:val="center"/>
          </w:tcPr>
          <w:p w14:paraId="61EE179C">
            <w:pPr>
              <w:adjustRightInd w:val="0"/>
              <w:spacing w:line="37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评分因素</w:t>
            </w:r>
          </w:p>
        </w:tc>
        <w:tc>
          <w:tcPr>
            <w:tcW w:w="6016" w:type="dxa"/>
            <w:noWrap w:val="0"/>
            <w:vAlign w:val="center"/>
          </w:tcPr>
          <w:p w14:paraId="445B5F21">
            <w:pPr>
              <w:adjustRightInd w:val="0"/>
              <w:spacing w:line="37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评分标准</w:t>
            </w:r>
          </w:p>
        </w:tc>
      </w:tr>
      <w:tr w14:paraId="176A1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7" w:type="dxa"/>
            <w:noWrap w:val="0"/>
            <w:vAlign w:val="center"/>
          </w:tcPr>
          <w:p w14:paraId="115A9B15">
            <w:pPr>
              <w:adjustRightInd w:val="0"/>
              <w:spacing w:line="40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1</w:t>
            </w:r>
          </w:p>
        </w:tc>
        <w:tc>
          <w:tcPr>
            <w:tcW w:w="1065" w:type="dxa"/>
            <w:noWrap w:val="0"/>
            <w:vAlign w:val="center"/>
          </w:tcPr>
          <w:p w14:paraId="1DBD260B">
            <w:pPr>
              <w:adjustRightInd w:val="0"/>
              <w:spacing w:line="40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价格分（满分</w:t>
            </w:r>
            <w:r>
              <w:rPr>
                <w:rFonts w:hint="eastAsia" w:ascii="宋体" w:hAnsi="宋体" w:cs="宋体"/>
                <w:b/>
                <w:color w:val="auto"/>
                <w:szCs w:val="21"/>
                <w:highlight w:val="none"/>
                <w:lang w:val="en-US" w:eastAsia="zh-CN"/>
              </w:rPr>
              <w:t>30</w:t>
            </w:r>
            <w:r>
              <w:rPr>
                <w:rFonts w:hint="eastAsia" w:ascii="宋体" w:hAnsi="宋体" w:cs="宋体"/>
                <w:b/>
                <w:color w:val="auto"/>
                <w:szCs w:val="21"/>
                <w:highlight w:val="none"/>
              </w:rPr>
              <w:t>分）</w:t>
            </w:r>
          </w:p>
        </w:tc>
        <w:tc>
          <w:tcPr>
            <w:tcW w:w="1758" w:type="dxa"/>
            <w:noWrap w:val="0"/>
            <w:vAlign w:val="center"/>
          </w:tcPr>
          <w:p w14:paraId="674B9750">
            <w:pPr>
              <w:adjustRightInd w:val="0"/>
              <w:spacing w:line="400" w:lineRule="exact"/>
              <w:jc w:val="center"/>
              <w:textAlignment w:val="baseline"/>
              <w:rPr>
                <w:rFonts w:hint="eastAsia" w:eastAsia="宋体"/>
                <w:lang w:eastAsia="zh-CN"/>
              </w:rPr>
            </w:pPr>
            <w:r>
              <w:rPr>
                <w:rFonts w:hint="eastAsia" w:ascii="宋体" w:hAnsi="宋体" w:cs="宋体"/>
                <w:b/>
                <w:color w:val="auto"/>
                <w:szCs w:val="21"/>
                <w:highlight w:val="none"/>
                <w:lang w:val="en-US" w:eastAsia="zh-CN"/>
              </w:rPr>
              <w:t>响应</w:t>
            </w:r>
            <w:r>
              <w:rPr>
                <w:rFonts w:hint="eastAsia" w:ascii="宋体" w:hAnsi="宋体" w:cs="宋体"/>
                <w:b/>
                <w:color w:val="auto"/>
                <w:szCs w:val="21"/>
                <w:highlight w:val="none"/>
              </w:rPr>
              <w:t>报价</w:t>
            </w:r>
          </w:p>
        </w:tc>
        <w:tc>
          <w:tcPr>
            <w:tcW w:w="6016" w:type="dxa"/>
            <w:noWrap w:val="0"/>
            <w:vAlign w:val="center"/>
          </w:tcPr>
          <w:p w14:paraId="663E699E">
            <w:pPr>
              <w:numPr>
                <w:ilvl w:val="0"/>
                <w:numId w:val="0"/>
              </w:numPr>
              <w:bidi w:val="0"/>
              <w:rPr>
                <w:rFonts w:hint="eastAsia" w:asciiTheme="minorEastAsia" w:hAnsiTheme="minorEastAsia" w:eastAsiaTheme="minorEastAsia" w:cstheme="minorEastAsia"/>
              </w:rPr>
            </w:pPr>
            <w:r>
              <w:rPr>
                <w:rFonts w:hint="eastAsia" w:asciiTheme="minorEastAsia" w:hAnsiTheme="minorEastAsia" w:eastAsiaTheme="minorEastAsia" w:cstheme="minorEastAsia"/>
                <w:kern w:val="2"/>
                <w:sz w:val="21"/>
                <w:szCs w:val="22"/>
                <w:lang w:val="en-US" w:eastAsia="zh-CN" w:bidi="ar-SA"/>
              </w:rPr>
              <w:t>1.</w:t>
            </w:r>
            <w:r>
              <w:rPr>
                <w:rFonts w:hint="eastAsia" w:asciiTheme="minorEastAsia" w:hAnsiTheme="minorEastAsia" w:eastAsiaTheme="minorEastAsia" w:cstheme="minorEastAsia"/>
              </w:rPr>
              <w:t>评标基准价为满足</w:t>
            </w:r>
            <w:r>
              <w:rPr>
                <w:rFonts w:hint="eastAsia" w:asciiTheme="minorEastAsia" w:hAnsiTheme="minorEastAsia" w:eastAsiaTheme="minorEastAsia" w:cstheme="minorEastAsia"/>
                <w:lang w:val="en-US" w:eastAsia="zh-CN"/>
              </w:rPr>
              <w:t>采购文件</w:t>
            </w:r>
            <w:r>
              <w:rPr>
                <w:rFonts w:hint="eastAsia" w:asciiTheme="minorEastAsia" w:hAnsiTheme="minorEastAsia" w:eastAsiaTheme="minorEastAsia" w:cstheme="minorEastAsia"/>
              </w:rPr>
              <w:t>要求且通过符合性审查的最低有效</w:t>
            </w:r>
            <w:r>
              <w:rPr>
                <w:rFonts w:hint="eastAsia" w:asciiTheme="minorEastAsia" w:hAnsiTheme="minorEastAsia" w:eastAsiaTheme="minorEastAsia" w:cstheme="minorEastAsia"/>
                <w:lang w:val="en-US" w:eastAsia="zh-CN"/>
              </w:rPr>
              <w:t>响应</w:t>
            </w:r>
            <w:r>
              <w:rPr>
                <w:rFonts w:hint="eastAsia" w:asciiTheme="minorEastAsia" w:hAnsiTheme="minorEastAsia" w:eastAsiaTheme="minorEastAsia" w:cstheme="minorEastAsia"/>
              </w:rPr>
              <w:t>报价。</w:t>
            </w:r>
          </w:p>
          <w:p w14:paraId="4C39BBE4">
            <w:pPr>
              <w:numPr>
                <w:ilvl w:val="0"/>
                <w:numId w:val="0"/>
              </w:numPr>
              <w:bidi w:val="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2.响应</w:t>
            </w:r>
            <w:r>
              <w:rPr>
                <w:rFonts w:hint="eastAsia" w:asciiTheme="minorEastAsia" w:hAnsiTheme="minorEastAsia" w:eastAsiaTheme="minorEastAsia" w:cstheme="minorEastAsia"/>
              </w:rPr>
              <w:t>报价超过</w:t>
            </w:r>
            <w:r>
              <w:rPr>
                <w:rFonts w:hint="eastAsia" w:asciiTheme="minorEastAsia" w:hAnsiTheme="minorEastAsia" w:eastAsiaTheme="minorEastAsia" w:cstheme="minorEastAsia"/>
                <w:lang w:val="en-US" w:eastAsia="zh-CN"/>
              </w:rPr>
              <w:t>项目最高限价</w:t>
            </w:r>
            <w:r>
              <w:rPr>
                <w:rFonts w:hint="eastAsia" w:asciiTheme="minorEastAsia" w:hAnsiTheme="minorEastAsia" w:eastAsiaTheme="minorEastAsia" w:cstheme="minorEastAsia"/>
              </w:rPr>
              <w:t>的为无效</w:t>
            </w:r>
            <w:r>
              <w:rPr>
                <w:rFonts w:hint="eastAsia" w:asciiTheme="minorEastAsia" w:hAnsiTheme="minorEastAsia" w:eastAsiaTheme="minorEastAsia" w:cstheme="minorEastAsia"/>
                <w:lang w:val="en-US" w:eastAsia="zh-CN"/>
              </w:rPr>
              <w:t>响应</w:t>
            </w:r>
            <w:r>
              <w:rPr>
                <w:rFonts w:hint="eastAsia" w:asciiTheme="minorEastAsia" w:hAnsiTheme="minorEastAsia" w:eastAsiaTheme="minorEastAsia" w:cstheme="minorEastAsia"/>
              </w:rPr>
              <w:t>。</w:t>
            </w:r>
          </w:p>
          <w:p w14:paraId="739273F1">
            <w:pPr>
              <w:numPr>
                <w:ilvl w:val="0"/>
                <w:numId w:val="0"/>
              </w:numPr>
              <w:bidi w:val="0"/>
              <w:rPr>
                <w:rFonts w:hint="eastAsia" w:asciiTheme="minorEastAsia" w:hAnsiTheme="minorEastAsia" w:eastAsiaTheme="minorEastAsia" w:cstheme="minorEastAsia"/>
              </w:rPr>
            </w:pPr>
            <w:r>
              <w:rPr>
                <w:rFonts w:hint="eastAsia" w:asciiTheme="minorEastAsia" w:hAnsiTheme="minorEastAsia" w:eastAsiaTheme="minorEastAsia" w:cstheme="minorEastAsia"/>
                <w:kern w:val="2"/>
                <w:sz w:val="21"/>
                <w:szCs w:val="22"/>
                <w:lang w:val="en-US" w:eastAsia="zh-CN" w:bidi="ar-SA"/>
              </w:rPr>
              <w:t>3.</w:t>
            </w:r>
            <w:r>
              <w:rPr>
                <w:rFonts w:hint="eastAsia" w:asciiTheme="minorEastAsia" w:hAnsiTheme="minorEastAsia" w:eastAsiaTheme="minorEastAsia" w:cstheme="minorEastAsia"/>
              </w:rPr>
              <w:t>价格分公式计算：</w:t>
            </w:r>
          </w:p>
          <w:p w14:paraId="0703EEA9">
            <w:pPr>
              <w:spacing w:line="400" w:lineRule="exact"/>
              <w:ind w:firstLine="2940" w:firstLineChars="1400"/>
              <w:jc w:val="left"/>
              <w:rPr>
                <w:rFonts w:hint="default" w:ascii="宋体" w:hAnsi="宋体" w:cs="宋体" w:eastAsiaTheme="minorEastAsia"/>
                <w:color w:val="auto"/>
                <w:szCs w:val="21"/>
                <w:highlight w:val="none"/>
                <w:lang w:val="en-US" w:eastAsia="zh-CN"/>
              </w:rPr>
            </w:pPr>
            <w:r>
              <w:rPr>
                <w:rFonts w:hint="eastAsia" w:ascii="宋体" w:hAnsi="宋体" w:cs="宋体"/>
                <w:color w:val="auto"/>
                <w:szCs w:val="21"/>
                <w:highlight w:val="none"/>
                <w:lang w:val="en-US" w:eastAsia="zh-CN"/>
              </w:rPr>
              <w:t>评标基准价</w:t>
            </w:r>
          </w:p>
          <w:p w14:paraId="26FA0F5C">
            <w:pPr>
              <w:spacing w:line="400" w:lineRule="exact"/>
              <w:jc w:val="left"/>
              <w:rPr>
                <w:rFonts w:ascii="宋体" w:hAnsi="宋体" w:cs="宋体"/>
                <w:color w:val="auto"/>
                <w:szCs w:val="21"/>
                <w:highlight w:val="none"/>
              </w:rPr>
            </w:pPr>
            <w:r>
              <w:rPr>
                <w:rFonts w:ascii="宋体" w:hAnsi="宋体" w:cs="宋体"/>
                <w:color w:val="auto"/>
                <w:szCs w:val="21"/>
                <w:highlight w:val="none"/>
              </w:rPr>
              <mc:AlternateContent>
                <mc:Choice Requires="wps">
                  <w:drawing>
                    <wp:anchor distT="0" distB="0" distL="114300" distR="114300" simplePos="0" relativeHeight="251660288" behindDoc="0" locked="0" layoutInCell="1" allowOverlap="1">
                      <wp:simplePos x="0" y="0"/>
                      <wp:positionH relativeFrom="column">
                        <wp:posOffset>1379220</wp:posOffset>
                      </wp:positionH>
                      <wp:positionV relativeFrom="paragraph">
                        <wp:posOffset>145415</wp:posOffset>
                      </wp:positionV>
                      <wp:extent cx="1696085" cy="1270"/>
                      <wp:effectExtent l="0" t="0" r="0" b="0"/>
                      <wp:wrapNone/>
                      <wp:docPr id="6" name="直接箭头连接符 6"/>
                      <wp:cNvGraphicFramePr/>
                      <a:graphic xmlns:a="http://schemas.openxmlformats.org/drawingml/2006/main">
                        <a:graphicData uri="http://schemas.microsoft.com/office/word/2010/wordprocessingShape">
                          <wps:wsp>
                            <wps:cNvCnPr/>
                            <wps:spPr>
                              <a:xfrm flipV="1">
                                <a:off x="0" y="0"/>
                                <a:ext cx="1696085" cy="1270"/>
                              </a:xfrm>
                              <a:prstGeom prst="straightConnector1">
                                <a:avLst/>
                              </a:prstGeom>
                              <a:ln w="9525" cap="flat" cmpd="sng">
                                <a:solidFill>
                                  <a:srgbClr val="000000"/>
                                </a:solidFill>
                                <a:prstDash val="solid"/>
                                <a:headEnd type="none" w="med" len="med"/>
                                <a:tailEnd type="none" w="med" len="med"/>
                              </a:ln>
                              <a:effectLst/>
                            </wps:spPr>
                            <wps:bodyPr/>
                          </wps:wsp>
                        </a:graphicData>
                      </a:graphic>
                    </wp:anchor>
                  </w:drawing>
                </mc:Choice>
                <mc:Fallback>
                  <w:pict>
                    <v:shape id="_x0000_s1026" o:spid="_x0000_s1026" o:spt="32" type="#_x0000_t32" style="position:absolute;left:0pt;flip:y;margin-left:108.6pt;margin-top:11.45pt;height:0.1pt;width:133.55pt;z-index:251660288;mso-width-relative:page;mso-height-relative:page;" filled="f" stroked="t" coordsize="21600,21600" o:gfxdata="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DCZBZC1wAAAAkBAAAPAAAAAAAAAAEAIAAA&#10;ACIAAABkcnMvZG93bnJldi54bWxQSwECFAAUAAAACACHTuJAABqS2A0CAAAHBAAADgAAAAAAAAAB&#10;ACAAAAAmAQAAZHJzL2Uyb0RvYy54bWxQSwUGAAAAAAYABgBZAQAApQUAAAAA&#10;">
                      <v:fill on="f" focussize="0,0"/>
                      <v:stroke color="#000000" joinstyle="round"/>
                      <v:imagedata o:title=""/>
                      <o:lock v:ext="edit" aspectratio="f"/>
                    </v:shape>
                  </w:pict>
                </mc:Fallback>
              </mc:AlternateContent>
            </w:r>
            <w:r>
              <w:rPr>
                <w:rFonts w:hint="eastAsia" w:ascii="宋体" w:hAnsi="宋体" w:cs="宋体"/>
                <w:color w:val="auto"/>
                <w:szCs w:val="21"/>
                <w:highlight w:val="none"/>
              </w:rPr>
              <w:t>某</w:t>
            </w:r>
            <w:r>
              <w:rPr>
                <w:rFonts w:hint="eastAsia" w:ascii="宋体" w:hAnsi="宋体" w:cs="宋体"/>
                <w:color w:val="auto"/>
                <w:szCs w:val="21"/>
                <w:highlight w:val="none"/>
                <w:lang w:val="en-US" w:eastAsia="zh-CN"/>
              </w:rPr>
              <w:t>响应</w:t>
            </w:r>
            <w:r>
              <w:rPr>
                <w:rFonts w:hint="eastAsia" w:ascii="宋体" w:hAnsi="宋体" w:cs="宋体"/>
                <w:color w:val="auto"/>
                <w:szCs w:val="21"/>
                <w:highlight w:val="none"/>
              </w:rPr>
              <w:t xml:space="preserve">供应商价格分＝                           × </w:t>
            </w:r>
            <w:r>
              <w:rPr>
                <w:rFonts w:hint="eastAsia" w:ascii="宋体" w:hAnsi="宋体" w:cs="宋体"/>
                <w:color w:val="auto"/>
                <w:szCs w:val="21"/>
                <w:highlight w:val="none"/>
                <w:lang w:val="en-US" w:eastAsia="zh-CN"/>
              </w:rPr>
              <w:t>30</w:t>
            </w:r>
            <w:r>
              <w:rPr>
                <w:rFonts w:hint="eastAsia" w:ascii="宋体" w:hAnsi="宋体" w:cs="宋体"/>
                <w:color w:val="auto"/>
                <w:szCs w:val="21"/>
                <w:highlight w:val="none"/>
              </w:rPr>
              <w:t xml:space="preserve"> 分</w:t>
            </w:r>
          </w:p>
          <w:p w14:paraId="6A4C5E37">
            <w:pPr>
              <w:spacing w:line="400" w:lineRule="exact"/>
              <w:ind w:firstLine="2520" w:firstLineChars="1200"/>
              <w:jc w:val="left"/>
              <w:rPr>
                <w:rFonts w:hAnsi="宋体"/>
                <w:color w:val="auto"/>
                <w:highlight w:val="none"/>
              </w:rPr>
            </w:pPr>
            <w:r>
              <w:rPr>
                <w:rFonts w:hint="eastAsia" w:ascii="宋体" w:hAnsi="宋体" w:cs="宋体"/>
                <w:color w:val="auto"/>
                <w:szCs w:val="21"/>
                <w:highlight w:val="none"/>
              </w:rPr>
              <w:t>某</w:t>
            </w:r>
            <w:r>
              <w:rPr>
                <w:rFonts w:hint="eastAsia" w:ascii="宋体" w:hAnsi="宋体" w:cs="宋体"/>
                <w:color w:val="auto"/>
                <w:szCs w:val="21"/>
                <w:highlight w:val="none"/>
                <w:lang w:val="en-US" w:eastAsia="zh-CN"/>
              </w:rPr>
              <w:t>响应</w:t>
            </w:r>
            <w:r>
              <w:rPr>
                <w:rFonts w:hint="eastAsia" w:ascii="宋体" w:hAnsi="宋体" w:cs="宋体"/>
                <w:color w:val="auto"/>
                <w:szCs w:val="21"/>
                <w:highlight w:val="none"/>
              </w:rPr>
              <w:t>供应商</w:t>
            </w:r>
            <w:r>
              <w:rPr>
                <w:rFonts w:hint="eastAsia" w:ascii="宋体" w:hAnsi="宋体" w:cs="宋体"/>
                <w:color w:val="auto"/>
                <w:szCs w:val="21"/>
                <w:highlight w:val="none"/>
                <w:lang w:val="en-US" w:eastAsia="zh-CN"/>
              </w:rPr>
              <w:t>响应报价</w:t>
            </w:r>
          </w:p>
          <w:p w14:paraId="2B9D7CAC">
            <w:pPr>
              <w:spacing w:line="400" w:lineRule="exact"/>
              <w:rPr>
                <w:rFonts w:hint="eastAsia" w:ascii="宋体" w:hAnsi="宋体" w:cs="宋体"/>
                <w:bCs/>
                <w:color w:val="auto"/>
                <w:szCs w:val="21"/>
                <w:highlight w:val="none"/>
              </w:rPr>
            </w:pPr>
          </w:p>
          <w:p w14:paraId="2E686242">
            <w:pPr>
              <w:spacing w:line="400" w:lineRule="exact"/>
              <w:rPr>
                <w:rFonts w:hint="eastAsia" w:ascii="宋体" w:hAnsi="宋体" w:cs="宋体"/>
                <w:bCs/>
                <w:color w:val="auto"/>
                <w:szCs w:val="21"/>
                <w:highlight w:val="none"/>
              </w:rPr>
            </w:pPr>
            <w:r>
              <w:rPr>
                <w:rFonts w:hint="eastAsia" w:ascii="宋体" w:hAnsi="宋体" w:cs="宋体"/>
                <w:bCs/>
                <w:color w:val="auto"/>
                <w:szCs w:val="21"/>
                <w:highlight w:val="none"/>
              </w:rPr>
              <w:t>注：</w:t>
            </w:r>
            <w:r>
              <w:rPr>
                <w:rFonts w:hint="eastAsia" w:ascii="宋体" w:hAnsi="宋体" w:cs="宋体"/>
                <w:bCs/>
                <w:color w:val="auto"/>
                <w:szCs w:val="21"/>
                <w:highlight w:val="none"/>
                <w:lang w:val="en-US" w:eastAsia="zh-CN"/>
              </w:rPr>
              <w:t>评选</w:t>
            </w:r>
            <w:r>
              <w:rPr>
                <w:rFonts w:hint="eastAsia" w:ascii="宋体" w:hAnsi="宋体" w:cs="宋体"/>
                <w:bCs/>
                <w:color w:val="auto"/>
                <w:szCs w:val="21"/>
                <w:highlight w:val="none"/>
              </w:rPr>
              <w:t>小组认为某供应商的报价明显低于其他通过符合性审查供应商的报价，有可能影响服务质量或者不能诚信履约的，应当要求其提供书面说明，必要时提交相关证明材料；供应商不能证明其报价合理性的，</w:t>
            </w:r>
            <w:r>
              <w:rPr>
                <w:rFonts w:hint="eastAsia" w:ascii="宋体" w:hAnsi="宋体" w:cs="宋体"/>
                <w:bCs/>
                <w:color w:val="auto"/>
                <w:szCs w:val="21"/>
                <w:highlight w:val="none"/>
                <w:lang w:val="en-US" w:eastAsia="zh-CN"/>
              </w:rPr>
              <w:t>评选</w:t>
            </w:r>
            <w:r>
              <w:rPr>
                <w:rFonts w:hint="eastAsia" w:ascii="宋体" w:hAnsi="宋体" w:cs="宋体"/>
                <w:bCs/>
                <w:color w:val="auto"/>
                <w:szCs w:val="21"/>
                <w:highlight w:val="none"/>
              </w:rPr>
              <w:t>小组应当将其作为无效</w:t>
            </w:r>
            <w:r>
              <w:rPr>
                <w:rFonts w:hint="eastAsia" w:ascii="宋体" w:hAnsi="宋体" w:cs="宋体"/>
                <w:bCs/>
                <w:color w:val="auto"/>
                <w:szCs w:val="21"/>
                <w:highlight w:val="none"/>
                <w:lang w:val="en-US" w:eastAsia="zh-CN"/>
              </w:rPr>
              <w:t>响应</w:t>
            </w:r>
            <w:r>
              <w:rPr>
                <w:rFonts w:hint="eastAsia" w:ascii="宋体" w:hAnsi="宋体" w:cs="宋体"/>
                <w:bCs/>
                <w:color w:val="auto"/>
                <w:szCs w:val="21"/>
                <w:highlight w:val="none"/>
              </w:rPr>
              <w:t>处理。</w:t>
            </w:r>
          </w:p>
          <w:p w14:paraId="40F150B7">
            <w:pPr>
              <w:pStyle w:val="41"/>
            </w:pPr>
          </w:p>
        </w:tc>
      </w:tr>
      <w:tr w14:paraId="0EC8F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527" w:type="dxa"/>
            <w:vMerge w:val="restart"/>
            <w:noWrap w:val="0"/>
            <w:vAlign w:val="center"/>
          </w:tcPr>
          <w:p w14:paraId="198A698C">
            <w:pPr>
              <w:adjustRightInd w:val="0"/>
              <w:snapToGrid w:val="0"/>
              <w:spacing w:line="400" w:lineRule="exact"/>
              <w:jc w:val="center"/>
              <w:textAlignment w:val="baseline"/>
              <w:rPr>
                <w:rFonts w:hint="eastAsia" w:ascii="宋体" w:hAnsi="宋体" w:cs="宋体" w:eastAsiaTheme="minorEastAsia"/>
                <w:b/>
                <w:color w:val="auto"/>
                <w:szCs w:val="21"/>
                <w:highlight w:val="none"/>
                <w:lang w:val="en-US" w:eastAsia="zh-CN"/>
              </w:rPr>
            </w:pPr>
            <w:r>
              <w:rPr>
                <w:rFonts w:hint="eastAsia" w:ascii="宋体" w:hAnsi="宋体" w:cs="宋体"/>
                <w:b/>
                <w:color w:val="auto"/>
                <w:szCs w:val="21"/>
                <w:highlight w:val="none"/>
                <w:lang w:val="en-US" w:eastAsia="zh-CN"/>
              </w:rPr>
              <w:t>2</w:t>
            </w:r>
          </w:p>
        </w:tc>
        <w:tc>
          <w:tcPr>
            <w:tcW w:w="1065" w:type="dxa"/>
            <w:vMerge w:val="restart"/>
            <w:noWrap w:val="0"/>
            <w:vAlign w:val="center"/>
          </w:tcPr>
          <w:p w14:paraId="417F054B">
            <w:pPr>
              <w:snapToGrid w:val="0"/>
              <w:spacing w:line="400" w:lineRule="exact"/>
              <w:jc w:val="center"/>
              <w:rPr>
                <w:rFonts w:hint="eastAsia" w:ascii="宋体" w:hAnsi="宋体" w:cs="宋体"/>
                <w:b/>
                <w:color w:val="auto"/>
                <w:spacing w:val="-2"/>
                <w:szCs w:val="21"/>
                <w:highlight w:val="none"/>
              </w:rPr>
            </w:pPr>
            <w:r>
              <w:rPr>
                <w:rFonts w:hint="eastAsia" w:ascii="宋体" w:hAnsi="宋体" w:cs="宋体"/>
                <w:b/>
                <w:color w:val="auto"/>
                <w:spacing w:val="-2"/>
                <w:szCs w:val="21"/>
                <w:highlight w:val="none"/>
              </w:rPr>
              <w:t>技术分</w:t>
            </w:r>
          </w:p>
          <w:p w14:paraId="3CDFB88A">
            <w:pPr>
              <w:snapToGrid w:val="0"/>
              <w:spacing w:line="400" w:lineRule="exact"/>
              <w:jc w:val="center"/>
              <w:rPr>
                <w:rFonts w:ascii="宋体" w:hAnsi="宋体" w:cs="宋体"/>
                <w:b/>
                <w:color w:val="auto"/>
                <w:spacing w:val="-2"/>
                <w:szCs w:val="21"/>
                <w:highlight w:val="none"/>
              </w:rPr>
            </w:pPr>
            <w:r>
              <w:rPr>
                <w:rFonts w:hint="eastAsia" w:ascii="宋体" w:hAnsi="宋体" w:cs="宋体"/>
                <w:b/>
                <w:color w:val="auto"/>
                <w:spacing w:val="-2"/>
                <w:szCs w:val="21"/>
                <w:highlight w:val="none"/>
              </w:rPr>
              <w:t>（满分</w:t>
            </w:r>
            <w:r>
              <w:rPr>
                <w:rFonts w:hint="eastAsia" w:ascii="宋体" w:hAnsi="宋体" w:cs="宋体"/>
                <w:b/>
                <w:color w:val="auto"/>
                <w:spacing w:val="-2"/>
                <w:szCs w:val="21"/>
                <w:highlight w:val="none"/>
                <w:lang w:val="en-US" w:eastAsia="zh-CN"/>
              </w:rPr>
              <w:t>54</w:t>
            </w:r>
            <w:r>
              <w:rPr>
                <w:rFonts w:hint="eastAsia" w:ascii="宋体" w:hAnsi="宋体" w:cs="宋体"/>
                <w:b/>
                <w:color w:val="auto"/>
                <w:spacing w:val="-2"/>
                <w:szCs w:val="21"/>
                <w:highlight w:val="none"/>
              </w:rPr>
              <w:t>分）</w:t>
            </w:r>
          </w:p>
        </w:tc>
        <w:tc>
          <w:tcPr>
            <w:tcW w:w="1758" w:type="dxa"/>
            <w:noWrap w:val="0"/>
            <w:vAlign w:val="center"/>
          </w:tcPr>
          <w:p w14:paraId="011389D5">
            <w:pPr>
              <w:snapToGrid w:val="0"/>
              <w:spacing w:line="380" w:lineRule="exact"/>
              <w:rPr>
                <w:rFonts w:hint="eastAsia" w:ascii="宋体" w:hAnsi="宋体" w:cs="宋体" w:eastAsiaTheme="minorEastAsia"/>
                <w:b/>
                <w:color w:val="auto"/>
                <w:kern w:val="2"/>
                <w:sz w:val="21"/>
                <w:szCs w:val="21"/>
                <w:highlight w:val="none"/>
                <w:lang w:val="en-US" w:eastAsia="zh-CN" w:bidi="ar-SA"/>
              </w:rPr>
            </w:pPr>
            <w:r>
              <w:rPr>
                <w:rFonts w:hint="eastAsia" w:ascii="宋体" w:hAnsi="宋体" w:cs="宋体"/>
                <w:b/>
                <w:color w:val="auto"/>
                <w:szCs w:val="21"/>
                <w:highlight w:val="none"/>
                <w:lang w:val="en-US" w:eastAsia="zh-CN"/>
              </w:rPr>
              <w:t>设计方案分（满分30分）</w:t>
            </w:r>
          </w:p>
        </w:tc>
        <w:tc>
          <w:tcPr>
            <w:tcW w:w="6016" w:type="dxa"/>
            <w:noWrap w:val="0"/>
            <w:vAlign w:val="center"/>
          </w:tcPr>
          <w:p w14:paraId="0A463D1B">
            <w:pPr>
              <w:adjustRightInd w:val="0"/>
              <w:spacing w:line="360" w:lineRule="exact"/>
              <w:jc w:val="left"/>
              <w:textAlignment w:val="baseline"/>
              <w:rPr>
                <w:rFonts w:hint="eastAsia"/>
                <w:bCs/>
                <w:color w:val="auto"/>
                <w:highlight w:val="none"/>
              </w:rPr>
            </w:pPr>
            <w:r>
              <w:rPr>
                <w:rFonts w:hint="eastAsia"/>
                <w:bCs/>
                <w:color w:val="auto"/>
                <w:highlight w:val="none"/>
              </w:rPr>
              <w:t>一档（</w:t>
            </w:r>
            <w:r>
              <w:rPr>
                <w:rFonts w:hint="eastAsia"/>
                <w:bCs/>
                <w:color w:val="auto"/>
                <w:highlight w:val="none"/>
                <w:lang w:val="en-US" w:eastAsia="zh-CN"/>
              </w:rPr>
              <w:t>10</w:t>
            </w:r>
            <w:r>
              <w:rPr>
                <w:rFonts w:hint="eastAsia"/>
                <w:bCs/>
                <w:color w:val="auto"/>
                <w:highlight w:val="none"/>
              </w:rPr>
              <w:t>分）：提供简单的设计方案，对献血退役纪念杯（牌）及生日献血纪念徽章有简单的描述；</w:t>
            </w:r>
          </w:p>
          <w:p w14:paraId="09447972">
            <w:pPr>
              <w:adjustRightInd w:val="0"/>
              <w:spacing w:line="360" w:lineRule="exact"/>
              <w:jc w:val="left"/>
              <w:textAlignment w:val="baseline"/>
              <w:rPr>
                <w:rFonts w:hint="eastAsia"/>
                <w:bCs/>
                <w:color w:val="auto"/>
                <w:highlight w:val="none"/>
              </w:rPr>
            </w:pPr>
            <w:r>
              <w:rPr>
                <w:rFonts w:hint="eastAsia"/>
                <w:bCs/>
                <w:color w:val="auto"/>
                <w:highlight w:val="none"/>
              </w:rPr>
              <w:t>二档（</w:t>
            </w:r>
            <w:r>
              <w:rPr>
                <w:rFonts w:hint="eastAsia"/>
                <w:bCs/>
                <w:color w:val="auto"/>
                <w:highlight w:val="none"/>
                <w:lang w:val="en-US" w:eastAsia="zh-CN"/>
              </w:rPr>
              <w:t>20</w:t>
            </w:r>
            <w:r>
              <w:rPr>
                <w:rFonts w:hint="eastAsia"/>
                <w:bCs/>
                <w:color w:val="auto"/>
                <w:highlight w:val="none"/>
              </w:rPr>
              <w:t>分）：设计方案优于一档，对献血退役纪念杯（牌）及生日献血纪念徽章有较详细的描述，包含设计理念等内容；</w:t>
            </w:r>
          </w:p>
          <w:p w14:paraId="6B5FB1D9">
            <w:pPr>
              <w:adjustRightInd w:val="0"/>
              <w:spacing w:line="360" w:lineRule="exact"/>
              <w:jc w:val="left"/>
              <w:textAlignment w:val="baseline"/>
              <w:rPr>
                <w:rFonts w:hint="eastAsia"/>
                <w:bCs/>
                <w:color w:val="auto"/>
                <w:highlight w:val="none"/>
              </w:rPr>
            </w:pPr>
            <w:r>
              <w:rPr>
                <w:rFonts w:hint="eastAsia"/>
                <w:bCs/>
                <w:color w:val="auto"/>
                <w:highlight w:val="none"/>
              </w:rPr>
              <w:t>三档（</w:t>
            </w:r>
            <w:r>
              <w:rPr>
                <w:rFonts w:hint="eastAsia"/>
                <w:bCs/>
                <w:color w:val="auto"/>
                <w:highlight w:val="none"/>
                <w:lang w:val="en-US" w:eastAsia="zh-CN"/>
              </w:rPr>
              <w:t>30</w:t>
            </w:r>
            <w:r>
              <w:rPr>
                <w:rFonts w:hint="eastAsia"/>
                <w:bCs/>
                <w:color w:val="auto"/>
                <w:highlight w:val="none"/>
              </w:rPr>
              <w:t>分）：设计方案优于二档，对献血退役纪念杯（牌）及生日献血纪念徽章有详细的描述，包含设计理念、外观设计、功能设计等内容，根据使用场景和采购人要求，设计方案符合实际需求。</w:t>
            </w:r>
          </w:p>
          <w:p w14:paraId="4599D478">
            <w:pPr>
              <w:adjustRightInd w:val="0"/>
              <w:spacing w:line="360" w:lineRule="exact"/>
              <w:jc w:val="left"/>
              <w:textAlignment w:val="baseline"/>
              <w:rPr>
                <w:rFonts w:hint="default"/>
                <w:bCs/>
                <w:color w:val="auto"/>
                <w:highlight w:val="none"/>
                <w:lang w:val="en-US" w:eastAsia="zh-CN"/>
              </w:rPr>
            </w:pPr>
            <w:r>
              <w:rPr>
                <w:rFonts w:hint="eastAsia"/>
                <w:bCs/>
                <w:color w:val="auto"/>
                <w:highlight w:val="none"/>
              </w:rPr>
              <w:t>注：未提供或不满足进档要求不得分。</w:t>
            </w:r>
          </w:p>
        </w:tc>
      </w:tr>
      <w:tr w14:paraId="4E12B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527" w:type="dxa"/>
            <w:vMerge w:val="continue"/>
            <w:noWrap w:val="0"/>
            <w:vAlign w:val="center"/>
          </w:tcPr>
          <w:p w14:paraId="0B33C6FC">
            <w:pPr>
              <w:adjustRightInd w:val="0"/>
              <w:snapToGrid w:val="0"/>
              <w:spacing w:line="400" w:lineRule="exact"/>
              <w:jc w:val="center"/>
              <w:textAlignment w:val="baseline"/>
              <w:rPr>
                <w:rFonts w:ascii="宋体" w:hAnsi="宋体" w:cs="宋体"/>
                <w:b/>
                <w:color w:val="auto"/>
                <w:szCs w:val="21"/>
                <w:highlight w:val="none"/>
              </w:rPr>
            </w:pPr>
          </w:p>
        </w:tc>
        <w:tc>
          <w:tcPr>
            <w:tcW w:w="1065" w:type="dxa"/>
            <w:vMerge w:val="continue"/>
            <w:noWrap w:val="0"/>
            <w:vAlign w:val="center"/>
          </w:tcPr>
          <w:p w14:paraId="5AFB1E29">
            <w:pPr>
              <w:snapToGrid w:val="0"/>
              <w:spacing w:line="400" w:lineRule="exact"/>
              <w:jc w:val="center"/>
              <w:rPr>
                <w:rFonts w:ascii="宋体" w:hAnsi="宋体" w:cs="宋体"/>
                <w:b/>
                <w:color w:val="auto"/>
                <w:spacing w:val="-2"/>
                <w:szCs w:val="21"/>
                <w:highlight w:val="none"/>
              </w:rPr>
            </w:pPr>
          </w:p>
        </w:tc>
        <w:tc>
          <w:tcPr>
            <w:tcW w:w="1758" w:type="dxa"/>
            <w:noWrap w:val="0"/>
            <w:vAlign w:val="center"/>
          </w:tcPr>
          <w:p w14:paraId="39037788">
            <w:pPr>
              <w:snapToGrid w:val="0"/>
              <w:spacing w:line="380" w:lineRule="exact"/>
              <w:rPr>
                <w:rFonts w:ascii="宋体" w:hAnsi="宋体" w:cs="宋体"/>
                <w:b/>
                <w:color w:val="auto"/>
                <w:szCs w:val="21"/>
                <w:highlight w:val="none"/>
              </w:rPr>
            </w:pPr>
            <w:r>
              <w:rPr>
                <w:rFonts w:hint="eastAsia" w:ascii="宋体" w:hAnsi="宋体" w:cs="宋体"/>
                <w:b/>
                <w:color w:val="auto"/>
                <w:kern w:val="0"/>
                <w:szCs w:val="21"/>
                <w:highlight w:val="none"/>
              </w:rPr>
              <w:t>项目实施方案（满分24分）</w:t>
            </w:r>
          </w:p>
        </w:tc>
        <w:tc>
          <w:tcPr>
            <w:tcW w:w="6016" w:type="dxa"/>
            <w:noWrap w:val="0"/>
            <w:vAlign w:val="center"/>
          </w:tcPr>
          <w:p w14:paraId="6CFAE8A8">
            <w:pPr>
              <w:pStyle w:val="5"/>
              <w:rPr>
                <w:rFonts w:hint="eastAsia"/>
                <w:color w:val="auto"/>
                <w:highlight w:val="none"/>
              </w:rPr>
            </w:pPr>
          </w:p>
          <w:p w14:paraId="6C857833">
            <w:pPr>
              <w:pStyle w:val="5"/>
              <w:rPr>
                <w:b w:val="0"/>
                <w:bCs w:val="0"/>
                <w:color w:val="auto"/>
                <w:highlight w:val="none"/>
              </w:rPr>
            </w:pPr>
            <w:r>
              <w:rPr>
                <w:rFonts w:hint="eastAsia"/>
                <w:b w:val="0"/>
                <w:bCs w:val="0"/>
                <w:color w:val="auto"/>
                <w:highlight w:val="none"/>
              </w:rPr>
              <w:t>一档（</w:t>
            </w:r>
            <w:r>
              <w:rPr>
                <w:rFonts w:hint="eastAsia"/>
                <w:b w:val="0"/>
                <w:bCs w:val="0"/>
                <w:color w:val="auto"/>
                <w:highlight w:val="none"/>
                <w:lang w:val="en-US" w:eastAsia="zh-CN"/>
              </w:rPr>
              <w:t>8</w:t>
            </w:r>
            <w:r>
              <w:rPr>
                <w:rFonts w:hint="eastAsia"/>
                <w:b w:val="0"/>
                <w:bCs w:val="0"/>
                <w:color w:val="auto"/>
                <w:highlight w:val="none"/>
              </w:rPr>
              <w:t>分）：</w:t>
            </w:r>
            <w:r>
              <w:rPr>
                <w:rFonts w:hint="eastAsia" w:ascii="宋体" w:hAnsi="宋体"/>
                <w:b w:val="0"/>
                <w:bCs w:val="0"/>
                <w:highlight w:val="none"/>
              </w:rPr>
              <w:t>有</w:t>
            </w:r>
            <w:r>
              <w:rPr>
                <w:rFonts w:hint="eastAsia" w:ascii="宋体" w:hAnsi="宋体"/>
                <w:b w:val="0"/>
                <w:bCs w:val="0"/>
                <w:highlight w:val="none"/>
                <w:lang w:val="en-US" w:eastAsia="zh-CN"/>
              </w:rPr>
              <w:t>项目</w:t>
            </w:r>
            <w:r>
              <w:rPr>
                <w:rFonts w:hint="eastAsia" w:ascii="宋体" w:hAnsi="宋体"/>
                <w:b w:val="0"/>
                <w:bCs w:val="0"/>
                <w:highlight w:val="none"/>
              </w:rPr>
              <w:t>实施方案（</w:t>
            </w:r>
            <w:r>
              <w:rPr>
                <w:rFonts w:hint="eastAsia" w:ascii="宋体" w:hAnsi="宋体"/>
                <w:b w:val="0"/>
                <w:bCs w:val="0"/>
                <w:highlight w:val="none"/>
                <w:lang w:val="en-US" w:eastAsia="zh-CN"/>
              </w:rPr>
              <w:t>项目</w:t>
            </w:r>
            <w:r>
              <w:rPr>
                <w:rFonts w:hint="eastAsia" w:ascii="宋体" w:hAnsi="宋体"/>
                <w:b w:val="0"/>
                <w:bCs w:val="0"/>
                <w:highlight w:val="none"/>
              </w:rPr>
              <w:t>流程、时间进度安排、质量保证措施、应急处理方案）</w:t>
            </w:r>
            <w:r>
              <w:rPr>
                <w:rFonts w:hint="eastAsia" w:ascii="宋体" w:hAnsi="宋体"/>
                <w:b w:val="0"/>
                <w:bCs w:val="0"/>
                <w:highlight w:val="none"/>
                <w:lang w:eastAsia="zh-CN"/>
              </w:rPr>
              <w:t>，</w:t>
            </w:r>
            <w:r>
              <w:rPr>
                <w:rFonts w:hint="eastAsia" w:ascii="宋体" w:hAnsi="宋体"/>
                <w:b w:val="0"/>
                <w:bCs w:val="0"/>
                <w:highlight w:val="none"/>
                <w:lang w:val="en-US" w:eastAsia="zh-CN"/>
              </w:rPr>
              <w:t>方案内容相对</w:t>
            </w:r>
            <w:r>
              <w:rPr>
                <w:rFonts w:hint="eastAsia"/>
                <w:b w:val="0"/>
                <w:bCs w:val="0"/>
                <w:color w:val="auto"/>
                <w:highlight w:val="none"/>
                <w:lang w:val="en-US" w:eastAsia="zh-CN"/>
              </w:rPr>
              <w:t>简单，没有针对性，措施内容难以保障服务质量符合采购要求</w:t>
            </w:r>
            <w:r>
              <w:rPr>
                <w:rFonts w:hint="eastAsia"/>
                <w:b w:val="0"/>
                <w:bCs w:val="0"/>
                <w:color w:val="auto"/>
                <w:highlight w:val="none"/>
              </w:rPr>
              <w:t xml:space="preserve">； </w:t>
            </w:r>
          </w:p>
          <w:p w14:paraId="17DFF33B">
            <w:pPr>
              <w:pStyle w:val="5"/>
              <w:rPr>
                <w:b w:val="0"/>
                <w:bCs w:val="0"/>
                <w:color w:val="auto"/>
                <w:highlight w:val="none"/>
              </w:rPr>
            </w:pPr>
            <w:r>
              <w:rPr>
                <w:rFonts w:hint="eastAsia"/>
                <w:b w:val="0"/>
                <w:bCs w:val="0"/>
                <w:color w:val="auto"/>
                <w:highlight w:val="none"/>
              </w:rPr>
              <w:t>二档（</w:t>
            </w:r>
            <w:r>
              <w:rPr>
                <w:rFonts w:hint="eastAsia"/>
                <w:b w:val="0"/>
                <w:bCs w:val="0"/>
                <w:color w:val="auto"/>
                <w:highlight w:val="none"/>
                <w:lang w:val="en-US" w:eastAsia="zh-CN"/>
              </w:rPr>
              <w:t>16</w:t>
            </w:r>
            <w:r>
              <w:rPr>
                <w:rFonts w:hint="eastAsia"/>
                <w:b w:val="0"/>
                <w:bCs w:val="0"/>
                <w:color w:val="auto"/>
                <w:highlight w:val="none"/>
              </w:rPr>
              <w:t>分）：</w:t>
            </w:r>
            <w:r>
              <w:rPr>
                <w:rFonts w:hint="eastAsia"/>
                <w:b w:val="0"/>
                <w:bCs w:val="0"/>
                <w:color w:val="auto"/>
                <w:highlight w:val="none"/>
                <w:lang w:val="en-US" w:eastAsia="zh-CN"/>
              </w:rPr>
              <w:t>有项目</w:t>
            </w:r>
            <w:r>
              <w:rPr>
                <w:rFonts w:hint="eastAsia" w:ascii="宋体" w:hAnsi="宋体"/>
                <w:b w:val="0"/>
                <w:bCs w:val="0"/>
                <w:highlight w:val="none"/>
              </w:rPr>
              <w:t>实施方案（</w:t>
            </w:r>
            <w:r>
              <w:rPr>
                <w:rFonts w:hint="eastAsia" w:ascii="宋体" w:hAnsi="宋体"/>
                <w:b w:val="0"/>
                <w:bCs w:val="0"/>
                <w:highlight w:val="none"/>
                <w:lang w:val="en-US" w:eastAsia="zh-CN"/>
              </w:rPr>
              <w:t>项目</w:t>
            </w:r>
            <w:r>
              <w:rPr>
                <w:rFonts w:hint="eastAsia" w:ascii="宋体" w:hAnsi="宋体"/>
                <w:b w:val="0"/>
                <w:bCs w:val="0"/>
                <w:highlight w:val="none"/>
              </w:rPr>
              <w:t>流程、时间进度安排、质量保证措施、应急处理方案）</w:t>
            </w:r>
            <w:r>
              <w:rPr>
                <w:rFonts w:hint="eastAsia" w:ascii="宋体" w:hAnsi="宋体"/>
                <w:b w:val="0"/>
                <w:bCs w:val="0"/>
                <w:highlight w:val="none"/>
                <w:lang w:eastAsia="zh-CN"/>
              </w:rPr>
              <w:t>，</w:t>
            </w:r>
            <w:r>
              <w:rPr>
                <w:rFonts w:hint="eastAsia" w:ascii="宋体" w:hAnsi="宋体"/>
                <w:b w:val="0"/>
                <w:bCs w:val="0"/>
                <w:highlight w:val="none"/>
                <w:lang w:val="en-US" w:eastAsia="zh-CN"/>
              </w:rPr>
              <w:t>方案</w:t>
            </w:r>
            <w:r>
              <w:rPr>
                <w:rFonts w:hint="eastAsia"/>
                <w:b w:val="0"/>
                <w:bCs w:val="0"/>
                <w:color w:val="auto"/>
                <w:highlight w:val="none"/>
                <w:lang w:val="en-US" w:eastAsia="zh-CN"/>
              </w:rPr>
              <w:t>内容</w:t>
            </w:r>
            <w:r>
              <w:rPr>
                <w:rFonts w:hint="eastAsia"/>
                <w:b w:val="0"/>
                <w:bCs w:val="0"/>
                <w:color w:val="auto"/>
                <w:highlight w:val="none"/>
              </w:rPr>
              <w:t>完整、全面、</w:t>
            </w:r>
            <w:r>
              <w:rPr>
                <w:rFonts w:hint="eastAsia"/>
                <w:b w:val="0"/>
                <w:bCs w:val="0"/>
                <w:color w:val="auto"/>
                <w:highlight w:val="none"/>
                <w:lang w:val="en-US" w:eastAsia="zh-CN"/>
              </w:rPr>
              <w:t>具体</w:t>
            </w:r>
            <w:r>
              <w:rPr>
                <w:rFonts w:hint="eastAsia"/>
                <w:b w:val="0"/>
                <w:bCs w:val="0"/>
                <w:color w:val="auto"/>
                <w:highlight w:val="none"/>
              </w:rPr>
              <w:t>，</w:t>
            </w:r>
            <w:r>
              <w:rPr>
                <w:rFonts w:hint="eastAsia"/>
                <w:b w:val="0"/>
                <w:bCs w:val="0"/>
                <w:color w:val="auto"/>
                <w:highlight w:val="none"/>
                <w:lang w:val="en-US" w:eastAsia="zh-CN"/>
              </w:rPr>
              <w:t>保障服务质量符合采购要求</w:t>
            </w:r>
            <w:r>
              <w:rPr>
                <w:rFonts w:hint="eastAsia"/>
                <w:b w:val="0"/>
                <w:bCs w:val="0"/>
                <w:color w:val="auto"/>
                <w:highlight w:val="none"/>
              </w:rPr>
              <w:t xml:space="preserve">； </w:t>
            </w:r>
          </w:p>
          <w:p w14:paraId="526D02DC">
            <w:pPr>
              <w:pStyle w:val="5"/>
              <w:rPr>
                <w:color w:val="auto"/>
                <w:highlight w:val="none"/>
              </w:rPr>
            </w:pPr>
            <w:r>
              <w:rPr>
                <w:rFonts w:hint="eastAsia"/>
                <w:b w:val="0"/>
                <w:bCs w:val="0"/>
                <w:color w:val="auto"/>
                <w:highlight w:val="none"/>
              </w:rPr>
              <w:t>三档（</w:t>
            </w:r>
            <w:r>
              <w:rPr>
                <w:rFonts w:hint="eastAsia"/>
                <w:b w:val="0"/>
                <w:bCs w:val="0"/>
                <w:color w:val="auto"/>
                <w:highlight w:val="none"/>
                <w:lang w:val="en-US" w:eastAsia="zh-CN"/>
              </w:rPr>
              <w:t>24</w:t>
            </w:r>
            <w:r>
              <w:rPr>
                <w:rFonts w:hint="eastAsia"/>
                <w:b w:val="0"/>
                <w:bCs w:val="0"/>
                <w:color w:val="auto"/>
                <w:highlight w:val="none"/>
              </w:rPr>
              <w:t>分）：</w:t>
            </w:r>
            <w:r>
              <w:rPr>
                <w:rFonts w:hint="eastAsia"/>
                <w:color w:val="auto"/>
                <w:highlight w:val="none"/>
                <w:lang w:val="en-US" w:eastAsia="zh-CN"/>
              </w:rPr>
              <w:t>有项目</w:t>
            </w:r>
            <w:r>
              <w:rPr>
                <w:rFonts w:hint="eastAsia" w:ascii="宋体" w:hAnsi="宋体"/>
                <w:bCs/>
                <w:highlight w:val="none"/>
              </w:rPr>
              <w:t>实施方案（</w:t>
            </w:r>
            <w:r>
              <w:rPr>
                <w:rFonts w:hint="eastAsia" w:ascii="宋体" w:hAnsi="宋体"/>
                <w:bCs/>
                <w:highlight w:val="none"/>
                <w:lang w:val="en-US" w:eastAsia="zh-CN"/>
              </w:rPr>
              <w:t>项目</w:t>
            </w:r>
            <w:r>
              <w:rPr>
                <w:rFonts w:hint="eastAsia" w:ascii="宋体" w:hAnsi="宋体"/>
                <w:bCs/>
                <w:highlight w:val="none"/>
              </w:rPr>
              <w:t>流程、时间进度安排、质量保证措施、应急处理方案）</w:t>
            </w:r>
            <w:r>
              <w:rPr>
                <w:rFonts w:hint="eastAsia"/>
                <w:color w:val="auto"/>
                <w:highlight w:val="none"/>
              </w:rPr>
              <w:t>，</w:t>
            </w:r>
            <w:r>
              <w:rPr>
                <w:rFonts w:hint="eastAsia" w:ascii="宋体" w:hAnsi="宋体"/>
                <w:bCs/>
                <w:highlight w:val="none"/>
                <w:lang w:val="en-US" w:eastAsia="zh-CN"/>
              </w:rPr>
              <w:t>方案</w:t>
            </w:r>
            <w:r>
              <w:rPr>
                <w:rFonts w:hint="eastAsia"/>
                <w:color w:val="auto"/>
                <w:highlight w:val="none"/>
                <w:lang w:val="en-US" w:eastAsia="zh-CN"/>
              </w:rPr>
              <w:t>内容</w:t>
            </w:r>
            <w:r>
              <w:rPr>
                <w:rFonts w:hint="eastAsia"/>
                <w:color w:val="auto"/>
                <w:highlight w:val="none"/>
              </w:rPr>
              <w:t>完整、全面、</w:t>
            </w:r>
            <w:r>
              <w:rPr>
                <w:rFonts w:hint="eastAsia"/>
                <w:color w:val="auto"/>
                <w:highlight w:val="none"/>
                <w:lang w:val="en-US" w:eastAsia="zh-CN"/>
              </w:rPr>
              <w:t>具体</w:t>
            </w:r>
            <w:r>
              <w:rPr>
                <w:rFonts w:hint="eastAsia"/>
                <w:color w:val="auto"/>
                <w:highlight w:val="none"/>
              </w:rPr>
              <w:t>，</w:t>
            </w:r>
            <w:r>
              <w:rPr>
                <w:rFonts w:hint="eastAsia"/>
                <w:color w:val="auto"/>
                <w:highlight w:val="none"/>
                <w:lang w:val="en-US" w:eastAsia="zh-CN"/>
              </w:rPr>
              <w:t>并</w:t>
            </w:r>
            <w:r>
              <w:rPr>
                <w:rFonts w:hint="eastAsia"/>
                <w:color w:val="auto"/>
                <w:highlight w:val="none"/>
              </w:rPr>
              <w:t>能为本项目提出针对性的服务措施，能实现项目实施全过程与采购人有良好顺畅的沟通和信息交流，保障服务质量优于采购要求。</w:t>
            </w:r>
          </w:p>
          <w:p w14:paraId="0C0922DD">
            <w:pPr>
              <w:pStyle w:val="5"/>
              <w:rPr>
                <w:rFonts w:hint="eastAsia"/>
                <w:color w:val="auto"/>
                <w:highlight w:val="none"/>
              </w:rPr>
            </w:pPr>
            <w:r>
              <w:rPr>
                <w:rFonts w:hint="eastAsia"/>
                <w:b/>
                <w:bCs/>
                <w:color w:val="auto"/>
                <w:highlight w:val="none"/>
              </w:rPr>
              <w:t>注：</w:t>
            </w:r>
            <w:r>
              <w:rPr>
                <w:rFonts w:hint="eastAsia"/>
                <w:color w:val="auto"/>
                <w:highlight w:val="none"/>
              </w:rPr>
              <w:t>未提供或不满足进档要求的不得分。</w:t>
            </w:r>
          </w:p>
        </w:tc>
      </w:tr>
      <w:tr w14:paraId="0FF52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2" w:hRule="atLeast"/>
          <w:jc w:val="center"/>
        </w:trPr>
        <w:tc>
          <w:tcPr>
            <w:tcW w:w="527" w:type="dxa"/>
            <w:vMerge w:val="restart"/>
            <w:noWrap w:val="0"/>
            <w:vAlign w:val="center"/>
          </w:tcPr>
          <w:p w14:paraId="2F13F157">
            <w:pPr>
              <w:adjustRightInd w:val="0"/>
              <w:snapToGrid w:val="0"/>
              <w:spacing w:line="400" w:lineRule="exact"/>
              <w:jc w:val="center"/>
              <w:textAlignment w:val="baseline"/>
              <w:rPr>
                <w:rFonts w:ascii="宋体" w:hAnsi="宋体" w:cs="宋体"/>
                <w:b/>
                <w:bCs/>
                <w:color w:val="auto"/>
                <w:szCs w:val="21"/>
                <w:highlight w:val="none"/>
              </w:rPr>
            </w:pPr>
            <w:r>
              <w:rPr>
                <w:rFonts w:hint="eastAsia" w:ascii="宋体" w:hAnsi="宋体" w:cs="宋体"/>
                <w:b/>
                <w:bCs/>
                <w:color w:val="auto"/>
                <w:szCs w:val="21"/>
                <w:highlight w:val="none"/>
              </w:rPr>
              <w:t>3</w:t>
            </w:r>
          </w:p>
        </w:tc>
        <w:tc>
          <w:tcPr>
            <w:tcW w:w="1065" w:type="dxa"/>
            <w:vMerge w:val="restart"/>
            <w:noWrap w:val="0"/>
            <w:vAlign w:val="center"/>
          </w:tcPr>
          <w:p w14:paraId="20E24D1F">
            <w:pPr>
              <w:adjustRightInd w:val="0"/>
              <w:snapToGrid w:val="0"/>
              <w:spacing w:line="360" w:lineRule="atLeast"/>
              <w:jc w:val="center"/>
              <w:textAlignment w:val="baseline"/>
              <w:rPr>
                <w:rFonts w:ascii="宋体" w:hAnsi="宋体" w:cs="宋体"/>
                <w:b/>
                <w:bCs/>
                <w:color w:val="auto"/>
                <w:szCs w:val="21"/>
                <w:highlight w:val="none"/>
              </w:rPr>
            </w:pPr>
            <w:r>
              <w:rPr>
                <w:rFonts w:hint="eastAsia" w:ascii="宋体" w:hAnsi="宋体" w:cs="宋体"/>
                <w:b/>
                <w:color w:val="auto"/>
                <w:spacing w:val="-2"/>
                <w:szCs w:val="21"/>
                <w:highlight w:val="none"/>
              </w:rPr>
              <w:t>商务分（</w:t>
            </w:r>
            <w:r>
              <w:rPr>
                <w:rFonts w:hint="eastAsia" w:ascii="宋体" w:hAnsi="宋体" w:cs="宋体"/>
                <w:b/>
                <w:color w:val="auto"/>
                <w:szCs w:val="21"/>
                <w:highlight w:val="none"/>
              </w:rPr>
              <w:t>满分</w:t>
            </w:r>
            <w:r>
              <w:rPr>
                <w:rFonts w:hint="eastAsia" w:ascii="宋体" w:hAnsi="宋体" w:cs="宋体"/>
                <w:b/>
                <w:color w:val="auto"/>
                <w:szCs w:val="21"/>
                <w:highlight w:val="none"/>
                <w:lang w:val="en-US" w:eastAsia="zh-CN"/>
              </w:rPr>
              <w:t>16</w:t>
            </w:r>
            <w:r>
              <w:rPr>
                <w:rFonts w:hint="eastAsia" w:ascii="宋体" w:hAnsi="宋体" w:cs="宋体"/>
                <w:b/>
                <w:color w:val="auto"/>
                <w:spacing w:val="-2"/>
                <w:szCs w:val="21"/>
                <w:highlight w:val="none"/>
              </w:rPr>
              <w:t>分）</w:t>
            </w:r>
          </w:p>
        </w:tc>
        <w:tc>
          <w:tcPr>
            <w:tcW w:w="1758" w:type="dxa"/>
            <w:noWrap w:val="0"/>
            <w:vAlign w:val="center"/>
          </w:tcPr>
          <w:p w14:paraId="194D7D63">
            <w:pPr>
              <w:adjustRightInd w:val="0"/>
              <w:snapToGrid w:val="0"/>
              <w:spacing w:line="360" w:lineRule="atLeast"/>
              <w:jc w:val="center"/>
              <w:textAlignment w:val="baseline"/>
              <w:rPr>
                <w:rFonts w:ascii="宋体" w:hAnsi="宋体" w:cs="宋体"/>
                <w:b/>
                <w:bCs/>
                <w:color w:val="auto"/>
                <w:szCs w:val="21"/>
                <w:highlight w:val="none"/>
              </w:rPr>
            </w:pPr>
            <w:r>
              <w:rPr>
                <w:rFonts w:hint="eastAsia" w:ascii="宋体" w:hAnsi="宋体" w:cs="宋体"/>
                <w:b/>
                <w:bCs/>
                <w:color w:val="auto"/>
                <w:szCs w:val="21"/>
                <w:highlight w:val="none"/>
              </w:rPr>
              <w:t>业绩分</w:t>
            </w:r>
          </w:p>
          <w:p w14:paraId="68D08F75">
            <w:pPr>
              <w:adjustRightInd w:val="0"/>
              <w:snapToGrid w:val="0"/>
              <w:spacing w:line="360" w:lineRule="atLeast"/>
              <w:jc w:val="center"/>
              <w:textAlignment w:val="baseline"/>
              <w:rPr>
                <w:rFonts w:ascii="宋体" w:hAnsi="宋体" w:cs="宋体"/>
                <w:b/>
                <w:bCs/>
                <w:color w:val="auto"/>
                <w:szCs w:val="21"/>
                <w:highlight w:val="none"/>
              </w:rPr>
            </w:pPr>
            <w:r>
              <w:rPr>
                <w:rFonts w:hint="eastAsia" w:ascii="宋体" w:hAnsi="宋体" w:cs="宋体"/>
                <w:b/>
                <w:bCs/>
                <w:color w:val="auto"/>
                <w:szCs w:val="21"/>
                <w:highlight w:val="none"/>
              </w:rPr>
              <w:t>（</w:t>
            </w:r>
            <w:r>
              <w:rPr>
                <w:rFonts w:ascii="宋体" w:hAnsi="宋体" w:cs="宋体"/>
                <w:b/>
                <w:bCs/>
                <w:color w:val="auto"/>
                <w:szCs w:val="21"/>
                <w:highlight w:val="none"/>
              </w:rPr>
              <w:t>满分</w:t>
            </w:r>
            <w:r>
              <w:rPr>
                <w:rFonts w:hint="eastAsia" w:ascii="宋体" w:hAnsi="宋体" w:cs="宋体"/>
                <w:b/>
                <w:bCs/>
                <w:color w:val="auto"/>
                <w:szCs w:val="21"/>
                <w:highlight w:val="none"/>
                <w:lang w:val="en-US" w:eastAsia="zh-CN"/>
              </w:rPr>
              <w:t>10</w:t>
            </w:r>
            <w:r>
              <w:rPr>
                <w:rFonts w:ascii="宋体" w:hAnsi="宋体" w:cs="宋体"/>
                <w:b/>
                <w:bCs/>
                <w:color w:val="auto"/>
                <w:szCs w:val="21"/>
                <w:highlight w:val="none"/>
              </w:rPr>
              <w:t>分</w:t>
            </w:r>
            <w:r>
              <w:rPr>
                <w:rFonts w:hint="eastAsia" w:ascii="宋体" w:hAnsi="宋体" w:cs="宋体"/>
                <w:b/>
                <w:bCs/>
                <w:color w:val="auto"/>
                <w:szCs w:val="21"/>
                <w:highlight w:val="none"/>
              </w:rPr>
              <w:t>）</w:t>
            </w:r>
          </w:p>
        </w:tc>
        <w:tc>
          <w:tcPr>
            <w:tcW w:w="6016" w:type="dxa"/>
            <w:noWrap w:val="0"/>
            <w:vAlign w:val="center"/>
          </w:tcPr>
          <w:p w14:paraId="49C1E5F7">
            <w:pPr>
              <w:pStyle w:val="5"/>
              <w:rPr>
                <w:rFonts w:hint="eastAsia"/>
                <w:color w:val="auto"/>
                <w:highlight w:val="none"/>
                <w:lang w:val="en-US" w:eastAsia="zh-CN"/>
              </w:rPr>
            </w:pPr>
          </w:p>
          <w:p w14:paraId="19DBCE2A">
            <w:pPr>
              <w:pStyle w:val="5"/>
              <w:rPr>
                <w:color w:val="auto"/>
                <w:highlight w:val="none"/>
              </w:rPr>
            </w:pPr>
            <w:r>
              <w:rPr>
                <w:rFonts w:hint="eastAsia"/>
                <w:color w:val="auto"/>
                <w:highlight w:val="none"/>
                <w:lang w:val="en-US" w:eastAsia="zh-CN"/>
              </w:rPr>
              <w:t>自2023年1月1日</w:t>
            </w:r>
            <w:r>
              <w:rPr>
                <w:rFonts w:hint="eastAsia"/>
                <w:color w:val="auto"/>
                <w:highlight w:val="none"/>
              </w:rPr>
              <w:t>以来（以合同签订时间为准），</w:t>
            </w:r>
            <w:r>
              <w:rPr>
                <w:rFonts w:hint="eastAsia"/>
                <w:color w:val="auto"/>
                <w:highlight w:val="none"/>
                <w:lang w:val="en-US" w:eastAsia="zh-CN"/>
              </w:rPr>
              <w:t>响应供应商</w:t>
            </w:r>
            <w:r>
              <w:rPr>
                <w:rFonts w:hint="eastAsia"/>
                <w:color w:val="auto"/>
                <w:highlight w:val="none"/>
              </w:rPr>
              <w:t>具有同类项目业绩的，每个得</w:t>
            </w:r>
            <w:r>
              <w:rPr>
                <w:rFonts w:hint="eastAsia"/>
                <w:color w:val="auto"/>
                <w:highlight w:val="none"/>
                <w:lang w:val="en-US" w:eastAsia="zh-CN"/>
              </w:rPr>
              <w:t>2</w:t>
            </w:r>
            <w:r>
              <w:rPr>
                <w:rFonts w:hint="eastAsia"/>
                <w:color w:val="auto"/>
                <w:highlight w:val="none"/>
              </w:rPr>
              <w:t>分，满分</w:t>
            </w:r>
            <w:r>
              <w:rPr>
                <w:rFonts w:hint="eastAsia"/>
                <w:color w:val="auto"/>
                <w:highlight w:val="none"/>
                <w:lang w:val="en-US" w:eastAsia="zh-CN"/>
              </w:rPr>
              <w:t>10</w:t>
            </w:r>
            <w:r>
              <w:rPr>
                <w:rFonts w:hint="eastAsia"/>
                <w:color w:val="auto"/>
                <w:highlight w:val="none"/>
              </w:rPr>
              <w:t>分。同一业绩不重复计分，以得分较高者计。</w:t>
            </w:r>
          </w:p>
          <w:p w14:paraId="0C0BC974">
            <w:pPr>
              <w:pStyle w:val="5"/>
              <w:rPr>
                <w:rFonts w:hint="eastAsia"/>
                <w:color w:val="auto"/>
                <w:highlight w:val="none"/>
              </w:rPr>
            </w:pPr>
            <w:r>
              <w:rPr>
                <w:rFonts w:hint="eastAsia"/>
                <w:color w:val="auto"/>
                <w:highlight w:val="none"/>
              </w:rPr>
              <w:t>注：提供能体现同类业绩的中标（成交）通知书、合同证明复印件，加盖</w:t>
            </w:r>
            <w:r>
              <w:rPr>
                <w:rFonts w:hint="eastAsia"/>
                <w:color w:val="auto"/>
                <w:highlight w:val="none"/>
                <w:lang w:val="en-US" w:eastAsia="zh-CN"/>
              </w:rPr>
              <w:t>响应供应商</w:t>
            </w:r>
            <w:r>
              <w:rPr>
                <w:rFonts w:hint="eastAsia"/>
                <w:color w:val="auto"/>
                <w:highlight w:val="none"/>
              </w:rPr>
              <w:t>公章，原件备查。</w:t>
            </w:r>
          </w:p>
          <w:p w14:paraId="461EA01A">
            <w:pPr>
              <w:pStyle w:val="5"/>
              <w:rPr>
                <w:rFonts w:hint="eastAsia"/>
                <w:color w:val="auto"/>
                <w:highlight w:val="none"/>
              </w:rPr>
            </w:pPr>
          </w:p>
        </w:tc>
      </w:tr>
      <w:tr w14:paraId="6EFFC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2" w:hRule="atLeast"/>
          <w:jc w:val="center"/>
        </w:trPr>
        <w:tc>
          <w:tcPr>
            <w:tcW w:w="527" w:type="dxa"/>
            <w:vMerge w:val="continue"/>
            <w:noWrap w:val="0"/>
            <w:vAlign w:val="center"/>
          </w:tcPr>
          <w:p w14:paraId="481D6CD4">
            <w:pPr>
              <w:adjustRightInd w:val="0"/>
              <w:snapToGrid w:val="0"/>
              <w:spacing w:line="400" w:lineRule="exact"/>
              <w:jc w:val="center"/>
              <w:textAlignment w:val="baseline"/>
              <w:rPr>
                <w:rFonts w:hint="eastAsia" w:ascii="宋体" w:hAnsi="宋体" w:cs="宋体"/>
                <w:b/>
                <w:bCs/>
                <w:color w:val="auto"/>
                <w:szCs w:val="21"/>
                <w:highlight w:val="none"/>
              </w:rPr>
            </w:pPr>
          </w:p>
        </w:tc>
        <w:tc>
          <w:tcPr>
            <w:tcW w:w="1065" w:type="dxa"/>
            <w:vMerge w:val="continue"/>
            <w:noWrap w:val="0"/>
            <w:vAlign w:val="center"/>
          </w:tcPr>
          <w:p w14:paraId="2F4D5C95">
            <w:pPr>
              <w:adjustRightInd w:val="0"/>
              <w:snapToGrid w:val="0"/>
              <w:spacing w:line="360" w:lineRule="atLeast"/>
              <w:jc w:val="center"/>
              <w:textAlignment w:val="baseline"/>
              <w:rPr>
                <w:rFonts w:hint="eastAsia" w:ascii="宋体" w:hAnsi="宋体" w:cs="宋体"/>
                <w:b/>
                <w:color w:val="auto"/>
                <w:spacing w:val="-2"/>
                <w:szCs w:val="21"/>
                <w:highlight w:val="none"/>
              </w:rPr>
            </w:pPr>
          </w:p>
        </w:tc>
        <w:tc>
          <w:tcPr>
            <w:tcW w:w="1758" w:type="dxa"/>
            <w:noWrap w:val="0"/>
            <w:vAlign w:val="center"/>
          </w:tcPr>
          <w:p w14:paraId="53B0DAB2">
            <w:pPr>
              <w:spacing w:line="400" w:lineRule="exact"/>
              <w:jc w:val="center"/>
              <w:rPr>
                <w:rFonts w:hint="eastAsia" w:ascii="宋体" w:hAnsi="宋体" w:eastAsia="宋体" w:cs="宋体"/>
                <w:b/>
                <w:bCs w:val="0"/>
                <w:color w:val="auto"/>
                <w:szCs w:val="21"/>
                <w:highlight w:val="none"/>
              </w:rPr>
            </w:pPr>
            <w:r>
              <w:rPr>
                <w:rFonts w:hint="eastAsia" w:ascii="宋体" w:hAnsi="宋体" w:eastAsia="宋体" w:cs="宋体"/>
                <w:b/>
                <w:bCs w:val="0"/>
                <w:color w:val="auto"/>
                <w:szCs w:val="21"/>
                <w:highlight w:val="none"/>
                <w:lang w:val="en-US" w:eastAsia="zh-CN"/>
              </w:rPr>
              <w:t>企业</w:t>
            </w:r>
            <w:r>
              <w:rPr>
                <w:rFonts w:hint="eastAsia" w:ascii="宋体" w:hAnsi="宋体" w:eastAsia="宋体" w:cs="宋体"/>
                <w:b/>
                <w:bCs w:val="0"/>
                <w:color w:val="auto"/>
                <w:szCs w:val="21"/>
                <w:highlight w:val="none"/>
              </w:rPr>
              <w:t>信誉</w:t>
            </w:r>
            <w:r>
              <w:rPr>
                <w:rFonts w:hint="eastAsia" w:ascii="宋体" w:hAnsi="宋体" w:eastAsia="宋体" w:cs="宋体"/>
                <w:b/>
                <w:bCs w:val="0"/>
                <w:color w:val="auto"/>
                <w:szCs w:val="21"/>
                <w:highlight w:val="none"/>
                <w:lang w:val="en-US" w:eastAsia="zh-CN"/>
              </w:rPr>
              <w:t>实力</w:t>
            </w:r>
            <w:r>
              <w:rPr>
                <w:rFonts w:hint="eastAsia" w:ascii="宋体" w:hAnsi="宋体" w:eastAsia="宋体" w:cs="宋体"/>
                <w:b/>
                <w:bCs w:val="0"/>
                <w:color w:val="auto"/>
                <w:szCs w:val="21"/>
                <w:highlight w:val="none"/>
              </w:rPr>
              <w:t>分</w:t>
            </w:r>
          </w:p>
          <w:p w14:paraId="5FF944EC">
            <w:pPr>
              <w:adjustRightInd w:val="0"/>
              <w:snapToGrid w:val="0"/>
              <w:spacing w:line="360" w:lineRule="atLeast"/>
              <w:jc w:val="center"/>
              <w:textAlignment w:val="baseline"/>
              <w:rPr>
                <w:rFonts w:hint="eastAsia" w:ascii="宋体" w:hAnsi="宋体" w:cs="宋体"/>
                <w:b/>
                <w:bCs/>
                <w:color w:val="auto"/>
                <w:szCs w:val="21"/>
                <w:highlight w:val="none"/>
              </w:rPr>
            </w:pPr>
            <w:r>
              <w:rPr>
                <w:rFonts w:hint="eastAsia" w:ascii="宋体" w:hAnsi="宋体" w:eastAsia="宋体" w:cs="宋体"/>
                <w:b/>
                <w:bCs w:val="0"/>
                <w:color w:val="auto"/>
                <w:szCs w:val="21"/>
                <w:highlight w:val="none"/>
              </w:rPr>
              <w:t>（满分</w:t>
            </w:r>
            <w:r>
              <w:rPr>
                <w:rFonts w:hint="eastAsia" w:ascii="宋体" w:hAnsi="宋体" w:cs="宋体"/>
                <w:b/>
                <w:bCs w:val="0"/>
                <w:color w:val="auto"/>
                <w:szCs w:val="21"/>
                <w:highlight w:val="none"/>
                <w:lang w:val="en-US" w:eastAsia="zh-CN"/>
              </w:rPr>
              <w:t>6</w:t>
            </w:r>
            <w:r>
              <w:rPr>
                <w:rFonts w:hint="eastAsia" w:ascii="宋体" w:hAnsi="宋体" w:eastAsia="宋体" w:cs="宋体"/>
                <w:b/>
                <w:bCs w:val="0"/>
                <w:color w:val="auto"/>
                <w:szCs w:val="21"/>
                <w:highlight w:val="none"/>
              </w:rPr>
              <w:t>分）</w:t>
            </w:r>
          </w:p>
        </w:tc>
        <w:tc>
          <w:tcPr>
            <w:tcW w:w="6016" w:type="dxa"/>
            <w:noWrap w:val="0"/>
            <w:vAlign w:val="center"/>
          </w:tcPr>
          <w:p w14:paraId="2863CB0F">
            <w:pPr>
              <w:pStyle w:val="5"/>
              <w:rPr>
                <w:rFonts w:hint="eastAsia" w:ascii="宋体" w:hAnsi="宋体" w:eastAsia="宋体" w:cs="宋体"/>
                <w:bCs/>
                <w:color w:val="auto"/>
                <w:szCs w:val="21"/>
                <w:highlight w:val="none"/>
                <w:lang w:val="en-US" w:eastAsia="zh-CN"/>
              </w:rPr>
            </w:pPr>
          </w:p>
          <w:p w14:paraId="6622B648">
            <w:pPr>
              <w:pStyle w:val="5"/>
              <w:numPr>
                <w:ilvl w:val="0"/>
                <w:numId w:val="0"/>
              </w:numPr>
              <w:rPr>
                <w:rFonts w:hint="eastAsia" w:ascii="宋体" w:hAnsi="宋体" w:eastAsia="宋体" w:cs="宋体"/>
                <w:bCs/>
                <w:color w:val="auto"/>
                <w:szCs w:val="21"/>
                <w:highlight w:val="none"/>
                <w:lang w:eastAsia="zh-CN"/>
              </w:rPr>
            </w:pPr>
            <w:r>
              <w:rPr>
                <w:rFonts w:hint="eastAsia" w:ascii="宋体" w:hAnsi="宋体" w:eastAsia="宋体" w:cs="宋体"/>
                <w:bCs/>
                <w:color w:val="auto"/>
                <w:szCs w:val="21"/>
                <w:highlight w:val="none"/>
                <w:lang w:val="en-US" w:eastAsia="zh-CN"/>
              </w:rPr>
              <w:t>响应供应商或</w:t>
            </w:r>
            <w:r>
              <w:rPr>
                <w:rFonts w:hint="eastAsia" w:ascii="宋体" w:hAnsi="宋体" w:cs="宋体"/>
                <w:bCs/>
                <w:color w:val="auto"/>
                <w:szCs w:val="21"/>
                <w:highlight w:val="none"/>
                <w:lang w:val="en-US" w:eastAsia="zh-CN"/>
              </w:rPr>
              <w:t>响应</w:t>
            </w:r>
            <w:r>
              <w:rPr>
                <w:rFonts w:hint="eastAsia" w:ascii="宋体" w:hAnsi="宋体" w:eastAsia="宋体" w:cs="宋体"/>
                <w:bCs/>
                <w:color w:val="auto"/>
                <w:szCs w:val="21"/>
                <w:highlight w:val="none"/>
                <w:lang w:val="en-US" w:eastAsia="zh-CN"/>
              </w:rPr>
              <w:t>产品生产商</w:t>
            </w:r>
            <w:r>
              <w:rPr>
                <w:rFonts w:hint="eastAsia" w:ascii="宋体" w:hAnsi="宋体" w:eastAsia="宋体" w:cs="宋体"/>
                <w:bCs/>
                <w:color w:val="auto"/>
                <w:szCs w:val="21"/>
                <w:highlight w:val="none"/>
              </w:rPr>
              <w:t>具有ISO9001质量管理体系认证证书、ISO14001环境管理体系认证证书、ISO045001职业健康安全体系认证证书的</w:t>
            </w:r>
            <w:r>
              <w:rPr>
                <w:rFonts w:hint="eastAsia" w:ascii="宋体" w:hAnsi="宋体" w:eastAsia="宋体" w:cs="宋体"/>
                <w:color w:val="auto"/>
                <w:szCs w:val="21"/>
                <w:highlight w:val="none"/>
              </w:rPr>
              <w:t>的产品</w:t>
            </w:r>
            <w:r>
              <w:rPr>
                <w:rFonts w:hint="eastAsia" w:ascii="宋体" w:hAnsi="宋体" w:eastAsia="宋体" w:cs="宋体"/>
                <w:bCs/>
                <w:color w:val="auto"/>
                <w:szCs w:val="21"/>
                <w:highlight w:val="none"/>
                <w:lang w:eastAsia="zh-CN"/>
              </w:rPr>
              <w:t>，</w:t>
            </w:r>
            <w:r>
              <w:rPr>
                <w:rFonts w:hint="eastAsia" w:ascii="宋体" w:hAnsi="宋体" w:eastAsia="宋体" w:cs="宋体"/>
                <w:bCs/>
                <w:color w:val="auto"/>
                <w:szCs w:val="21"/>
                <w:highlight w:val="none"/>
              </w:rPr>
              <w:t>每项</w:t>
            </w:r>
            <w:r>
              <w:rPr>
                <w:rFonts w:hint="eastAsia" w:ascii="宋体" w:hAnsi="宋体" w:cs="宋体"/>
                <w:bCs/>
                <w:color w:val="auto"/>
                <w:szCs w:val="21"/>
                <w:highlight w:val="none"/>
                <w:lang w:val="en-US" w:eastAsia="zh-CN"/>
              </w:rPr>
              <w:t>2</w:t>
            </w:r>
            <w:r>
              <w:rPr>
                <w:rFonts w:hint="eastAsia" w:ascii="宋体" w:hAnsi="宋体" w:eastAsia="宋体" w:cs="宋体"/>
                <w:bCs/>
                <w:color w:val="auto"/>
                <w:szCs w:val="21"/>
                <w:highlight w:val="none"/>
              </w:rPr>
              <w:t>分，本项满分</w:t>
            </w:r>
            <w:r>
              <w:rPr>
                <w:rFonts w:hint="eastAsia" w:ascii="宋体" w:hAnsi="宋体" w:cs="宋体"/>
                <w:bCs/>
                <w:color w:val="auto"/>
                <w:szCs w:val="21"/>
                <w:highlight w:val="none"/>
                <w:lang w:val="en-US" w:eastAsia="zh-CN"/>
              </w:rPr>
              <w:t>6</w:t>
            </w:r>
            <w:r>
              <w:rPr>
                <w:rFonts w:hint="eastAsia" w:ascii="宋体" w:hAnsi="宋体" w:eastAsia="宋体" w:cs="宋体"/>
                <w:bCs/>
                <w:color w:val="auto"/>
                <w:szCs w:val="21"/>
                <w:highlight w:val="none"/>
              </w:rPr>
              <w:t>分</w:t>
            </w:r>
            <w:r>
              <w:rPr>
                <w:rFonts w:hint="eastAsia" w:ascii="宋体" w:hAnsi="宋体" w:eastAsia="宋体" w:cs="宋体"/>
                <w:bCs/>
                <w:color w:val="auto"/>
                <w:szCs w:val="21"/>
                <w:highlight w:val="none"/>
                <w:lang w:eastAsia="zh-CN"/>
              </w:rPr>
              <w:t>。</w:t>
            </w:r>
          </w:p>
          <w:p w14:paraId="7FF2CA66">
            <w:pPr>
              <w:pStyle w:val="5"/>
              <w:numPr>
                <w:ilvl w:val="0"/>
                <w:numId w:val="0"/>
              </w:numPr>
              <w:rPr>
                <w:rFonts w:hint="default" w:ascii="宋体" w:hAnsi="宋体" w:eastAsia="宋体" w:cs="宋体"/>
                <w:bCs/>
                <w:color w:val="auto"/>
                <w:szCs w:val="21"/>
                <w:highlight w:val="none"/>
                <w:lang w:val="en-US" w:eastAsia="zh-CN"/>
              </w:rPr>
            </w:pPr>
            <w:r>
              <w:rPr>
                <w:rFonts w:hint="eastAsia" w:ascii="宋体" w:hAnsi="宋体" w:eastAsia="宋体" w:cs="宋体"/>
                <w:bCs/>
                <w:color w:val="auto"/>
                <w:szCs w:val="21"/>
                <w:highlight w:val="none"/>
                <w:lang w:val="en-US" w:eastAsia="zh-CN"/>
              </w:rPr>
              <w:t>注：响应文件中提供有效的认证证书复印件，并加盖响应供应商公章，未提供不得分。</w:t>
            </w:r>
          </w:p>
          <w:p w14:paraId="74C78D41">
            <w:pPr>
              <w:pStyle w:val="5"/>
              <w:rPr>
                <w:rFonts w:hint="eastAsia" w:ascii="宋体" w:hAnsi="宋体" w:eastAsia="宋体" w:cs="宋体"/>
                <w:bCs/>
                <w:color w:val="auto"/>
                <w:szCs w:val="21"/>
                <w:highlight w:val="none"/>
                <w:lang w:eastAsia="zh-CN"/>
              </w:rPr>
            </w:pPr>
          </w:p>
        </w:tc>
      </w:tr>
      <w:tr w14:paraId="4A953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9366" w:type="dxa"/>
            <w:gridSpan w:val="4"/>
            <w:noWrap w:val="0"/>
            <w:vAlign w:val="center"/>
          </w:tcPr>
          <w:p w14:paraId="239C1832">
            <w:pPr>
              <w:pStyle w:val="9"/>
              <w:snapToGrid w:val="0"/>
              <w:spacing w:line="400" w:lineRule="exact"/>
              <w:rPr>
                <w:rFonts w:hAnsi="宋体" w:cs="宋体"/>
                <w:b/>
                <w:bCs/>
                <w:color w:val="auto"/>
                <w:sz w:val="21"/>
                <w:highlight w:val="none"/>
              </w:rPr>
            </w:pPr>
            <w:r>
              <w:rPr>
                <w:rFonts w:hint="eastAsia" w:hAnsi="宋体" w:cs="宋体"/>
                <w:b/>
                <w:bCs/>
                <w:color w:val="auto"/>
                <w:sz w:val="21"/>
                <w:highlight w:val="none"/>
              </w:rPr>
              <w:t>总得分=1+2+3</w:t>
            </w:r>
          </w:p>
        </w:tc>
      </w:tr>
    </w:tbl>
    <w:p w14:paraId="5FE2AB41">
      <w:pPr>
        <w:spacing w:line="360" w:lineRule="exact"/>
        <w:outlineLvl w:val="9"/>
        <w:rPr>
          <w:rFonts w:ascii="宋体" w:hAnsi="宋体"/>
          <w:color w:val="auto"/>
          <w:kern w:val="0"/>
          <w:szCs w:val="21"/>
          <w:highlight w:val="none"/>
        </w:rPr>
      </w:pPr>
    </w:p>
    <w:p w14:paraId="520CAB61">
      <w:pPr>
        <w:wordWrap w:val="0"/>
        <w:spacing w:line="360" w:lineRule="exact"/>
        <w:ind w:firstLine="422" w:firstLineChars="200"/>
        <w:jc w:val="left"/>
        <w:rPr>
          <w:rFonts w:ascii="宋体" w:hAnsi="宋体"/>
          <w:b/>
          <w:bCs/>
          <w:color w:val="auto"/>
          <w:kern w:val="0"/>
          <w:szCs w:val="21"/>
          <w:highlight w:val="none"/>
        </w:rPr>
      </w:pPr>
      <w:r>
        <w:rPr>
          <w:rFonts w:hint="eastAsia" w:ascii="宋体" w:hAnsi="宋体"/>
          <w:b/>
          <w:bCs/>
          <w:color w:val="auto"/>
          <w:kern w:val="0"/>
          <w:szCs w:val="21"/>
          <w:highlight w:val="none"/>
        </w:rPr>
        <w:t>三、成交</w:t>
      </w:r>
      <w:r>
        <w:rPr>
          <w:rFonts w:hint="eastAsia" w:ascii="宋体" w:hAnsi="宋体"/>
          <w:b/>
          <w:bCs/>
          <w:color w:val="auto"/>
          <w:kern w:val="0"/>
          <w:szCs w:val="21"/>
          <w:highlight w:val="none"/>
          <w:lang w:val="en-US" w:eastAsia="zh-CN"/>
        </w:rPr>
        <w:t>供应商确认</w:t>
      </w:r>
      <w:r>
        <w:rPr>
          <w:rFonts w:hint="eastAsia" w:ascii="宋体" w:hAnsi="宋体"/>
          <w:b/>
          <w:bCs/>
          <w:color w:val="auto"/>
          <w:kern w:val="0"/>
          <w:szCs w:val="21"/>
          <w:highlight w:val="none"/>
        </w:rPr>
        <w:t>原则</w:t>
      </w:r>
    </w:p>
    <w:p w14:paraId="3FF4578F">
      <w:pPr>
        <w:bidi w:val="0"/>
        <w:ind w:firstLine="420" w:firstLineChars="200"/>
      </w:pPr>
      <w:r>
        <w:rPr>
          <w:rFonts w:hint="eastAsia"/>
          <w:lang w:val="en-US" w:eastAsia="zh-CN"/>
        </w:rPr>
        <w:t>评选</w:t>
      </w:r>
      <w:r>
        <w:rPr>
          <w:rFonts w:hint="eastAsia"/>
        </w:rPr>
        <w:t>小组应当根据综合评分情况，按照评审得分由高到低顺序</w:t>
      </w:r>
      <w:r>
        <w:rPr>
          <w:rFonts w:hint="eastAsia"/>
          <w:lang w:val="en-US" w:eastAsia="zh-CN"/>
        </w:rPr>
        <w:t>确认</w:t>
      </w:r>
      <w:r>
        <w:rPr>
          <w:rFonts w:hint="eastAsia"/>
        </w:rPr>
        <w:t>成交供应商。</w:t>
      </w:r>
      <w:r>
        <w:rPr>
          <w:rFonts w:hint="eastAsia"/>
          <w:lang w:val="en-US" w:eastAsia="zh-CN"/>
        </w:rPr>
        <w:t>评审</w:t>
      </w:r>
      <w:r>
        <w:rPr>
          <w:rFonts w:hint="eastAsia"/>
        </w:rPr>
        <w:t>得分相同的，按</w:t>
      </w:r>
      <w:r>
        <w:rPr>
          <w:rFonts w:hint="eastAsia"/>
          <w:lang w:val="en-US" w:eastAsia="zh-CN"/>
        </w:rPr>
        <w:t>响应</w:t>
      </w:r>
      <w:r>
        <w:rPr>
          <w:rFonts w:hint="eastAsia"/>
        </w:rPr>
        <w:t>报价由低到高顺序</w:t>
      </w:r>
      <w:r>
        <w:rPr>
          <w:rFonts w:hint="eastAsia"/>
          <w:lang w:val="en-US" w:eastAsia="zh-CN"/>
        </w:rPr>
        <w:t>确认成交供应商。</w:t>
      </w:r>
      <w:r>
        <w:rPr>
          <w:rFonts w:hint="eastAsia"/>
        </w:rPr>
        <w:t>评审得分且</w:t>
      </w:r>
      <w:r>
        <w:rPr>
          <w:rFonts w:hint="eastAsia"/>
          <w:lang w:val="en-US" w:eastAsia="zh-CN"/>
        </w:rPr>
        <w:t>响应</w:t>
      </w:r>
      <w:r>
        <w:rPr>
          <w:rFonts w:hint="eastAsia"/>
        </w:rPr>
        <w:t>报价相同的，按照评审因素的量化指标评审得分最高的</w:t>
      </w:r>
      <w:r>
        <w:rPr>
          <w:rFonts w:hint="eastAsia"/>
          <w:lang w:val="en-US" w:eastAsia="zh-CN"/>
        </w:rPr>
        <w:t>确认成交供应商</w:t>
      </w:r>
      <w:r>
        <w:rPr>
          <w:rFonts w:hint="eastAsia"/>
        </w:rPr>
        <w:t>。</w:t>
      </w:r>
    </w:p>
    <w:p w14:paraId="7C92F67E">
      <w:pPr>
        <w:ind w:firstLine="420" w:firstLineChars="200"/>
      </w:pPr>
      <w:r>
        <w:rPr>
          <w:rFonts w:hint="eastAsia"/>
        </w:rPr>
        <w:t>采购人应当</w:t>
      </w:r>
      <w:r>
        <w:rPr>
          <w:rFonts w:hint="eastAsia"/>
          <w:lang w:val="en-US" w:eastAsia="zh-CN"/>
        </w:rPr>
        <w:t>按照得分</w:t>
      </w:r>
      <w:r>
        <w:rPr>
          <w:rFonts w:hint="eastAsia"/>
        </w:rPr>
        <w:t>排名第一的</w:t>
      </w:r>
      <w:r>
        <w:rPr>
          <w:rFonts w:hint="eastAsia"/>
          <w:lang w:val="en-US" w:eastAsia="zh-CN"/>
        </w:rPr>
        <w:t>供应商为</w:t>
      </w:r>
      <w:r>
        <w:rPr>
          <w:rFonts w:hint="eastAsia"/>
        </w:rPr>
        <w:t>成交</w:t>
      </w:r>
      <w:r>
        <w:rPr>
          <w:rFonts w:hint="eastAsia"/>
          <w:lang w:val="en-US" w:eastAsia="zh-CN"/>
        </w:rPr>
        <w:t>供应商</w:t>
      </w:r>
      <w:r>
        <w:rPr>
          <w:rFonts w:hint="eastAsia"/>
        </w:rPr>
        <w:t>。排名第一的成交</w:t>
      </w:r>
      <w:r>
        <w:rPr>
          <w:rFonts w:hint="eastAsia"/>
          <w:lang w:val="en-US" w:eastAsia="zh-CN"/>
        </w:rPr>
        <w:t>供应商</w:t>
      </w:r>
      <w:r>
        <w:rPr>
          <w:rFonts w:hint="eastAsia"/>
        </w:rPr>
        <w:t>放弃成交、因不可抗力提出不能履行合同，采购人可以确定排名第二的</w:t>
      </w:r>
      <w:r>
        <w:rPr>
          <w:rFonts w:hint="eastAsia"/>
          <w:lang w:val="en-US" w:eastAsia="zh-CN"/>
        </w:rPr>
        <w:t>供应商</w:t>
      </w:r>
      <w:r>
        <w:rPr>
          <w:rFonts w:hint="eastAsia"/>
        </w:rPr>
        <w:t>为成交</w:t>
      </w:r>
      <w:r>
        <w:rPr>
          <w:rFonts w:hint="eastAsia"/>
          <w:lang w:val="en-US" w:eastAsia="zh-CN"/>
        </w:rPr>
        <w:t>供应商，</w:t>
      </w:r>
      <w:r>
        <w:rPr>
          <w:rFonts w:hint="eastAsia"/>
        </w:rPr>
        <w:t>也可以重新开展采购活动。排名第二的</w:t>
      </w:r>
      <w:r>
        <w:rPr>
          <w:rFonts w:hint="eastAsia"/>
          <w:lang w:val="en-US" w:eastAsia="zh-CN"/>
        </w:rPr>
        <w:t>供应商</w:t>
      </w:r>
      <w:r>
        <w:rPr>
          <w:rFonts w:hint="eastAsia"/>
        </w:rPr>
        <w:t>因前款规定的同样原因不能签订合同的，采购人可以确定排名第三的</w:t>
      </w:r>
      <w:r>
        <w:rPr>
          <w:rFonts w:hint="eastAsia"/>
          <w:lang w:val="en-US" w:eastAsia="zh-CN"/>
        </w:rPr>
        <w:t>供应商</w:t>
      </w:r>
      <w:r>
        <w:rPr>
          <w:rFonts w:hint="eastAsia"/>
        </w:rPr>
        <w:t>为成交</w:t>
      </w:r>
      <w:r>
        <w:rPr>
          <w:rFonts w:hint="eastAsia"/>
          <w:lang w:val="en-US" w:eastAsia="zh-CN"/>
        </w:rPr>
        <w:t>供应商</w:t>
      </w:r>
      <w:r>
        <w:rPr>
          <w:rFonts w:hint="eastAsia"/>
        </w:rPr>
        <w:t>，也可以重新开展采购活动</w:t>
      </w:r>
      <w:r>
        <w:rPr>
          <w:rFonts w:hint="eastAsia"/>
          <w:lang w:eastAsia="zh-CN"/>
        </w:rPr>
        <w:t>，</w:t>
      </w:r>
      <w:r>
        <w:rPr>
          <w:rFonts w:hint="eastAsia"/>
        </w:rPr>
        <w:t>其余以此类推。</w:t>
      </w:r>
    </w:p>
    <w:p w14:paraId="03BA8DDB">
      <w:pPr>
        <w:pStyle w:val="9"/>
        <w:spacing w:line="500" w:lineRule="exact"/>
        <w:jc w:val="left"/>
        <w:rPr>
          <w:rFonts w:hint="eastAsia" w:ascii="仿宋_GB2312" w:hAnsi="仿宋_GB2312" w:eastAsia="仿宋_GB2312" w:cs="仿宋_GB2312"/>
          <w:color w:val="auto"/>
          <w:kern w:val="2"/>
          <w:sz w:val="30"/>
          <w:szCs w:val="30"/>
          <w:lang w:val="en-US" w:eastAsia="zh-CN" w:bidi="ar-SA"/>
        </w:rPr>
      </w:pPr>
      <w:r>
        <w:rPr>
          <w:rFonts w:hint="eastAsia" w:ascii="仿宋_GB2312" w:hAnsi="仿宋_GB2312" w:eastAsia="仿宋_GB2312" w:cs="仿宋_GB2312"/>
          <w:color w:val="auto"/>
          <w:kern w:val="2"/>
          <w:sz w:val="30"/>
          <w:szCs w:val="30"/>
          <w:lang w:val="en-US" w:eastAsia="zh-CN" w:bidi="ar-SA"/>
        </w:rPr>
        <w:t>附件3</w:t>
      </w:r>
    </w:p>
    <w:p w14:paraId="6CF2A9E5">
      <w:pPr>
        <w:pStyle w:val="9"/>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9"/>
        <w:spacing w:line="360" w:lineRule="auto"/>
        <w:jc w:val="left"/>
        <w:rPr>
          <w:rFonts w:hAnsi="宋体"/>
          <w:bCs/>
          <w:color w:val="auto"/>
          <w:szCs w:val="21"/>
        </w:rPr>
      </w:pPr>
    </w:p>
    <w:p w14:paraId="714DE6D6">
      <w:pPr>
        <w:pStyle w:val="9"/>
        <w:spacing w:line="360" w:lineRule="auto"/>
        <w:jc w:val="left"/>
        <w:rPr>
          <w:rFonts w:hAnsi="宋体"/>
          <w:bCs/>
          <w:color w:val="auto"/>
          <w:szCs w:val="21"/>
        </w:rPr>
      </w:pPr>
      <w:r>
        <w:rPr>
          <w:rFonts w:hint="eastAsia" w:hAnsi="宋体"/>
          <w:bCs/>
          <w:color w:val="auto"/>
          <w:szCs w:val="21"/>
        </w:rPr>
        <w:t>南宁中心血站：</w:t>
      </w:r>
    </w:p>
    <w:p w14:paraId="57622425">
      <w:pPr>
        <w:pStyle w:val="3"/>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rPr>
        <w:t>是（</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u w:val="single"/>
          <w:lang w:val="zh-TW" w:eastAsia="zh-TW"/>
        </w:rPr>
        <w:t>南宁中心血站2026年献血退役纪念杯（牌）及生日献血纪念徽章定制采购</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rPr>
        <w:t>项目的竞标活动，并代表我方全权办理针对上述项目的所有采购程序和环节的具体事务和签署相关文件。</w:t>
      </w:r>
    </w:p>
    <w:p w14:paraId="550B8D1C">
      <w:pPr>
        <w:pStyle w:val="15"/>
        <w:spacing w:line="360" w:lineRule="auto"/>
        <w:ind w:firstLineChars="200"/>
        <w:rPr>
          <w:color w:val="auto"/>
        </w:rPr>
      </w:pPr>
      <w:r>
        <w:rPr>
          <w:rFonts w:hint="eastAsia"/>
          <w:color w:val="auto"/>
        </w:rPr>
        <w:t>我方对委托代理人的签字事项负全部责任。</w:t>
      </w:r>
    </w:p>
    <w:p w14:paraId="4156E484">
      <w:pPr>
        <w:pStyle w:val="15"/>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15"/>
        <w:spacing w:line="360" w:lineRule="auto"/>
        <w:ind w:firstLineChars="200"/>
        <w:rPr>
          <w:color w:val="auto"/>
        </w:rPr>
      </w:pPr>
      <w:r>
        <w:rPr>
          <w:rFonts w:hint="eastAsia"/>
          <w:color w:val="auto"/>
        </w:rPr>
        <w:t>委托代理人无转委托权，特此委托。</w:t>
      </w:r>
    </w:p>
    <w:p w14:paraId="4AAACB6B">
      <w:pPr>
        <w:pStyle w:val="15"/>
        <w:spacing w:line="360" w:lineRule="auto"/>
        <w:ind w:firstLineChars="200"/>
        <w:rPr>
          <w:rFonts w:hint="eastAsia" w:eastAsiaTheme="minorEastAsia"/>
          <w:color w:val="auto"/>
          <w:lang w:eastAsia="zh-CN"/>
        </w:rPr>
      </w:pPr>
      <w:r>
        <w:rPr>
          <w:rFonts w:hint="eastAsia"/>
          <w:color w:val="auto"/>
        </w:rPr>
        <w:t>附：法定代表人身份证明书及委托代理人有效身份证正反面复印件</w:t>
      </w:r>
      <w:r>
        <w:rPr>
          <w:rFonts w:hint="eastAsia"/>
          <w:color w:val="auto"/>
          <w:lang w:eastAsia="zh-CN"/>
        </w:rPr>
        <w:t>。</w:t>
      </w:r>
    </w:p>
    <w:p w14:paraId="634BBAEC">
      <w:pPr>
        <w:pStyle w:val="15"/>
        <w:spacing w:line="360" w:lineRule="auto"/>
        <w:ind w:firstLineChars="200"/>
        <w:rPr>
          <w:color w:val="auto"/>
        </w:rPr>
      </w:pPr>
    </w:p>
    <w:p w14:paraId="06C42395">
      <w:pPr>
        <w:pStyle w:val="15"/>
        <w:ind w:firstLineChars="200"/>
        <w:rPr>
          <w:color w:val="auto"/>
        </w:rPr>
      </w:pPr>
    </w:p>
    <w:p w14:paraId="310B8657">
      <w:pPr>
        <w:pStyle w:val="15"/>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15"/>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15"/>
        <w:ind w:firstLineChars="200"/>
        <w:rPr>
          <w:rFonts w:hint="default" w:eastAsiaTheme="minorEastAsia"/>
          <w:color w:val="auto"/>
          <w:lang w:val="en-US" w:eastAsia="zh-CN"/>
        </w:rPr>
      </w:pPr>
    </w:p>
    <w:p w14:paraId="26ABD9C4">
      <w:pPr>
        <w:pStyle w:val="15"/>
        <w:ind w:firstLineChars="200"/>
        <w:rPr>
          <w:color w:val="auto"/>
        </w:rPr>
      </w:pPr>
    </w:p>
    <w:p w14:paraId="1A155D87">
      <w:pPr>
        <w:pStyle w:val="15"/>
        <w:ind w:firstLineChars="200"/>
        <w:rPr>
          <w:rFonts w:hint="eastAsia"/>
          <w:color w:val="auto"/>
          <w:lang w:eastAsia="zh-CN"/>
        </w:rPr>
      </w:pPr>
      <w:r>
        <w:rPr>
          <w:rFonts w:hint="eastAsia"/>
          <w:color w:val="auto"/>
        </w:rPr>
        <w:t>委托代理人（签字）</w:t>
      </w:r>
      <w:r>
        <w:rPr>
          <w:rFonts w:hint="eastAsia"/>
          <w:color w:val="auto"/>
          <w:lang w:eastAsia="zh-CN"/>
        </w:rPr>
        <w:t>：</w:t>
      </w:r>
    </w:p>
    <w:p w14:paraId="5520BA77">
      <w:pPr>
        <w:pStyle w:val="15"/>
        <w:ind w:firstLineChars="200"/>
        <w:rPr>
          <w:rFonts w:hint="eastAsia" w:ascii="宋体" w:hAnsi="宋体" w:cs="仿宋_GB2312"/>
          <w:color w:val="auto"/>
          <w:sz w:val="24"/>
        </w:rPr>
      </w:pPr>
      <w:r>
        <w:rPr>
          <w:rFonts w:hint="eastAsia"/>
          <w:color w:val="auto"/>
        </w:rPr>
        <w:t>委托代理人身份证号码：</w:t>
      </w:r>
      <w:r>
        <w:rPr>
          <w:rFonts w:hint="eastAsia"/>
          <w:color w:val="auto"/>
          <w:lang w:val="en-US" w:eastAsia="zh-CN"/>
        </w:rPr>
        <w:t xml:space="preserve">                       日期：  年  月   日</w:t>
      </w: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7EAB60E8">
      <w:pPr>
        <w:rPr>
          <w:rFonts w:hint="eastAsia" w:ascii="仿宋" w:hAnsi="仿宋" w:eastAsia="仿宋"/>
          <w:color w:val="auto"/>
          <w:sz w:val="30"/>
          <w:szCs w:val="30"/>
        </w:rPr>
      </w:pPr>
      <w:r>
        <w:rPr>
          <w:rFonts w:hint="eastAsia"/>
          <w:color w:val="auto"/>
        </w:rPr>
        <w:t>3. 法人、其他组织竞标时“我方”是指“我单位”，自然人竞标时“我方”是指“本人”。</w:t>
      </w:r>
    </w:p>
    <w:p w14:paraId="23D5ADDD">
      <w:pPr>
        <w:snapToGrid w:val="0"/>
        <w:spacing w:before="156" w:beforeLines="50" w:after="50" w:line="400" w:lineRule="exact"/>
        <w:jc w:val="left"/>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4</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7"/>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shd w:val="clear" w:color="auto" w:fill="FBFBFB"/>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9"/>
        <w:spacing w:line="500" w:lineRule="exact"/>
        <w:jc w:val="left"/>
        <w:rPr>
          <w:rFonts w:hint="eastAsia" w:hAnsi="宋体" w:eastAsiaTheme="minorEastAsia"/>
          <w:b/>
          <w:bCs/>
          <w:sz w:val="30"/>
          <w:szCs w:val="30"/>
          <w:lang w:val="en-US" w:eastAsia="zh-CN"/>
        </w:rPr>
      </w:pPr>
    </w:p>
    <w:p w14:paraId="59118329">
      <w:pPr>
        <w:pStyle w:val="3"/>
        <w:numPr>
          <w:ilvl w:val="3"/>
          <w:numId w:val="0"/>
        </w:numPr>
        <w:ind w:left="1077" w:leftChars="0"/>
        <w:rPr>
          <w:rFonts w:hint="eastAsia"/>
          <w:lang w:val="en-US" w:eastAsia="zh-CN"/>
        </w:rPr>
      </w:pPr>
    </w:p>
    <w:p w14:paraId="6C99CB0C">
      <w:pPr>
        <w:pStyle w:val="9"/>
        <w:spacing w:line="500" w:lineRule="exact"/>
        <w:jc w:val="left"/>
        <w:rPr>
          <w:rFonts w:hAnsi="宋体"/>
          <w:b/>
          <w:bCs/>
          <w:sz w:val="30"/>
          <w:szCs w:val="30"/>
        </w:rPr>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7"/>
        <w:tblW w:w="9645" w:type="dxa"/>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08849438">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2F56FAF2">
      <w:pPr>
        <w:rPr>
          <w:rFonts w:hint="eastAsia" w:ascii="仿宋" w:hAnsi="仿宋" w:eastAsia="仿宋"/>
          <w:color w:val="auto"/>
          <w:sz w:val="30"/>
          <w:szCs w:val="30"/>
        </w:rPr>
      </w:pPr>
    </w:p>
    <w:p w14:paraId="1D235F30">
      <w:pPr>
        <w:rPr>
          <w:rFonts w:hint="eastAsia" w:ascii="仿宋" w:hAnsi="仿宋" w:eastAsia="仿宋"/>
          <w:color w:val="auto"/>
          <w:sz w:val="30"/>
          <w:szCs w:val="30"/>
        </w:rPr>
      </w:pPr>
    </w:p>
    <w:p w14:paraId="5424D71E">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5</w:t>
      </w:r>
    </w:p>
    <w:p w14:paraId="5E32E8DE">
      <w:pPr>
        <w:bidi w:val="0"/>
        <w:jc w:val="center"/>
        <w:rPr>
          <w:rFonts w:hint="eastAsia" w:eastAsiaTheme="minorEastAsia"/>
          <w:b/>
          <w:bCs/>
          <w:sz w:val="32"/>
          <w:szCs w:val="32"/>
          <w:lang w:val="en-US" w:eastAsia="zh-CN"/>
        </w:rPr>
      </w:pPr>
      <w:r>
        <w:rPr>
          <w:rFonts w:hint="eastAsia"/>
          <w:b/>
          <w:bCs/>
          <w:sz w:val="32"/>
          <w:szCs w:val="32"/>
        </w:rPr>
        <w:t>报价表</w:t>
      </w:r>
    </w:p>
    <w:tbl>
      <w:tblPr>
        <w:tblStyle w:val="18"/>
        <w:tblpPr w:leftFromText="180" w:rightFromText="180" w:vertAnchor="text" w:horzAnchor="page" w:tblpXSpec="center" w:tblpY="297"/>
        <w:tblOverlap w:val="never"/>
        <w:tblW w:w="97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0"/>
        <w:gridCol w:w="2520"/>
        <w:gridCol w:w="1572"/>
        <w:gridCol w:w="1700"/>
        <w:gridCol w:w="1834"/>
        <w:gridCol w:w="1158"/>
      </w:tblGrid>
      <w:tr w14:paraId="6986F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960" w:type="dxa"/>
            <w:noWrap w:val="0"/>
            <w:vAlign w:val="center"/>
          </w:tcPr>
          <w:p w14:paraId="1CF18044">
            <w:pPr>
              <w:pStyle w:val="9"/>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项号</w:t>
            </w:r>
          </w:p>
        </w:tc>
        <w:tc>
          <w:tcPr>
            <w:tcW w:w="2520" w:type="dxa"/>
            <w:noWrap w:val="0"/>
            <w:vAlign w:val="center"/>
          </w:tcPr>
          <w:p w14:paraId="3C944560">
            <w:pPr>
              <w:pStyle w:val="9"/>
              <w:jc w:val="center"/>
              <w:rPr>
                <w:rFonts w:hint="default" w:hAnsi="宋体" w:cs="宋体"/>
                <w:b/>
                <w:bCs/>
                <w:kern w:val="0"/>
                <w:sz w:val="21"/>
                <w:szCs w:val="21"/>
                <w:lang w:val="en-US" w:eastAsia="zh-CN"/>
              </w:rPr>
            </w:pPr>
            <w:r>
              <w:rPr>
                <w:rFonts w:hint="eastAsia" w:hAnsi="宋体" w:cs="宋体"/>
                <w:b/>
                <w:bCs/>
                <w:kern w:val="0"/>
                <w:sz w:val="21"/>
                <w:szCs w:val="21"/>
                <w:lang w:val="en-US" w:eastAsia="zh-CN"/>
              </w:rPr>
              <w:t>货物</w:t>
            </w:r>
            <w:r>
              <w:rPr>
                <w:rFonts w:hint="eastAsia" w:ascii="宋体" w:hAnsi="宋体" w:eastAsia="宋体" w:cs="宋体"/>
                <w:b/>
                <w:bCs/>
                <w:kern w:val="0"/>
                <w:sz w:val="21"/>
                <w:szCs w:val="21"/>
                <w:lang w:val="en-US" w:eastAsia="zh-CN"/>
              </w:rPr>
              <w:t>名称</w:t>
            </w:r>
          </w:p>
        </w:tc>
        <w:tc>
          <w:tcPr>
            <w:tcW w:w="1572" w:type="dxa"/>
            <w:noWrap w:val="0"/>
            <w:vAlign w:val="center"/>
          </w:tcPr>
          <w:p w14:paraId="7D543B8D">
            <w:pPr>
              <w:pStyle w:val="9"/>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数量</w:t>
            </w:r>
          </w:p>
          <w:p w14:paraId="5E2F59C3">
            <w:pPr>
              <w:pStyle w:val="9"/>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①</w:t>
            </w:r>
          </w:p>
        </w:tc>
        <w:tc>
          <w:tcPr>
            <w:tcW w:w="1700" w:type="dxa"/>
            <w:noWrap w:val="0"/>
            <w:vAlign w:val="center"/>
          </w:tcPr>
          <w:p w14:paraId="7CAF3CE1">
            <w:pPr>
              <w:pStyle w:val="9"/>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val="en-US" w:eastAsia="zh-CN"/>
              </w:rPr>
              <w:t>单价（元）</w:t>
            </w:r>
          </w:p>
          <w:p w14:paraId="2EF4B3DB">
            <w:pPr>
              <w:pStyle w:val="9"/>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rPr>
              <w:t>②</w:t>
            </w:r>
          </w:p>
        </w:tc>
        <w:tc>
          <w:tcPr>
            <w:tcW w:w="1834" w:type="dxa"/>
            <w:noWrap w:val="0"/>
            <w:vAlign w:val="center"/>
          </w:tcPr>
          <w:p w14:paraId="72993DF1">
            <w:pPr>
              <w:pStyle w:val="9"/>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val="en-US" w:eastAsia="zh-CN"/>
              </w:rPr>
              <w:t xml:space="preserve">单项合价 （元） </w:t>
            </w:r>
          </w:p>
          <w:p w14:paraId="5EF0A315">
            <w:pPr>
              <w:pStyle w:val="9"/>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rPr>
              <w:t>③=①×②</w:t>
            </w:r>
          </w:p>
        </w:tc>
        <w:tc>
          <w:tcPr>
            <w:tcW w:w="1158" w:type="dxa"/>
            <w:noWrap w:val="0"/>
            <w:vAlign w:val="center"/>
          </w:tcPr>
          <w:p w14:paraId="0030BA9E">
            <w:pPr>
              <w:pStyle w:val="9"/>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备注</w:t>
            </w:r>
          </w:p>
        </w:tc>
      </w:tr>
      <w:tr w14:paraId="73BC2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2" w:hRule="exact"/>
          <w:jc w:val="center"/>
        </w:trPr>
        <w:tc>
          <w:tcPr>
            <w:tcW w:w="960" w:type="dxa"/>
            <w:noWrap w:val="0"/>
            <w:vAlign w:val="center"/>
          </w:tcPr>
          <w:p w14:paraId="605BCA8A">
            <w:pPr>
              <w:pStyle w:val="9"/>
              <w:jc w:val="center"/>
              <w:rPr>
                <w:rFonts w:hint="default" w:ascii="宋体" w:hAnsi="宋体" w:eastAsia="宋体" w:cs="宋体"/>
                <w:kern w:val="0"/>
                <w:sz w:val="18"/>
                <w:szCs w:val="18"/>
                <w:lang w:val="en-US" w:eastAsia="zh-CN"/>
              </w:rPr>
            </w:pPr>
            <w:r>
              <w:rPr>
                <w:rFonts w:hint="eastAsia" w:hAnsi="宋体" w:cs="宋体"/>
                <w:kern w:val="0"/>
                <w:sz w:val="18"/>
                <w:szCs w:val="18"/>
                <w:lang w:val="en-US" w:eastAsia="zh-CN"/>
              </w:rPr>
              <w:t>1</w:t>
            </w:r>
          </w:p>
        </w:tc>
        <w:tc>
          <w:tcPr>
            <w:tcW w:w="2520" w:type="dxa"/>
            <w:noWrap w:val="0"/>
            <w:vAlign w:val="center"/>
          </w:tcPr>
          <w:p w14:paraId="23BF88AD">
            <w:pPr>
              <w:jc w:val="center"/>
              <w:rPr>
                <w:rFonts w:hint="eastAsia" w:asciiTheme="minorEastAsia" w:hAnsiTheme="minorEastAsia" w:cstheme="minorEastAsia"/>
                <w:kern w:val="0"/>
                <w:sz w:val="21"/>
                <w:szCs w:val="21"/>
                <w:lang w:val="en-US" w:eastAsia="zh-CN"/>
              </w:rPr>
            </w:pPr>
            <w:r>
              <w:rPr>
                <w:rFonts w:hint="eastAsia" w:asciiTheme="minorEastAsia" w:hAnsiTheme="minorEastAsia" w:cstheme="minorEastAsia"/>
                <w:kern w:val="0"/>
                <w:sz w:val="21"/>
                <w:szCs w:val="21"/>
                <w:lang w:val="en-US" w:eastAsia="zh-CN"/>
              </w:rPr>
              <w:t>献血退役纪念杯（牌）</w:t>
            </w:r>
          </w:p>
        </w:tc>
        <w:tc>
          <w:tcPr>
            <w:tcW w:w="1572" w:type="dxa"/>
            <w:noWrap w:val="0"/>
            <w:vAlign w:val="center"/>
          </w:tcPr>
          <w:p w14:paraId="545DEFD9">
            <w:pPr>
              <w:pStyle w:val="9"/>
              <w:jc w:val="center"/>
              <w:rPr>
                <w:rFonts w:hint="default" w:asciiTheme="minorEastAsia" w:hAnsiTheme="minorEastAsia" w:eastAsiaTheme="minorEastAsia" w:cstheme="minorEastAsia"/>
                <w:kern w:val="0"/>
                <w:sz w:val="21"/>
                <w:szCs w:val="21"/>
                <w:lang w:val="en-US" w:eastAsia="zh-CN"/>
              </w:rPr>
            </w:pPr>
            <w:r>
              <w:rPr>
                <w:rFonts w:hint="eastAsia" w:asciiTheme="minorEastAsia" w:hAnsiTheme="minorEastAsia" w:eastAsiaTheme="minorEastAsia" w:cstheme="minorEastAsia"/>
                <w:kern w:val="0"/>
                <w:sz w:val="21"/>
                <w:szCs w:val="21"/>
                <w:lang w:val="en-US" w:eastAsia="zh-CN"/>
              </w:rPr>
              <w:t>100个</w:t>
            </w:r>
          </w:p>
        </w:tc>
        <w:tc>
          <w:tcPr>
            <w:tcW w:w="1700" w:type="dxa"/>
            <w:noWrap w:val="0"/>
            <w:vAlign w:val="center"/>
          </w:tcPr>
          <w:p w14:paraId="4854383B">
            <w:pPr>
              <w:pStyle w:val="9"/>
              <w:jc w:val="center"/>
              <w:rPr>
                <w:rFonts w:hint="eastAsia" w:asciiTheme="minorEastAsia" w:hAnsiTheme="minorEastAsia" w:eastAsiaTheme="minorEastAsia" w:cstheme="minorEastAsia"/>
                <w:color w:val="0000FF"/>
                <w:kern w:val="2"/>
                <w:sz w:val="21"/>
                <w:szCs w:val="21"/>
                <w:highlight w:val="none"/>
                <w:lang w:val="en-US" w:eastAsia="zh-CN" w:bidi="ar-SA"/>
              </w:rPr>
            </w:pPr>
          </w:p>
        </w:tc>
        <w:tc>
          <w:tcPr>
            <w:tcW w:w="1834" w:type="dxa"/>
            <w:noWrap w:val="0"/>
            <w:vAlign w:val="center"/>
          </w:tcPr>
          <w:p w14:paraId="2B91DFC1">
            <w:pPr>
              <w:pStyle w:val="9"/>
              <w:jc w:val="center"/>
              <w:rPr>
                <w:rFonts w:hint="eastAsia" w:asciiTheme="minorEastAsia" w:hAnsiTheme="minorEastAsia" w:eastAsiaTheme="minorEastAsia" w:cstheme="minorEastAsia"/>
                <w:color w:val="0000FF"/>
                <w:kern w:val="2"/>
                <w:sz w:val="21"/>
                <w:szCs w:val="21"/>
                <w:highlight w:val="none"/>
                <w:lang w:val="en-US" w:eastAsia="zh-CN" w:bidi="ar-SA"/>
              </w:rPr>
            </w:pPr>
          </w:p>
        </w:tc>
        <w:tc>
          <w:tcPr>
            <w:tcW w:w="1158" w:type="dxa"/>
            <w:noWrap w:val="0"/>
            <w:vAlign w:val="center"/>
          </w:tcPr>
          <w:p w14:paraId="0CB513CA">
            <w:pPr>
              <w:pStyle w:val="9"/>
              <w:jc w:val="center"/>
              <w:rPr>
                <w:rFonts w:hint="default" w:ascii="宋体" w:hAnsi="宋体" w:eastAsia="宋体" w:cs="宋体"/>
                <w:kern w:val="0"/>
                <w:sz w:val="18"/>
                <w:szCs w:val="18"/>
                <w:lang w:val="en-US" w:eastAsia="zh-CN"/>
              </w:rPr>
            </w:pPr>
          </w:p>
        </w:tc>
      </w:tr>
      <w:tr w14:paraId="32E6A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2" w:hRule="exact"/>
          <w:jc w:val="center"/>
        </w:trPr>
        <w:tc>
          <w:tcPr>
            <w:tcW w:w="960" w:type="dxa"/>
            <w:noWrap w:val="0"/>
            <w:vAlign w:val="center"/>
          </w:tcPr>
          <w:p w14:paraId="4B000860">
            <w:pPr>
              <w:pStyle w:val="9"/>
              <w:jc w:val="center"/>
              <w:rPr>
                <w:rFonts w:hint="default" w:hAnsi="宋体" w:cs="宋体"/>
                <w:kern w:val="0"/>
                <w:sz w:val="18"/>
                <w:szCs w:val="18"/>
                <w:lang w:val="en-US" w:eastAsia="zh-CN"/>
              </w:rPr>
            </w:pPr>
            <w:r>
              <w:rPr>
                <w:rFonts w:hint="eastAsia" w:hAnsi="宋体" w:cs="宋体"/>
                <w:kern w:val="0"/>
                <w:sz w:val="18"/>
                <w:szCs w:val="18"/>
                <w:lang w:val="en-US" w:eastAsia="zh-CN"/>
              </w:rPr>
              <w:t>2</w:t>
            </w:r>
          </w:p>
        </w:tc>
        <w:tc>
          <w:tcPr>
            <w:tcW w:w="2520" w:type="dxa"/>
            <w:noWrap w:val="0"/>
            <w:vAlign w:val="center"/>
          </w:tcPr>
          <w:p w14:paraId="6F0357FA">
            <w:pPr>
              <w:jc w:val="center"/>
              <w:rPr>
                <w:rFonts w:hint="eastAsia" w:asciiTheme="minorEastAsia" w:hAnsiTheme="minorEastAsia" w:cstheme="minorEastAsia"/>
                <w:kern w:val="0"/>
                <w:sz w:val="21"/>
                <w:szCs w:val="21"/>
                <w:lang w:val="en-US" w:eastAsia="zh-CN"/>
              </w:rPr>
            </w:pPr>
            <w:r>
              <w:rPr>
                <w:rFonts w:hint="eastAsia" w:asciiTheme="minorEastAsia" w:hAnsiTheme="minorEastAsia" w:cstheme="minorEastAsia"/>
                <w:kern w:val="0"/>
                <w:sz w:val="21"/>
                <w:szCs w:val="21"/>
                <w:lang w:val="en-US" w:eastAsia="zh-CN"/>
              </w:rPr>
              <w:t>生日献血纪念徽章</w:t>
            </w:r>
          </w:p>
        </w:tc>
        <w:tc>
          <w:tcPr>
            <w:tcW w:w="1572" w:type="dxa"/>
            <w:noWrap w:val="0"/>
            <w:vAlign w:val="center"/>
          </w:tcPr>
          <w:p w14:paraId="4BAAADE1">
            <w:pPr>
              <w:pStyle w:val="9"/>
              <w:jc w:val="center"/>
              <w:rPr>
                <w:rFonts w:hint="default" w:asciiTheme="minorEastAsia" w:hAnsiTheme="minorEastAsia" w:eastAsiaTheme="minorEastAsia" w:cstheme="minorEastAsia"/>
                <w:kern w:val="0"/>
                <w:sz w:val="21"/>
                <w:szCs w:val="21"/>
                <w:lang w:val="en-US" w:eastAsia="zh-CN"/>
              </w:rPr>
            </w:pPr>
            <w:r>
              <w:rPr>
                <w:rFonts w:hint="eastAsia" w:asciiTheme="minorEastAsia" w:hAnsiTheme="minorEastAsia" w:eastAsiaTheme="minorEastAsia" w:cstheme="minorEastAsia"/>
                <w:kern w:val="0"/>
                <w:sz w:val="21"/>
                <w:szCs w:val="21"/>
                <w:lang w:val="en-US" w:eastAsia="zh-CN"/>
              </w:rPr>
              <w:t>600个</w:t>
            </w:r>
          </w:p>
        </w:tc>
        <w:tc>
          <w:tcPr>
            <w:tcW w:w="1700" w:type="dxa"/>
            <w:noWrap w:val="0"/>
            <w:vAlign w:val="center"/>
          </w:tcPr>
          <w:p w14:paraId="019DB75E">
            <w:pPr>
              <w:pStyle w:val="9"/>
              <w:jc w:val="center"/>
              <w:rPr>
                <w:rFonts w:hint="eastAsia" w:asciiTheme="minorEastAsia" w:hAnsiTheme="minorEastAsia" w:eastAsiaTheme="minorEastAsia" w:cstheme="minorEastAsia"/>
                <w:color w:val="0000FF"/>
                <w:kern w:val="2"/>
                <w:sz w:val="21"/>
                <w:szCs w:val="21"/>
                <w:highlight w:val="none"/>
                <w:lang w:val="en-US" w:eastAsia="zh-CN" w:bidi="ar-SA"/>
              </w:rPr>
            </w:pPr>
          </w:p>
        </w:tc>
        <w:tc>
          <w:tcPr>
            <w:tcW w:w="1834" w:type="dxa"/>
            <w:noWrap w:val="0"/>
            <w:vAlign w:val="center"/>
          </w:tcPr>
          <w:p w14:paraId="48C9A902">
            <w:pPr>
              <w:pStyle w:val="9"/>
              <w:jc w:val="center"/>
              <w:rPr>
                <w:rFonts w:hint="eastAsia" w:asciiTheme="minorEastAsia" w:hAnsiTheme="minorEastAsia" w:eastAsiaTheme="minorEastAsia" w:cstheme="minorEastAsia"/>
                <w:color w:val="0000FF"/>
                <w:kern w:val="2"/>
                <w:sz w:val="21"/>
                <w:szCs w:val="21"/>
                <w:highlight w:val="none"/>
                <w:lang w:val="en-US" w:eastAsia="zh-CN" w:bidi="ar-SA"/>
              </w:rPr>
            </w:pPr>
          </w:p>
        </w:tc>
        <w:tc>
          <w:tcPr>
            <w:tcW w:w="1158" w:type="dxa"/>
            <w:noWrap w:val="0"/>
            <w:vAlign w:val="center"/>
          </w:tcPr>
          <w:p w14:paraId="0817D52D">
            <w:pPr>
              <w:pStyle w:val="9"/>
              <w:jc w:val="center"/>
              <w:rPr>
                <w:rFonts w:hint="default" w:ascii="宋体" w:hAnsi="宋体" w:eastAsia="宋体" w:cs="宋体"/>
                <w:kern w:val="0"/>
                <w:sz w:val="18"/>
                <w:szCs w:val="18"/>
                <w:lang w:val="en-US" w:eastAsia="zh-CN"/>
              </w:rPr>
            </w:pPr>
          </w:p>
        </w:tc>
      </w:tr>
      <w:tr w14:paraId="4A677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9744" w:type="dxa"/>
            <w:gridSpan w:val="6"/>
            <w:noWrap w:val="0"/>
            <w:vAlign w:val="center"/>
          </w:tcPr>
          <w:p w14:paraId="53C1172B">
            <w:pPr>
              <w:pStyle w:val="9"/>
              <w:jc w:val="left"/>
              <w:rPr>
                <w:rFonts w:hint="eastAsia" w:asciiTheme="minorEastAsia" w:hAnsiTheme="minorEastAsia" w:eastAsiaTheme="minorEastAsia" w:cstheme="minorEastAsia"/>
                <w:color w:val="auto"/>
                <w:kern w:val="0"/>
                <w:sz w:val="20"/>
                <w:szCs w:val="21"/>
              </w:rPr>
            </w:pPr>
            <w:r>
              <w:rPr>
                <w:rFonts w:hint="eastAsia" w:asciiTheme="minorEastAsia" w:hAnsiTheme="minorEastAsia" w:eastAsiaTheme="minorEastAsia" w:cstheme="minorEastAsia"/>
                <w:color w:val="auto"/>
                <w:kern w:val="0"/>
                <w:sz w:val="20"/>
                <w:szCs w:val="21"/>
              </w:rPr>
              <w:t>报价合计（包含税费等所有费用）：（大写）人民币</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元）</w:t>
            </w:r>
          </w:p>
        </w:tc>
      </w:tr>
      <w:tr w14:paraId="614EA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9" w:hRule="atLeast"/>
          <w:jc w:val="center"/>
        </w:trPr>
        <w:tc>
          <w:tcPr>
            <w:tcW w:w="9744" w:type="dxa"/>
            <w:gridSpan w:val="6"/>
            <w:noWrap w:val="0"/>
            <w:vAlign w:val="center"/>
          </w:tcPr>
          <w:p w14:paraId="3E89DD22">
            <w:pPr>
              <w:pStyle w:val="9"/>
              <w:jc w:val="left"/>
              <w:rPr>
                <w:rFonts w:hint="eastAsia" w:asciiTheme="minorEastAsia" w:hAnsiTheme="minorEastAsia" w:cstheme="minorEastAsia"/>
                <w:b/>
                <w:color w:val="FF0000"/>
                <w:kern w:val="0"/>
                <w:sz w:val="20"/>
                <w:szCs w:val="21"/>
              </w:rPr>
            </w:pPr>
            <w:r>
              <w:rPr>
                <w:rFonts w:hint="eastAsia" w:asciiTheme="minorEastAsia" w:hAnsiTheme="minorEastAsia" w:cstheme="minorEastAsia"/>
                <w:b/>
                <w:color w:val="FF0000"/>
                <w:kern w:val="0"/>
                <w:sz w:val="20"/>
                <w:szCs w:val="21"/>
              </w:rPr>
              <w:t>说明：</w:t>
            </w:r>
            <w:r>
              <w:rPr>
                <w:rFonts w:hint="eastAsia" w:asciiTheme="minorEastAsia" w:hAnsiTheme="minorEastAsia" w:eastAsiaTheme="minorEastAsia"/>
                <w:b/>
                <w:color w:val="FF0000"/>
                <w:sz w:val="21"/>
                <w:szCs w:val="21"/>
                <w:lang w:val="en-US" w:eastAsia="zh-CN"/>
              </w:rPr>
              <w:t>本项目仅做一次报价，请响应供应商一次报出不得更改的价格且报价合计</w:t>
            </w:r>
            <w:r>
              <w:rPr>
                <w:rFonts w:hint="eastAsia" w:cs="Times New Roman" w:asciiTheme="minorEastAsia" w:hAnsiTheme="minorEastAsia" w:eastAsiaTheme="minorEastAsia"/>
                <w:b/>
                <w:color w:val="FF0000"/>
                <w:sz w:val="21"/>
                <w:szCs w:val="21"/>
                <w:lang w:val="en-US" w:eastAsia="zh-CN"/>
              </w:rPr>
              <w:t>金额不能超过项目最高限价（￥25000.00元）。</w:t>
            </w:r>
          </w:p>
        </w:tc>
      </w:tr>
    </w:tbl>
    <w:p w14:paraId="0ABDAE8B">
      <w:pPr>
        <w:pStyle w:val="9"/>
        <w:spacing w:line="560" w:lineRule="exact"/>
        <w:rPr>
          <w:rFonts w:asciiTheme="minorEastAsia" w:hAnsiTheme="minorEastAsia" w:cstheme="minorEastAsia"/>
          <w:color w:val="auto"/>
          <w:szCs w:val="21"/>
          <w:u w:val="single"/>
        </w:rPr>
      </w:pPr>
      <w:r>
        <w:rPr>
          <w:rFonts w:hint="eastAsia" w:asciiTheme="minorEastAsia" w:hAnsiTheme="minorEastAsia" w:eastAsiaTheme="minorEastAsia" w:cstheme="minorEastAsia"/>
          <w:color w:val="auto"/>
          <w:szCs w:val="21"/>
          <w:lang w:val="en-US" w:eastAsia="zh-CN"/>
        </w:rPr>
        <w:t>供应商</w:t>
      </w:r>
      <w:r>
        <w:rPr>
          <w:rFonts w:hint="eastAsia" w:asciiTheme="minorEastAsia" w:hAnsiTheme="minorEastAsia" w:eastAsiaTheme="minorEastAsia" w:cstheme="minorEastAsia"/>
          <w:color w:val="auto"/>
          <w:szCs w:val="21"/>
        </w:rPr>
        <w:t>（盖单位公章）：</w:t>
      </w:r>
      <w:r>
        <w:rPr>
          <w:rFonts w:hint="eastAsia" w:asciiTheme="minorEastAsia" w:hAnsiTheme="minorEastAsia" w:eastAsiaTheme="minorEastAsia" w:cstheme="minorEastAsia"/>
          <w:color w:val="auto"/>
          <w:szCs w:val="21"/>
          <w:u w:val="single"/>
        </w:rPr>
        <w:t xml:space="preserve">                                    </w:t>
      </w:r>
    </w:p>
    <w:p w14:paraId="309ED468">
      <w:pPr>
        <w:pStyle w:val="9"/>
        <w:spacing w:line="560" w:lineRule="exact"/>
        <w:rPr>
          <w:rFonts w:asciiTheme="minorEastAsia" w:hAnsiTheme="minorEastAsia" w:cstheme="minorEastAsia"/>
          <w:b/>
          <w:color w:val="auto"/>
          <w:szCs w:val="21"/>
        </w:rPr>
      </w:pPr>
      <w:r>
        <w:rPr>
          <w:rFonts w:hint="eastAsia" w:asciiTheme="minorEastAsia" w:hAnsiTheme="minorEastAsia" w:eastAsiaTheme="minorEastAsia" w:cstheme="minorEastAsia"/>
          <w:color w:val="auto"/>
          <w:szCs w:val="21"/>
        </w:rPr>
        <w:t>法定代表人或其委托代理人（签字或盖章）：</w:t>
      </w:r>
      <w:r>
        <w:rPr>
          <w:rFonts w:hint="eastAsia" w:asciiTheme="minorEastAsia" w:hAnsiTheme="minorEastAsia" w:eastAsiaTheme="minorEastAsia" w:cstheme="minorEastAsia"/>
          <w:color w:val="auto"/>
          <w:szCs w:val="21"/>
          <w:u w:val="single"/>
        </w:rPr>
        <w:t xml:space="preserve">                 </w:t>
      </w:r>
    </w:p>
    <w:p w14:paraId="3CC9F3C6">
      <w:pPr>
        <w:pStyle w:val="9"/>
        <w:spacing w:line="560" w:lineRule="exact"/>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注：表格内容均需按要求填写并盖章，不得留空，否则按</w:t>
      </w:r>
      <w:r>
        <w:rPr>
          <w:rFonts w:hint="eastAsia" w:asciiTheme="minorEastAsia" w:hAnsiTheme="minorEastAsia" w:cstheme="minorEastAsia"/>
          <w:color w:val="auto"/>
          <w:szCs w:val="21"/>
        </w:rPr>
        <w:t>响应</w:t>
      </w:r>
      <w:r>
        <w:rPr>
          <w:rFonts w:hint="eastAsia" w:asciiTheme="minorEastAsia" w:hAnsiTheme="minorEastAsia" w:eastAsiaTheme="minorEastAsia" w:cstheme="minorEastAsia"/>
          <w:color w:val="auto"/>
          <w:szCs w:val="21"/>
        </w:rPr>
        <w:t>无效处理。</w:t>
      </w:r>
    </w:p>
    <w:p w14:paraId="6EC3DB96">
      <w:pPr>
        <w:jc w:val="center"/>
        <w:rPr>
          <w:rFonts w:hint="eastAsia" w:ascii="仿宋" w:hAnsi="仿宋" w:eastAsia="仿宋"/>
          <w:color w:val="auto"/>
          <w:sz w:val="30"/>
          <w:szCs w:val="30"/>
        </w:rPr>
      </w:pPr>
    </w:p>
    <w:p w14:paraId="64E74B9E">
      <w:pPr>
        <w:rPr>
          <w:rFonts w:hint="eastAsia" w:ascii="仿宋" w:hAnsi="仿宋" w:eastAsia="仿宋"/>
          <w:color w:val="auto"/>
          <w:sz w:val="30"/>
          <w:szCs w:val="30"/>
        </w:rPr>
      </w:pPr>
    </w:p>
    <w:p w14:paraId="7263E952">
      <w:pPr>
        <w:rPr>
          <w:rFonts w:hint="eastAsia" w:ascii="仿宋" w:hAnsi="仿宋" w:eastAsia="仿宋"/>
          <w:color w:val="auto"/>
          <w:sz w:val="30"/>
          <w:szCs w:val="30"/>
        </w:rPr>
      </w:pPr>
    </w:p>
    <w:p w14:paraId="232BC19F">
      <w:pPr>
        <w:rPr>
          <w:rFonts w:hint="eastAsia" w:ascii="仿宋" w:hAnsi="仿宋" w:eastAsia="仿宋"/>
          <w:color w:val="auto"/>
          <w:sz w:val="30"/>
          <w:szCs w:val="30"/>
        </w:rPr>
      </w:pPr>
    </w:p>
    <w:p w14:paraId="53800540">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6</w:t>
      </w:r>
    </w:p>
    <w:p w14:paraId="4B9610A9">
      <w:pPr>
        <w:pStyle w:val="9"/>
        <w:spacing w:line="500" w:lineRule="exact"/>
        <w:jc w:val="center"/>
        <w:rPr>
          <w:rFonts w:hAnsi="宋体"/>
          <w:b/>
          <w:bCs/>
          <w:color w:val="auto"/>
          <w:sz w:val="30"/>
          <w:szCs w:val="30"/>
        </w:rPr>
      </w:pPr>
      <w:r>
        <w:rPr>
          <w:rFonts w:hint="eastAsia" w:hAnsi="宋体"/>
          <w:b/>
          <w:bCs/>
          <w:color w:val="auto"/>
          <w:sz w:val="30"/>
          <w:szCs w:val="30"/>
        </w:rPr>
        <w:t>响应技术资料表</w:t>
      </w:r>
    </w:p>
    <w:p w14:paraId="0D1ADF2E">
      <w:pPr>
        <w:pStyle w:val="9"/>
        <w:spacing w:line="440" w:lineRule="exact"/>
        <w:ind w:firstLine="420" w:firstLineChars="200"/>
        <w:rPr>
          <w:rFonts w:hint="eastAsia" w:asciiTheme="minorEastAsia" w:hAnsiTheme="minorEastAsia"/>
          <w:color w:val="auto"/>
          <w:szCs w:val="21"/>
        </w:rPr>
      </w:pPr>
      <w:r>
        <w:rPr>
          <w:rFonts w:hint="eastAsia" w:asciiTheme="minorEastAsia" w:hAnsiTheme="minorEastAsia"/>
          <w:color w:val="auto"/>
          <w:szCs w:val="21"/>
        </w:rPr>
        <w:t>请根据所响应的实际情况，逐条对应本项目附件1“采购需求一览表”中</w:t>
      </w:r>
      <w:r>
        <w:rPr>
          <w:rFonts w:hAnsi="宋体"/>
          <w:color w:val="auto"/>
          <w:szCs w:val="21"/>
        </w:rPr>
        <w:t>的内容及要求详细填写相应的具体内容</w:t>
      </w:r>
      <w:r>
        <w:rPr>
          <w:rFonts w:hint="eastAsia" w:asciiTheme="minorEastAsia" w:hAnsiTheme="minorEastAsia"/>
          <w:color w:val="auto"/>
          <w:szCs w:val="21"/>
        </w:rPr>
        <w:t>。“偏离说明”一栏选择“正偏离”、“负偏离”或“无偏离”进行填写。</w:t>
      </w:r>
    </w:p>
    <w:p w14:paraId="3EFD490D">
      <w:pPr>
        <w:adjustRightInd w:val="0"/>
        <w:spacing w:line="340" w:lineRule="exact"/>
        <w:ind w:left="6" w:firstLine="431"/>
        <w:rPr>
          <w:rFonts w:hint="eastAsia" w:asciiTheme="minorEastAsia" w:hAnsiTheme="minorEastAsia" w:cstheme="minorEastAsia"/>
          <w:b/>
          <w:szCs w:val="21"/>
        </w:rPr>
      </w:pPr>
      <w:r>
        <w:rPr>
          <w:rFonts w:hint="eastAsia" w:asciiTheme="minorEastAsia" w:hAnsiTheme="minorEastAsia" w:eastAsiaTheme="minorEastAsia" w:cstheme="minorEastAsia"/>
          <w:b/>
          <w:kern w:val="1"/>
          <w:sz w:val="21"/>
          <w:szCs w:val="21"/>
        </w:rPr>
        <w:t>本采购需求一览表中各参数要求需要全部满足，不允许负偏离，负偏离视为无效响应。</w:t>
      </w:r>
    </w:p>
    <w:tbl>
      <w:tblPr>
        <w:tblStyle w:val="17"/>
        <w:tblpPr w:leftFromText="180" w:rightFromText="180" w:vertAnchor="text" w:horzAnchor="page" w:tblpX="1415" w:tblpY="433"/>
        <w:tblOverlap w:val="never"/>
        <w:tblW w:w="90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8"/>
        <w:gridCol w:w="954"/>
        <w:gridCol w:w="3433"/>
        <w:gridCol w:w="810"/>
        <w:gridCol w:w="2497"/>
        <w:gridCol w:w="876"/>
      </w:tblGrid>
      <w:tr w14:paraId="04554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trPr>
        <w:tc>
          <w:tcPr>
            <w:tcW w:w="518" w:type="dxa"/>
            <w:vMerge w:val="restart"/>
            <w:vAlign w:val="center"/>
          </w:tcPr>
          <w:p w14:paraId="0634CA7D">
            <w:pPr>
              <w:pStyle w:val="9"/>
              <w:jc w:val="center"/>
              <w:rPr>
                <w:rFonts w:hAnsi="宋体"/>
                <w:color w:val="auto"/>
                <w:spacing w:val="-20"/>
                <w:szCs w:val="21"/>
              </w:rPr>
            </w:pPr>
            <w:r>
              <w:rPr>
                <w:rFonts w:hint="eastAsia" w:hAnsi="宋体"/>
                <w:color w:val="auto"/>
                <w:spacing w:val="-20"/>
                <w:szCs w:val="21"/>
              </w:rPr>
              <w:t>序号</w:t>
            </w:r>
          </w:p>
        </w:tc>
        <w:tc>
          <w:tcPr>
            <w:tcW w:w="4387" w:type="dxa"/>
            <w:gridSpan w:val="2"/>
            <w:vAlign w:val="center"/>
          </w:tcPr>
          <w:p w14:paraId="0DE12347">
            <w:pPr>
              <w:jc w:val="center"/>
              <w:rPr>
                <w:rFonts w:ascii="宋体"/>
                <w:b/>
                <w:bCs/>
                <w:color w:val="auto"/>
                <w:szCs w:val="21"/>
              </w:rPr>
            </w:pPr>
            <w:r>
              <w:rPr>
                <w:rFonts w:hint="eastAsia" w:ascii="宋体" w:hAnsi="宋体"/>
                <w:b/>
                <w:bCs/>
                <w:color w:val="auto"/>
                <w:szCs w:val="21"/>
              </w:rPr>
              <w:t>采购文件需求</w:t>
            </w:r>
          </w:p>
        </w:tc>
        <w:tc>
          <w:tcPr>
            <w:tcW w:w="3307" w:type="dxa"/>
            <w:gridSpan w:val="2"/>
            <w:vAlign w:val="center"/>
          </w:tcPr>
          <w:p w14:paraId="643763B8">
            <w:pPr>
              <w:jc w:val="center"/>
              <w:rPr>
                <w:rFonts w:ascii="宋体"/>
                <w:b/>
                <w:bCs/>
                <w:color w:val="auto"/>
                <w:szCs w:val="21"/>
              </w:rPr>
            </w:pPr>
            <w:r>
              <w:rPr>
                <w:rFonts w:hint="eastAsia" w:ascii="宋体" w:hAnsi="宋体"/>
                <w:b/>
                <w:bCs/>
                <w:color w:val="auto"/>
                <w:szCs w:val="21"/>
              </w:rPr>
              <w:t>响应文件承诺</w:t>
            </w:r>
          </w:p>
        </w:tc>
        <w:tc>
          <w:tcPr>
            <w:tcW w:w="876" w:type="dxa"/>
            <w:vMerge w:val="restart"/>
            <w:vAlign w:val="center"/>
          </w:tcPr>
          <w:p w14:paraId="706E51DD">
            <w:pPr>
              <w:jc w:val="center"/>
              <w:rPr>
                <w:rFonts w:ascii="宋体"/>
                <w:b/>
                <w:bCs/>
                <w:color w:val="auto"/>
                <w:szCs w:val="21"/>
              </w:rPr>
            </w:pPr>
            <w:r>
              <w:rPr>
                <w:rFonts w:hint="eastAsia" w:ascii="宋体" w:hAnsi="宋体"/>
                <w:b/>
                <w:bCs/>
                <w:color w:val="auto"/>
                <w:szCs w:val="21"/>
              </w:rPr>
              <w:t>偏离说明</w:t>
            </w:r>
          </w:p>
        </w:tc>
      </w:tr>
      <w:tr w14:paraId="185A8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5" w:hRule="atLeast"/>
        </w:trPr>
        <w:tc>
          <w:tcPr>
            <w:tcW w:w="518" w:type="dxa"/>
            <w:vMerge w:val="continue"/>
            <w:vAlign w:val="center"/>
          </w:tcPr>
          <w:p w14:paraId="250F1D49">
            <w:pPr>
              <w:pStyle w:val="9"/>
              <w:jc w:val="center"/>
              <w:rPr>
                <w:rFonts w:hAnsi="宋体"/>
                <w:color w:val="auto"/>
                <w:spacing w:val="-20"/>
                <w:szCs w:val="21"/>
              </w:rPr>
            </w:pPr>
          </w:p>
        </w:tc>
        <w:tc>
          <w:tcPr>
            <w:tcW w:w="954" w:type="dxa"/>
            <w:vAlign w:val="center"/>
          </w:tcPr>
          <w:p w14:paraId="3B7AC663">
            <w:pPr>
              <w:jc w:val="center"/>
              <w:rPr>
                <w:rFonts w:ascii="宋体"/>
                <w:b/>
                <w:bCs/>
                <w:color w:val="auto"/>
                <w:szCs w:val="21"/>
              </w:rPr>
            </w:pPr>
            <w:r>
              <w:rPr>
                <w:rFonts w:hint="eastAsia" w:ascii="宋体" w:hAnsi="宋体"/>
                <w:b/>
                <w:bCs/>
                <w:color w:val="auto"/>
                <w:szCs w:val="21"/>
                <w:lang w:val="en-US" w:eastAsia="zh-CN"/>
              </w:rPr>
              <w:t>项目</w:t>
            </w:r>
            <w:r>
              <w:rPr>
                <w:rFonts w:hint="eastAsia" w:ascii="宋体" w:hAnsi="宋体"/>
                <w:b/>
                <w:bCs/>
                <w:color w:val="auto"/>
                <w:szCs w:val="21"/>
              </w:rPr>
              <w:t>名称</w:t>
            </w:r>
          </w:p>
        </w:tc>
        <w:tc>
          <w:tcPr>
            <w:tcW w:w="3433" w:type="dxa"/>
            <w:vAlign w:val="center"/>
          </w:tcPr>
          <w:p w14:paraId="34BC4A96">
            <w:pPr>
              <w:jc w:val="center"/>
              <w:rPr>
                <w:rFonts w:ascii="宋体"/>
                <w:b/>
                <w:bCs/>
                <w:color w:val="auto"/>
                <w:szCs w:val="21"/>
              </w:rPr>
            </w:pPr>
            <w:r>
              <w:rPr>
                <w:rFonts w:hint="eastAsia" w:ascii="宋体"/>
                <w:b/>
                <w:bCs/>
                <w:color w:val="auto"/>
                <w:szCs w:val="21"/>
              </w:rPr>
              <w:t>技术参数</w:t>
            </w:r>
          </w:p>
        </w:tc>
        <w:tc>
          <w:tcPr>
            <w:tcW w:w="810" w:type="dxa"/>
            <w:vAlign w:val="center"/>
          </w:tcPr>
          <w:p w14:paraId="50260F94">
            <w:pPr>
              <w:jc w:val="center"/>
              <w:rPr>
                <w:rFonts w:ascii="宋体"/>
                <w:b/>
                <w:bCs/>
                <w:color w:val="auto"/>
                <w:szCs w:val="21"/>
              </w:rPr>
            </w:pPr>
            <w:r>
              <w:rPr>
                <w:rFonts w:hint="eastAsia" w:ascii="宋体" w:hAnsi="宋体"/>
                <w:b/>
                <w:bCs/>
                <w:color w:val="auto"/>
                <w:szCs w:val="21"/>
                <w:lang w:val="en-US" w:eastAsia="zh-CN"/>
              </w:rPr>
              <w:t>项目</w:t>
            </w:r>
            <w:r>
              <w:rPr>
                <w:rFonts w:hint="eastAsia" w:ascii="宋体" w:hAnsi="宋体"/>
                <w:b/>
                <w:bCs/>
                <w:color w:val="auto"/>
                <w:szCs w:val="21"/>
              </w:rPr>
              <w:t>名称</w:t>
            </w:r>
          </w:p>
        </w:tc>
        <w:tc>
          <w:tcPr>
            <w:tcW w:w="2497" w:type="dxa"/>
            <w:vAlign w:val="center"/>
          </w:tcPr>
          <w:p w14:paraId="31A59E2D">
            <w:pPr>
              <w:jc w:val="center"/>
              <w:rPr>
                <w:rFonts w:ascii="宋体"/>
                <w:b/>
                <w:bCs/>
                <w:color w:val="auto"/>
                <w:szCs w:val="21"/>
              </w:rPr>
            </w:pPr>
            <w:r>
              <w:rPr>
                <w:rFonts w:hint="eastAsia" w:ascii="宋体" w:hAnsi="宋体"/>
                <w:b/>
                <w:bCs/>
                <w:color w:val="auto"/>
                <w:szCs w:val="21"/>
              </w:rPr>
              <w:t>响应技术参数</w:t>
            </w:r>
          </w:p>
        </w:tc>
        <w:tc>
          <w:tcPr>
            <w:tcW w:w="876" w:type="dxa"/>
            <w:vMerge w:val="continue"/>
            <w:vAlign w:val="center"/>
          </w:tcPr>
          <w:p w14:paraId="1A0BC623">
            <w:pPr>
              <w:jc w:val="center"/>
              <w:rPr>
                <w:rFonts w:ascii="宋体"/>
                <w:b/>
                <w:bCs/>
                <w:color w:val="auto"/>
                <w:szCs w:val="21"/>
              </w:rPr>
            </w:pPr>
          </w:p>
        </w:tc>
      </w:tr>
      <w:tr w14:paraId="3AC04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5" w:hRule="atLeast"/>
        </w:trPr>
        <w:tc>
          <w:tcPr>
            <w:tcW w:w="518" w:type="dxa"/>
            <w:vAlign w:val="center"/>
          </w:tcPr>
          <w:p w14:paraId="009041CD">
            <w:pPr>
              <w:pStyle w:val="9"/>
              <w:jc w:val="cente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kern w:val="2"/>
                <w:sz w:val="21"/>
                <w:szCs w:val="24"/>
                <w:highlight w:val="none"/>
                <w:lang w:val="zh-TW" w:eastAsia="zh-TW" w:bidi="ar-SA"/>
              </w:rPr>
              <w:t>1</w:t>
            </w:r>
          </w:p>
        </w:tc>
        <w:tc>
          <w:tcPr>
            <w:tcW w:w="954" w:type="dxa"/>
            <w:vAlign w:val="center"/>
          </w:tcPr>
          <w:p w14:paraId="5EF1D8C3">
            <w:pPr>
              <w:rPr>
                <w:rFonts w:hint="eastAsia" w:ascii="Times New Roman" w:hAnsi="Times New Roman" w:eastAsia="宋体" w:cs="Times New Roman"/>
                <w:color w:val="auto"/>
                <w:kern w:val="2"/>
                <w:sz w:val="21"/>
                <w:szCs w:val="24"/>
                <w:highlight w:val="none"/>
                <w:lang w:val="zh-TW" w:eastAsia="zh-CN" w:bidi="ar-SA"/>
              </w:rPr>
            </w:pPr>
            <w:r>
              <w:rPr>
                <w:rFonts w:hint="eastAsia" w:ascii="Times New Roman" w:hAnsi="Times New Roman" w:eastAsia="宋体" w:cs="Times New Roman"/>
                <w:color w:val="auto"/>
                <w:kern w:val="2"/>
                <w:sz w:val="21"/>
                <w:szCs w:val="24"/>
                <w:highlight w:val="none"/>
                <w:lang w:val="zh-TW" w:eastAsia="zh-CN" w:bidi="ar-SA"/>
              </w:rPr>
              <w:t>献血退役纪念杯（牌）</w:t>
            </w:r>
          </w:p>
        </w:tc>
        <w:tc>
          <w:tcPr>
            <w:tcW w:w="3433" w:type="dxa"/>
            <w:vAlign w:val="center"/>
          </w:tcPr>
          <w:p w14:paraId="5AADCD27">
            <w:pPr>
              <w:bidi w:val="0"/>
              <w:rPr>
                <w:rFonts w:hint="eastAsia" w:ascii="宋体" w:hAnsi="宋体" w:eastAsia="宋体" w:cs="宋体"/>
                <w:lang w:val="en-US" w:eastAsia="zh-CN"/>
              </w:rPr>
            </w:pPr>
            <w:r>
              <w:rPr>
                <w:rFonts w:hint="eastAsia" w:ascii="宋体" w:hAnsi="宋体" w:eastAsia="宋体" w:cs="宋体"/>
                <w:lang w:val="en-US" w:eastAsia="zh-CN"/>
              </w:rPr>
              <w:t>1、设计要求：以南宁特有的铜鼓、壮锦等文化结合南宁中心血站的献血文化设计，并将献血证元素延伸设计造型，同时具有U盘功能。要求整体造型美观大气，画面和谐、识别度高，织带印刷定制南宁中心血站文化结合献血证元素延伸设计的图案。</w:t>
            </w:r>
            <w:r>
              <w:rPr>
                <w:rFonts w:hint="eastAsia" w:ascii="宋体" w:hAnsi="宋体" w:eastAsia="宋体" w:cs="宋体"/>
                <w:b/>
                <w:bCs/>
                <w:lang w:val="en-US" w:eastAsia="zh-CN"/>
              </w:rPr>
              <w:t>响应文件中须提供初步设计图稿，用于项目评审</w:t>
            </w:r>
            <w:r>
              <w:rPr>
                <w:rFonts w:hint="eastAsia" w:ascii="宋体" w:hAnsi="宋体" w:eastAsia="宋体" w:cs="宋体"/>
                <w:lang w:val="en-US" w:eastAsia="zh-CN"/>
              </w:rPr>
              <w:t>。</w:t>
            </w:r>
          </w:p>
          <w:p w14:paraId="326F6E15">
            <w:pPr>
              <w:bidi w:val="0"/>
              <w:rPr>
                <w:rFonts w:hint="eastAsia" w:ascii="宋体" w:hAnsi="宋体" w:eastAsia="宋体" w:cs="宋体"/>
                <w:lang w:val="en-US" w:eastAsia="zh-CN"/>
              </w:rPr>
            </w:pPr>
            <w:r>
              <w:rPr>
                <w:rFonts w:hint="eastAsia" w:ascii="宋体" w:hAnsi="宋体" w:eastAsia="宋体" w:cs="宋体"/>
                <w:lang w:val="en-US" w:eastAsia="zh-CN"/>
              </w:rPr>
              <w:t>2、材质要求：锌合金材质、织带为聚酯纤维材质。</w:t>
            </w:r>
          </w:p>
          <w:p w14:paraId="2E25AB00">
            <w:pPr>
              <w:bidi w:val="0"/>
              <w:rPr>
                <w:rFonts w:hint="eastAsia" w:ascii="宋体" w:hAnsi="宋体" w:eastAsia="宋体" w:cs="宋体"/>
                <w:lang w:val="en-US" w:eastAsia="zh-CN"/>
              </w:rPr>
            </w:pPr>
            <w:r>
              <w:rPr>
                <w:rFonts w:hint="eastAsia" w:ascii="宋体" w:hAnsi="宋体" w:eastAsia="宋体" w:cs="宋体"/>
                <w:lang w:val="en-US" w:eastAsia="zh-CN"/>
              </w:rPr>
              <w:t>3、规格尺寸:直径≥7cm，厚度≥3cm，U盘容量≥32G。</w:t>
            </w:r>
          </w:p>
          <w:p w14:paraId="1C02218E">
            <w:pPr>
              <w:bidi w:val="0"/>
              <w:rPr>
                <w:rFonts w:hint="eastAsia" w:ascii="宋体" w:hAnsi="宋体" w:eastAsia="宋体" w:cs="宋体"/>
                <w:lang w:val="en-US" w:eastAsia="zh-CN"/>
              </w:rPr>
            </w:pPr>
            <w:r>
              <w:rPr>
                <w:rFonts w:hint="eastAsia" w:ascii="宋体" w:hAnsi="宋体" w:eastAsia="宋体" w:cs="宋体"/>
                <w:lang w:val="en-US" w:eastAsia="zh-CN"/>
              </w:rPr>
              <w:t>4、执行标准:GB/T 13821-2023《锌合金压铸件》</w:t>
            </w:r>
          </w:p>
          <w:p w14:paraId="00E21102">
            <w:pPr>
              <w:bidi w:val="0"/>
              <w:rPr>
                <w:rFonts w:hint="eastAsia" w:ascii="宋体" w:hAnsi="宋体" w:eastAsia="宋体" w:cs="宋体"/>
                <w:lang w:val="en-US" w:eastAsia="zh-CN"/>
              </w:rPr>
            </w:pPr>
            <w:r>
              <w:rPr>
                <w:rFonts w:hint="eastAsia" w:ascii="宋体" w:hAnsi="宋体" w:eastAsia="宋体" w:cs="宋体"/>
                <w:lang w:val="en-US" w:eastAsia="zh-CN"/>
              </w:rPr>
              <w:t>5、提供响应产品检测报告：供货时提供具有检测资质的第三方检测机构出具的检测报告复印件（检测依据见第4点执行标准）；响应供应商须在响应文件中对提供的第三方检测报告真实性以书面形式进行承诺，响应文件中须提供承诺函（格式自拟）。</w:t>
            </w:r>
          </w:p>
          <w:p w14:paraId="470ACC72">
            <w:pPr>
              <w:bidi w:val="0"/>
              <w:rPr>
                <w:rFonts w:hint="eastAsia" w:ascii="宋体" w:hAnsi="宋体" w:eastAsia="宋体" w:cs="宋体"/>
                <w:lang w:val="en-US" w:eastAsia="zh-CN"/>
              </w:rPr>
            </w:pPr>
            <w:r>
              <w:rPr>
                <w:rFonts w:hint="eastAsia" w:ascii="宋体" w:hAnsi="宋体" w:eastAsia="宋体" w:cs="宋体"/>
                <w:lang w:val="en-US" w:eastAsia="zh-CN"/>
              </w:rPr>
              <w:t>6、制作工艺：制版、开模、压铸、修坯、电镀烤漆、品检、包装。</w:t>
            </w:r>
          </w:p>
          <w:p w14:paraId="684F92F8">
            <w:pPr>
              <w:bidi w:val="0"/>
              <w:rPr>
                <w:rFonts w:hint="eastAsia" w:ascii="仿宋_GB2312" w:eastAsia="仿宋_GB2312"/>
                <w:szCs w:val="28"/>
                <w:lang w:val="en-US" w:eastAsia="zh-CN"/>
              </w:rPr>
            </w:pPr>
            <w:r>
              <w:rPr>
                <w:rFonts w:hint="eastAsia" w:ascii="宋体" w:hAnsi="宋体" w:eastAsia="宋体" w:cs="宋体"/>
                <w:lang w:val="en-US" w:eastAsia="zh-CN"/>
              </w:rPr>
              <w:t>7、包装要求：采用翻盖礼盒包装或天地盖手工裱糊礼盒包装，礼盒设计须与奖牌（杯）设计吻合，材质不限于皮质、仿皮质、实木、麻布、亚麻布等，要求以南宁中心血站文化结合南宁文化延伸设计定制包装。</w:t>
            </w:r>
          </w:p>
        </w:tc>
        <w:tc>
          <w:tcPr>
            <w:tcW w:w="810" w:type="dxa"/>
            <w:vAlign w:val="center"/>
          </w:tcPr>
          <w:p w14:paraId="2EDEDA46">
            <w:pPr>
              <w:rPr>
                <w:rFonts w:hint="eastAsia" w:ascii="Times New Roman" w:hAnsi="Times New Roman" w:eastAsia="宋体" w:cs="Times New Roman"/>
                <w:color w:val="auto"/>
                <w:kern w:val="2"/>
                <w:sz w:val="21"/>
                <w:szCs w:val="24"/>
                <w:highlight w:val="none"/>
                <w:lang w:val="zh-TW" w:eastAsia="zh-CN" w:bidi="ar-SA"/>
              </w:rPr>
            </w:pPr>
            <w:r>
              <w:rPr>
                <w:rFonts w:hint="eastAsia" w:ascii="Times New Roman" w:hAnsi="Times New Roman" w:eastAsia="宋体" w:cs="Times New Roman"/>
                <w:color w:val="auto"/>
                <w:kern w:val="2"/>
                <w:sz w:val="21"/>
                <w:szCs w:val="24"/>
                <w:highlight w:val="none"/>
                <w:lang w:val="zh-TW" w:eastAsia="zh-CN" w:bidi="ar-SA"/>
              </w:rPr>
              <w:t>献血退役纪念杯（牌）</w:t>
            </w:r>
          </w:p>
        </w:tc>
        <w:tc>
          <w:tcPr>
            <w:tcW w:w="2497" w:type="dxa"/>
            <w:shd w:val="clear" w:color="auto" w:fill="auto"/>
            <w:vAlign w:val="center"/>
          </w:tcPr>
          <w:p w14:paraId="3BF8F671">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FF0000"/>
                <w:kern w:val="2"/>
                <w:sz w:val="21"/>
                <w:szCs w:val="24"/>
                <w:highlight w:val="none"/>
                <w:lang w:val="zh-TW" w:eastAsia="zh-TW" w:bidi="ar-SA"/>
              </w:rPr>
              <w:t>请填入贵单位响应的内容。</w:t>
            </w:r>
          </w:p>
        </w:tc>
        <w:tc>
          <w:tcPr>
            <w:tcW w:w="876" w:type="dxa"/>
            <w:shd w:val="clear" w:color="auto" w:fill="auto"/>
            <w:vAlign w:val="center"/>
          </w:tcPr>
          <w:p w14:paraId="6E15C104">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FF0000"/>
                <w:kern w:val="2"/>
                <w:sz w:val="21"/>
                <w:szCs w:val="24"/>
                <w:highlight w:val="none"/>
                <w:lang w:val="zh-TW" w:eastAsia="zh-TW" w:bidi="ar-SA"/>
              </w:rPr>
              <w:t>正偏离（负偏离或无偏离）</w:t>
            </w:r>
          </w:p>
        </w:tc>
      </w:tr>
      <w:tr w14:paraId="20CCB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5" w:hRule="atLeast"/>
        </w:trPr>
        <w:tc>
          <w:tcPr>
            <w:tcW w:w="518" w:type="dxa"/>
            <w:vAlign w:val="center"/>
          </w:tcPr>
          <w:p w14:paraId="24B8E7FD">
            <w:pPr>
              <w:pStyle w:val="9"/>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cs="Times New Roman"/>
                <w:color w:val="auto"/>
                <w:kern w:val="2"/>
                <w:sz w:val="21"/>
                <w:szCs w:val="24"/>
                <w:highlight w:val="none"/>
                <w:lang w:val="en-US" w:eastAsia="zh-CN" w:bidi="ar-SA"/>
              </w:rPr>
              <w:t>2</w:t>
            </w:r>
          </w:p>
        </w:tc>
        <w:tc>
          <w:tcPr>
            <w:tcW w:w="954" w:type="dxa"/>
            <w:vAlign w:val="center"/>
          </w:tcPr>
          <w:p w14:paraId="7899D609">
            <w:pPr>
              <w:rPr>
                <w:rFonts w:hint="eastAsia" w:ascii="Times New Roman" w:hAnsi="Times New Roman" w:eastAsia="宋体" w:cs="Times New Roman"/>
                <w:color w:val="auto"/>
                <w:kern w:val="2"/>
                <w:sz w:val="21"/>
                <w:szCs w:val="24"/>
                <w:highlight w:val="none"/>
                <w:lang w:val="zh-TW" w:eastAsia="zh-CN" w:bidi="ar-SA"/>
              </w:rPr>
            </w:pPr>
            <w:r>
              <w:rPr>
                <w:rFonts w:hint="eastAsia" w:ascii="Times New Roman" w:hAnsi="Times New Roman" w:eastAsia="宋体" w:cs="Times New Roman"/>
                <w:color w:val="auto"/>
                <w:kern w:val="2"/>
                <w:sz w:val="21"/>
                <w:szCs w:val="24"/>
                <w:highlight w:val="none"/>
                <w:lang w:val="zh-TW" w:eastAsia="zh-CN" w:bidi="ar-SA"/>
              </w:rPr>
              <w:t>生日献血纪念徽章</w:t>
            </w:r>
          </w:p>
        </w:tc>
        <w:tc>
          <w:tcPr>
            <w:tcW w:w="3433" w:type="dxa"/>
            <w:vAlign w:val="center"/>
          </w:tcPr>
          <w:p w14:paraId="41FB2F83">
            <w:pPr>
              <w:bidi w:val="0"/>
              <w:rPr>
                <w:rFonts w:hint="eastAsia" w:ascii="宋体" w:hAnsi="宋体" w:eastAsia="宋体" w:cs="宋体"/>
              </w:rPr>
            </w:pPr>
            <w:r>
              <w:rPr>
                <w:rFonts w:hint="eastAsia" w:ascii="宋体" w:hAnsi="宋体" w:eastAsia="宋体" w:cs="宋体"/>
              </w:rPr>
              <w:t>1、设计要求：以南宁中心血站文化为核心，结合生日主题，有蛋糕、礼盒、血站ip等元素</w:t>
            </w:r>
            <w:r>
              <w:rPr>
                <w:rFonts w:hint="eastAsia" w:ascii="宋体" w:hAnsi="宋体" w:eastAsia="宋体" w:cs="宋体"/>
                <w:lang w:val="en-US" w:eastAsia="zh-CN"/>
              </w:rPr>
              <w:t>设计</w:t>
            </w:r>
            <w:r>
              <w:rPr>
                <w:rFonts w:hint="eastAsia" w:ascii="宋体" w:hAnsi="宋体" w:eastAsia="宋体" w:cs="宋体"/>
              </w:rPr>
              <w:t>，要求结构创新，能互动有体验感，例如能滑动、流沙、冰箱贴等符合当下潮流趋势，美观且有实用意义，</w:t>
            </w:r>
            <w:r>
              <w:rPr>
                <w:rFonts w:hint="eastAsia" w:ascii="宋体" w:hAnsi="宋体" w:eastAsia="宋体" w:cs="宋体"/>
                <w:lang w:val="en-US" w:eastAsia="zh-CN"/>
              </w:rPr>
              <w:t>同时</w:t>
            </w:r>
            <w:r>
              <w:rPr>
                <w:rFonts w:hint="eastAsia" w:ascii="宋体" w:hAnsi="宋体" w:eastAsia="宋体" w:cs="宋体"/>
              </w:rPr>
              <w:t>要求画面和谐、识别度高。</w:t>
            </w:r>
            <w:r>
              <w:rPr>
                <w:rFonts w:hint="eastAsia" w:ascii="宋体" w:hAnsi="宋体" w:eastAsia="宋体" w:cs="宋体"/>
                <w:b/>
                <w:bCs/>
              </w:rPr>
              <w:t>响应文件中须提供初步设计图稿，用于项目评审</w:t>
            </w:r>
            <w:r>
              <w:rPr>
                <w:rFonts w:hint="eastAsia" w:ascii="宋体" w:hAnsi="宋体" w:eastAsia="宋体" w:cs="宋体"/>
              </w:rPr>
              <w:t>。</w:t>
            </w:r>
          </w:p>
          <w:p w14:paraId="79D2DC56">
            <w:pPr>
              <w:bidi w:val="0"/>
              <w:rPr>
                <w:rFonts w:hint="eastAsia" w:ascii="宋体" w:hAnsi="宋体" w:eastAsia="宋体" w:cs="宋体"/>
                <w:lang w:eastAsia="zh-CN"/>
              </w:rPr>
            </w:pPr>
            <w:r>
              <w:rPr>
                <w:rFonts w:hint="eastAsia" w:ascii="宋体" w:hAnsi="宋体" w:eastAsia="宋体" w:cs="宋体"/>
              </w:rPr>
              <w:t>2、材质要求:锌合金材质、磁吸扣设计</w:t>
            </w:r>
            <w:r>
              <w:rPr>
                <w:rFonts w:hint="eastAsia" w:ascii="宋体" w:hAnsi="宋体" w:eastAsia="宋体" w:cs="宋体"/>
                <w:lang w:eastAsia="zh-CN"/>
              </w:rPr>
              <w:t>。</w:t>
            </w:r>
          </w:p>
          <w:p w14:paraId="58D8E38F">
            <w:pPr>
              <w:bidi w:val="0"/>
              <w:rPr>
                <w:rFonts w:hint="eastAsia" w:ascii="宋体" w:hAnsi="宋体" w:eastAsia="宋体" w:cs="宋体"/>
              </w:rPr>
            </w:pPr>
            <w:r>
              <w:rPr>
                <w:rFonts w:hint="eastAsia" w:ascii="宋体" w:hAnsi="宋体" w:eastAsia="宋体" w:cs="宋体"/>
              </w:rPr>
              <w:t>3、规格尺寸:最长尺寸≥ 4cm，纪念章厚度≥2mm</w:t>
            </w:r>
          </w:p>
          <w:p w14:paraId="05CE7B0B">
            <w:pPr>
              <w:bidi w:val="0"/>
              <w:rPr>
                <w:rFonts w:hint="eastAsia" w:ascii="宋体" w:hAnsi="宋体" w:eastAsia="宋体" w:cs="宋体"/>
              </w:rPr>
            </w:pPr>
            <w:r>
              <w:rPr>
                <w:rFonts w:hint="eastAsia" w:ascii="宋体" w:hAnsi="宋体" w:eastAsia="宋体" w:cs="宋体"/>
              </w:rPr>
              <w:t>4、执行标准:GB/T 13821-2023《锌合金压铸件》</w:t>
            </w:r>
          </w:p>
          <w:p w14:paraId="15CDB88F">
            <w:pPr>
              <w:bidi w:val="0"/>
              <w:rPr>
                <w:rFonts w:hint="eastAsia" w:ascii="宋体" w:hAnsi="宋体" w:eastAsia="宋体" w:cs="宋体"/>
              </w:rPr>
            </w:pPr>
            <w:r>
              <w:rPr>
                <w:rFonts w:hint="eastAsia" w:ascii="宋体" w:hAnsi="宋体" w:eastAsia="宋体" w:cs="宋体"/>
              </w:rPr>
              <w:t>5、提供</w:t>
            </w:r>
            <w:r>
              <w:rPr>
                <w:rFonts w:hint="eastAsia" w:ascii="宋体" w:hAnsi="宋体" w:eastAsia="宋体" w:cs="宋体"/>
                <w:lang w:val="en-US" w:eastAsia="zh-CN"/>
              </w:rPr>
              <w:t>响应</w:t>
            </w:r>
            <w:r>
              <w:rPr>
                <w:rFonts w:hint="eastAsia" w:ascii="宋体" w:hAnsi="宋体" w:eastAsia="宋体" w:cs="宋体"/>
              </w:rPr>
              <w:t>产品检测报告：供货时提供具有</w:t>
            </w:r>
            <w:r>
              <w:rPr>
                <w:rFonts w:hint="eastAsia" w:ascii="宋体" w:hAnsi="宋体" w:eastAsia="宋体" w:cs="宋体"/>
                <w:lang w:val="en-US" w:eastAsia="zh-CN"/>
              </w:rPr>
              <w:t>检测</w:t>
            </w:r>
            <w:r>
              <w:rPr>
                <w:rFonts w:hint="eastAsia" w:ascii="宋体" w:hAnsi="宋体" w:eastAsia="宋体" w:cs="宋体"/>
              </w:rPr>
              <w:t>资质的第三方检测机构出具的检测报告复印件（检测依据见第</w:t>
            </w:r>
            <w:r>
              <w:rPr>
                <w:rFonts w:hint="eastAsia" w:ascii="宋体" w:hAnsi="宋体" w:eastAsia="宋体" w:cs="宋体"/>
                <w:lang w:val="en-US" w:eastAsia="zh-CN"/>
              </w:rPr>
              <w:t>4</w:t>
            </w:r>
            <w:r>
              <w:rPr>
                <w:rFonts w:hint="eastAsia" w:ascii="宋体" w:hAnsi="宋体" w:eastAsia="宋体" w:cs="宋体"/>
              </w:rPr>
              <w:t>点执行标准）；响应供应商须在响应文件中对提供的第三方检测报告真实性以书面形式进行承诺，响应文件中须提供承诺函（格式自拟）。</w:t>
            </w:r>
          </w:p>
          <w:p w14:paraId="7795297B">
            <w:pPr>
              <w:bidi w:val="0"/>
              <w:rPr>
                <w:rFonts w:hint="eastAsia" w:ascii="宋体" w:hAnsi="宋体" w:eastAsia="宋体" w:cs="宋体"/>
                <w:lang w:eastAsia="zh-CN"/>
              </w:rPr>
            </w:pPr>
            <w:r>
              <w:rPr>
                <w:rFonts w:hint="eastAsia" w:ascii="宋体" w:hAnsi="宋体" w:eastAsia="宋体" w:cs="宋体"/>
              </w:rPr>
              <w:t>6、工艺:制版、开模、压铸、修坯、电镀烤漆、品检、包装</w:t>
            </w:r>
            <w:r>
              <w:rPr>
                <w:rFonts w:hint="eastAsia" w:ascii="宋体" w:hAnsi="宋体" w:eastAsia="宋体" w:cs="宋体"/>
                <w:lang w:eastAsia="zh-CN"/>
              </w:rPr>
              <w:t>。</w:t>
            </w:r>
          </w:p>
          <w:p w14:paraId="16D43DED">
            <w:pPr>
              <w:bidi w:val="0"/>
              <w:rPr>
                <w:rFonts w:hint="eastAsia" w:ascii="仿宋_GB2312" w:eastAsia="仿宋_GB2312"/>
                <w:szCs w:val="28"/>
                <w:lang w:val="en-US" w:eastAsia="zh-CN"/>
              </w:rPr>
            </w:pPr>
            <w:r>
              <w:rPr>
                <w:rFonts w:hint="eastAsia" w:ascii="宋体" w:hAnsi="宋体" w:eastAsia="宋体" w:cs="宋体"/>
              </w:rPr>
              <w:t>7、包装要求：定制背卡纸+opp袋包装，以南宁中心血站文化为核心设计图案</w:t>
            </w:r>
            <w:r>
              <w:rPr>
                <w:rFonts w:hint="eastAsia" w:ascii="宋体" w:hAnsi="宋体" w:eastAsia="宋体" w:cs="宋体"/>
                <w:lang w:eastAsia="zh-CN"/>
              </w:rPr>
              <w:t>。</w:t>
            </w:r>
          </w:p>
        </w:tc>
        <w:tc>
          <w:tcPr>
            <w:tcW w:w="810" w:type="dxa"/>
            <w:vAlign w:val="center"/>
          </w:tcPr>
          <w:p w14:paraId="134A83A1">
            <w:pPr>
              <w:rPr>
                <w:rFonts w:hint="eastAsia" w:ascii="Times New Roman" w:hAnsi="Times New Roman" w:eastAsia="宋体" w:cs="Times New Roman"/>
                <w:color w:val="auto"/>
                <w:kern w:val="2"/>
                <w:sz w:val="21"/>
                <w:szCs w:val="24"/>
                <w:highlight w:val="none"/>
                <w:lang w:val="zh-TW" w:eastAsia="zh-CN" w:bidi="ar-SA"/>
              </w:rPr>
            </w:pPr>
            <w:r>
              <w:rPr>
                <w:rFonts w:hint="eastAsia" w:ascii="Times New Roman" w:hAnsi="Times New Roman" w:eastAsia="宋体" w:cs="Times New Roman"/>
                <w:color w:val="auto"/>
                <w:kern w:val="2"/>
                <w:sz w:val="21"/>
                <w:szCs w:val="24"/>
                <w:highlight w:val="none"/>
                <w:lang w:val="zh-TW" w:eastAsia="zh-CN" w:bidi="ar-SA"/>
              </w:rPr>
              <w:t>生日献血纪念徽章</w:t>
            </w:r>
          </w:p>
        </w:tc>
        <w:tc>
          <w:tcPr>
            <w:tcW w:w="2497" w:type="dxa"/>
            <w:shd w:val="clear" w:color="auto" w:fill="auto"/>
            <w:vAlign w:val="center"/>
          </w:tcPr>
          <w:p w14:paraId="65B7A7A4">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FF0000"/>
                <w:kern w:val="2"/>
                <w:sz w:val="21"/>
                <w:szCs w:val="24"/>
                <w:highlight w:val="none"/>
                <w:lang w:val="zh-TW" w:eastAsia="zh-TW" w:bidi="ar-SA"/>
              </w:rPr>
              <w:t>请填入贵单位响应的内容。</w:t>
            </w:r>
          </w:p>
        </w:tc>
        <w:tc>
          <w:tcPr>
            <w:tcW w:w="876" w:type="dxa"/>
            <w:shd w:val="clear" w:color="auto" w:fill="auto"/>
            <w:vAlign w:val="center"/>
          </w:tcPr>
          <w:p w14:paraId="326A101D">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FF0000"/>
                <w:kern w:val="2"/>
                <w:sz w:val="21"/>
                <w:szCs w:val="24"/>
                <w:highlight w:val="none"/>
                <w:lang w:val="zh-TW" w:eastAsia="zh-TW" w:bidi="ar-SA"/>
              </w:rPr>
              <w:t>正偏离（负偏离或无偏离）</w:t>
            </w:r>
          </w:p>
        </w:tc>
      </w:tr>
    </w:tbl>
    <w:p w14:paraId="676B2556">
      <w:pPr>
        <w:pStyle w:val="9"/>
        <w:rPr>
          <w:rFonts w:hAnsi="宋体"/>
          <w:color w:val="auto"/>
          <w:sz w:val="16"/>
          <w:szCs w:val="16"/>
        </w:rPr>
      </w:pPr>
    </w:p>
    <w:p w14:paraId="7604BA80">
      <w:pPr>
        <w:pStyle w:val="9"/>
        <w:spacing w:line="400" w:lineRule="exact"/>
        <w:rPr>
          <w:rFonts w:hAnsi="宋体"/>
          <w:color w:val="auto"/>
          <w:sz w:val="18"/>
          <w:szCs w:val="18"/>
        </w:rPr>
      </w:pPr>
      <w:r>
        <w:rPr>
          <w:rFonts w:hAnsi="宋体"/>
          <w:color w:val="auto"/>
          <w:sz w:val="18"/>
          <w:szCs w:val="18"/>
        </w:rPr>
        <w:t>注：⑴表格内容均需按要求填写并盖章，不得留空，</w:t>
      </w:r>
      <w:r>
        <w:rPr>
          <w:rFonts w:hAnsi="宋体"/>
          <w:bCs/>
          <w:color w:val="auto"/>
          <w:sz w:val="18"/>
          <w:szCs w:val="18"/>
        </w:rPr>
        <w:t>否则按无效</w:t>
      </w:r>
      <w:r>
        <w:rPr>
          <w:rFonts w:hint="eastAsia" w:hAnsi="宋体"/>
          <w:bCs/>
          <w:color w:val="auto"/>
          <w:sz w:val="18"/>
          <w:szCs w:val="18"/>
        </w:rPr>
        <w:t>响应</w:t>
      </w:r>
      <w:r>
        <w:rPr>
          <w:rFonts w:hAnsi="宋体"/>
          <w:bCs/>
          <w:color w:val="auto"/>
          <w:sz w:val="18"/>
          <w:szCs w:val="18"/>
        </w:rPr>
        <w:t>处理</w:t>
      </w:r>
      <w:r>
        <w:rPr>
          <w:rFonts w:hAnsi="宋体"/>
          <w:color w:val="auto"/>
          <w:sz w:val="18"/>
          <w:szCs w:val="18"/>
        </w:rPr>
        <w:t>。</w:t>
      </w:r>
    </w:p>
    <w:p w14:paraId="6B8AD956">
      <w:pPr>
        <w:pStyle w:val="9"/>
        <w:spacing w:line="400" w:lineRule="exact"/>
        <w:ind w:left="659" w:leftChars="228" w:hanging="180" w:hangingChars="100"/>
        <w:rPr>
          <w:rFonts w:hAnsi="宋体"/>
          <w:color w:val="auto"/>
          <w:sz w:val="18"/>
          <w:szCs w:val="18"/>
        </w:rPr>
      </w:pPr>
      <w:r>
        <w:rPr>
          <w:rFonts w:hAnsi="宋体"/>
          <w:bCs/>
          <w:color w:val="auto"/>
          <w:sz w:val="18"/>
          <w:szCs w:val="18"/>
        </w:rPr>
        <w:t>⑵当</w:t>
      </w:r>
      <w:r>
        <w:rPr>
          <w:rFonts w:hint="eastAsia" w:hAnsi="宋体"/>
          <w:bCs/>
          <w:color w:val="auto"/>
          <w:sz w:val="18"/>
          <w:szCs w:val="18"/>
        </w:rPr>
        <w:t>响应</w:t>
      </w:r>
      <w:r>
        <w:rPr>
          <w:rFonts w:hAnsi="宋体"/>
          <w:bCs/>
          <w:color w:val="auto"/>
          <w:sz w:val="18"/>
          <w:szCs w:val="18"/>
        </w:rPr>
        <w:t>文件的内容低于</w:t>
      </w:r>
      <w:r>
        <w:rPr>
          <w:rFonts w:hint="eastAsia" w:hAnsi="宋体"/>
          <w:bCs/>
          <w:color w:val="auto"/>
          <w:sz w:val="18"/>
          <w:szCs w:val="18"/>
        </w:rPr>
        <w:t>附件1“采购</w:t>
      </w:r>
      <w:r>
        <w:rPr>
          <w:rFonts w:hint="eastAsia" w:asciiTheme="minorEastAsia" w:hAnsiTheme="minorEastAsia"/>
          <w:color w:val="auto"/>
          <w:sz w:val="18"/>
          <w:szCs w:val="18"/>
        </w:rPr>
        <w:t>需求一览表”中</w:t>
      </w:r>
      <w:r>
        <w:rPr>
          <w:rFonts w:asciiTheme="minorEastAsia" w:hAnsiTheme="minorEastAsia"/>
          <w:color w:val="auto"/>
          <w:sz w:val="18"/>
          <w:szCs w:val="18"/>
        </w:rPr>
        <w:t>技术参数</w:t>
      </w:r>
      <w:r>
        <w:rPr>
          <w:rFonts w:hAnsi="宋体"/>
          <w:bCs/>
          <w:color w:val="auto"/>
          <w:sz w:val="18"/>
          <w:szCs w:val="18"/>
        </w:rPr>
        <w:t>要求时，</w:t>
      </w:r>
      <w:r>
        <w:rPr>
          <w:rFonts w:hint="eastAsia" w:hAnsi="宋体"/>
          <w:bCs/>
          <w:color w:val="auto"/>
          <w:sz w:val="18"/>
          <w:szCs w:val="18"/>
        </w:rPr>
        <w:t>供应商</w:t>
      </w:r>
      <w:r>
        <w:rPr>
          <w:rFonts w:hAnsi="宋体"/>
          <w:bCs/>
          <w:color w:val="auto"/>
          <w:sz w:val="18"/>
          <w:szCs w:val="18"/>
        </w:rPr>
        <w:t>应当如实写明“负偏离”，否则视为虚假</w:t>
      </w:r>
      <w:r>
        <w:rPr>
          <w:rFonts w:hint="eastAsia" w:hAnsi="宋体"/>
          <w:bCs/>
          <w:color w:val="auto"/>
          <w:sz w:val="18"/>
          <w:szCs w:val="18"/>
        </w:rPr>
        <w:t>响应</w:t>
      </w:r>
      <w:r>
        <w:rPr>
          <w:rFonts w:hAnsi="宋体"/>
          <w:bCs/>
          <w:color w:val="auto"/>
          <w:sz w:val="18"/>
          <w:szCs w:val="18"/>
        </w:rPr>
        <w:t>。</w:t>
      </w:r>
    </w:p>
    <w:p w14:paraId="4EF00FCA">
      <w:pPr>
        <w:pStyle w:val="9"/>
        <w:spacing w:line="400" w:lineRule="exact"/>
        <w:rPr>
          <w:rFonts w:hint="default" w:hAnsi="宋体" w:eastAsia="宋体"/>
          <w:color w:val="auto"/>
          <w:sz w:val="18"/>
          <w:szCs w:val="18"/>
          <w:u w:val="single"/>
          <w:lang w:val="en-US" w:eastAsia="zh-CN"/>
        </w:rPr>
      </w:pPr>
      <w:r>
        <w:rPr>
          <w:rFonts w:hint="eastAsia" w:hAnsi="宋体"/>
          <w:color w:val="auto"/>
          <w:sz w:val="18"/>
          <w:szCs w:val="18"/>
        </w:rPr>
        <w:t>响应人（盖单位公章）：</w:t>
      </w:r>
      <w:r>
        <w:rPr>
          <w:rFonts w:hint="eastAsia" w:hAnsi="宋体"/>
          <w:color w:val="auto"/>
          <w:sz w:val="18"/>
          <w:szCs w:val="18"/>
          <w:u w:val="single"/>
          <w:lang w:val="en-US" w:eastAsia="zh-CN"/>
        </w:rPr>
        <w:t xml:space="preserve">                                          </w:t>
      </w:r>
    </w:p>
    <w:p w14:paraId="63CC2721">
      <w:pPr>
        <w:pStyle w:val="9"/>
        <w:spacing w:line="400" w:lineRule="exact"/>
        <w:rPr>
          <w:rFonts w:hint="default" w:eastAsia="宋体"/>
          <w:color w:val="auto"/>
          <w:u w:val="single"/>
          <w:lang w:val="en-US" w:eastAsia="zh-CN"/>
        </w:rPr>
      </w:pPr>
      <w:bookmarkStart w:id="3" w:name="_Toc460253713"/>
      <w:bookmarkStart w:id="4" w:name="_Toc521096352"/>
      <w:r>
        <w:rPr>
          <w:rFonts w:hint="eastAsia" w:hAnsi="宋体"/>
          <w:color w:val="auto"/>
          <w:sz w:val="18"/>
          <w:szCs w:val="18"/>
        </w:rPr>
        <w:t>法定代表人或其委托代理人（签字或盖章）：</w:t>
      </w:r>
      <w:bookmarkEnd w:id="3"/>
      <w:bookmarkEnd w:id="4"/>
      <w:r>
        <w:rPr>
          <w:rFonts w:hint="eastAsia" w:hAnsi="宋体"/>
          <w:color w:val="auto"/>
          <w:sz w:val="18"/>
          <w:szCs w:val="18"/>
          <w:u w:val="single"/>
          <w:lang w:val="en-US" w:eastAsia="zh-CN"/>
        </w:rPr>
        <w:t xml:space="preserve">                         </w:t>
      </w:r>
    </w:p>
    <w:p w14:paraId="299059AB">
      <w:pPr>
        <w:rPr>
          <w:rFonts w:hint="default" w:ascii="仿宋" w:hAnsi="仿宋" w:eastAsia="仿宋"/>
          <w:color w:val="auto"/>
          <w:sz w:val="30"/>
          <w:szCs w:val="30"/>
          <w:lang w:val="en-US" w:eastAsia="zh-CN"/>
        </w:rPr>
      </w:pPr>
      <w:r>
        <w:rPr>
          <w:rFonts w:hint="eastAsia" w:ascii="仿宋" w:hAnsi="仿宋" w:eastAsia="仿宋"/>
          <w:color w:val="auto"/>
          <w:sz w:val="30"/>
          <w:szCs w:val="30"/>
        </w:rPr>
        <w:br w:type="page"/>
      </w: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7</w:t>
      </w:r>
    </w:p>
    <w:p w14:paraId="7506AF28">
      <w:pPr>
        <w:spacing w:line="400" w:lineRule="exact"/>
        <w:jc w:val="center"/>
        <w:rPr>
          <w:rFonts w:hint="eastAsia" w:ascii="宋体" w:hAnsi="宋体"/>
          <w:b/>
          <w:color w:val="auto"/>
          <w:sz w:val="36"/>
          <w:szCs w:val="36"/>
        </w:rPr>
      </w:pPr>
      <w:r>
        <w:rPr>
          <w:rFonts w:hint="eastAsia" w:ascii="宋体" w:hAnsi="宋体"/>
          <w:b/>
          <w:color w:val="auto"/>
          <w:sz w:val="36"/>
          <w:szCs w:val="36"/>
        </w:rPr>
        <w:t>商务条款响应及偏离情况说明表</w:t>
      </w:r>
    </w:p>
    <w:p w14:paraId="003F1E03">
      <w:pPr>
        <w:pStyle w:val="9"/>
        <w:rPr>
          <w:rFonts w:hAnsi="宋体" w:cs="宋体"/>
          <w:color w:val="auto"/>
        </w:rPr>
      </w:pPr>
    </w:p>
    <w:p w14:paraId="60DA9548">
      <w:pPr>
        <w:pStyle w:val="9"/>
        <w:ind w:firstLine="420" w:firstLineChars="200"/>
        <w:rPr>
          <w:rFonts w:hAnsi="宋体" w:cs="宋体"/>
          <w:color w:val="auto"/>
        </w:rPr>
      </w:pPr>
      <w:r>
        <w:rPr>
          <w:rFonts w:hAnsi="宋体" w:cs="宋体"/>
          <w:color w:val="auto"/>
        </w:rPr>
        <w:t>请逐条对应本项目采购文件 “</w:t>
      </w:r>
      <w:r>
        <w:rPr>
          <w:rFonts w:hint="eastAsia" w:hAnsi="宋体"/>
          <w:color w:val="auto"/>
        </w:rPr>
        <w:t>采购项目需求一览表</w:t>
      </w:r>
      <w:r>
        <w:rPr>
          <w:rFonts w:hAnsi="宋体" w:cs="宋体"/>
          <w:color w:val="auto"/>
        </w:rPr>
        <w:t>”中“商务条款”的要求，详细填写相应的具体内容。“偏离说明”一栏应当选择“正偏离”、“负偏离”或“无偏离”进行填写。</w:t>
      </w:r>
    </w:p>
    <w:p w14:paraId="5049E55F">
      <w:pPr>
        <w:bidi w:val="0"/>
        <w:ind w:firstLine="422" w:firstLineChars="200"/>
        <w:rPr>
          <w:rFonts w:hint="default" w:eastAsiaTheme="minorEastAsia"/>
          <w:lang w:val="en-US" w:eastAsia="zh-CN"/>
        </w:rPr>
      </w:pPr>
      <w:r>
        <w:rPr>
          <w:rFonts w:hint="eastAsia" w:asciiTheme="minorEastAsia" w:hAnsiTheme="minorEastAsia" w:eastAsiaTheme="minorEastAsia" w:cstheme="minorEastAsia"/>
          <w:b/>
          <w:kern w:val="1"/>
          <w:sz w:val="21"/>
          <w:szCs w:val="21"/>
        </w:rPr>
        <w:t>本采购需求一览表中各参数要求需要全部满足，不允许负偏离，负偏离视为无效响应。</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40"/>
        <w:gridCol w:w="4471"/>
        <w:gridCol w:w="2248"/>
        <w:gridCol w:w="1571"/>
      </w:tblGrid>
      <w:tr w14:paraId="6C2255E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75" w:hRule="atLeast"/>
          <w:jc w:val="center"/>
        </w:trPr>
        <w:tc>
          <w:tcPr>
            <w:tcW w:w="640" w:type="dxa"/>
            <w:vAlign w:val="center"/>
          </w:tcPr>
          <w:p w14:paraId="53CB5809">
            <w:pPr>
              <w:adjustRightInd w:val="0"/>
              <w:snapToGrid w:val="0"/>
              <w:spacing w:line="400" w:lineRule="exact"/>
              <w:jc w:val="center"/>
              <w:outlineLvl w:val="0"/>
              <w:rPr>
                <w:rFonts w:ascii="宋体" w:hAnsi="宋体"/>
                <w:b/>
                <w:bCs/>
                <w:color w:val="auto"/>
                <w:szCs w:val="21"/>
              </w:rPr>
            </w:pPr>
            <w:bookmarkStart w:id="5" w:name="_Toc529"/>
            <w:bookmarkStart w:id="6" w:name="_Toc18211"/>
            <w:r>
              <w:rPr>
                <w:rFonts w:hint="eastAsia" w:ascii="宋体" w:hAnsi="宋体"/>
                <w:b/>
                <w:bCs/>
                <w:color w:val="auto"/>
                <w:szCs w:val="21"/>
              </w:rPr>
              <w:t>序号</w:t>
            </w:r>
            <w:bookmarkEnd w:id="5"/>
            <w:bookmarkEnd w:id="6"/>
          </w:p>
        </w:tc>
        <w:tc>
          <w:tcPr>
            <w:tcW w:w="4471" w:type="dxa"/>
            <w:vAlign w:val="center"/>
          </w:tcPr>
          <w:p w14:paraId="30244A43">
            <w:pPr>
              <w:adjustRightInd w:val="0"/>
              <w:snapToGrid w:val="0"/>
              <w:spacing w:line="400" w:lineRule="exact"/>
              <w:jc w:val="center"/>
              <w:outlineLvl w:val="0"/>
              <w:rPr>
                <w:rFonts w:ascii="宋体" w:hAnsi="宋体"/>
                <w:b/>
                <w:bCs/>
                <w:color w:val="auto"/>
                <w:szCs w:val="21"/>
              </w:rPr>
            </w:pPr>
            <w:bookmarkStart w:id="7" w:name="_Toc11223"/>
            <w:bookmarkStart w:id="8" w:name="_Toc113"/>
            <w:r>
              <w:rPr>
                <w:rFonts w:hint="eastAsia" w:ascii="宋体" w:hAnsi="宋体"/>
                <w:b/>
                <w:bCs/>
                <w:color w:val="auto"/>
                <w:szCs w:val="21"/>
              </w:rPr>
              <w:t>采购文件的商务</w:t>
            </w:r>
            <w:bookmarkEnd w:id="7"/>
            <w:bookmarkEnd w:id="8"/>
            <w:r>
              <w:rPr>
                <w:rFonts w:hint="eastAsia" w:ascii="宋体" w:hAnsi="宋体"/>
                <w:b/>
                <w:bCs/>
                <w:color w:val="auto"/>
                <w:szCs w:val="21"/>
              </w:rPr>
              <w:t>条款</w:t>
            </w:r>
          </w:p>
        </w:tc>
        <w:tc>
          <w:tcPr>
            <w:tcW w:w="2248" w:type="dxa"/>
            <w:vAlign w:val="center"/>
          </w:tcPr>
          <w:p w14:paraId="54079DDF">
            <w:pPr>
              <w:adjustRightInd w:val="0"/>
              <w:snapToGrid w:val="0"/>
              <w:spacing w:line="400" w:lineRule="exact"/>
              <w:jc w:val="center"/>
              <w:outlineLvl w:val="0"/>
              <w:rPr>
                <w:rFonts w:ascii="宋体" w:hAnsi="宋体"/>
                <w:b/>
                <w:bCs/>
                <w:color w:val="auto"/>
                <w:szCs w:val="21"/>
              </w:rPr>
            </w:pPr>
            <w:bookmarkStart w:id="9" w:name="_Toc3147"/>
            <w:bookmarkStart w:id="10" w:name="_Toc22733"/>
            <w:r>
              <w:rPr>
                <w:rFonts w:hint="eastAsia" w:ascii="宋体" w:hAnsi="宋体"/>
                <w:b/>
                <w:bCs/>
                <w:color w:val="auto"/>
                <w:szCs w:val="21"/>
              </w:rPr>
              <w:t>响应文件具体响应</w:t>
            </w:r>
            <w:bookmarkEnd w:id="9"/>
            <w:bookmarkEnd w:id="10"/>
          </w:p>
        </w:tc>
        <w:tc>
          <w:tcPr>
            <w:tcW w:w="1571" w:type="dxa"/>
            <w:vAlign w:val="center"/>
          </w:tcPr>
          <w:p w14:paraId="0EC3A0D4">
            <w:pPr>
              <w:adjustRightInd w:val="0"/>
              <w:snapToGrid w:val="0"/>
              <w:spacing w:line="400" w:lineRule="exact"/>
              <w:jc w:val="center"/>
              <w:outlineLvl w:val="0"/>
              <w:rPr>
                <w:rFonts w:ascii="宋体" w:hAnsi="宋体"/>
                <w:b/>
                <w:bCs/>
                <w:color w:val="auto"/>
                <w:szCs w:val="21"/>
              </w:rPr>
            </w:pPr>
            <w:r>
              <w:rPr>
                <w:rFonts w:hint="eastAsia" w:ascii="宋体" w:hAnsi="宋体"/>
                <w:b/>
                <w:bCs/>
                <w:color w:val="auto"/>
                <w:szCs w:val="21"/>
              </w:rPr>
              <w:t>偏离说明</w:t>
            </w:r>
          </w:p>
        </w:tc>
      </w:tr>
      <w:tr w14:paraId="0A65AA1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230" w:hRule="atLeast"/>
          <w:jc w:val="center"/>
        </w:trPr>
        <w:tc>
          <w:tcPr>
            <w:tcW w:w="640" w:type="dxa"/>
            <w:vAlign w:val="center"/>
          </w:tcPr>
          <w:p w14:paraId="6CA70A3B">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1" w:name="_Toc20348"/>
            <w:bookmarkStart w:id="12" w:name="_Toc16246"/>
            <w:r>
              <w:rPr>
                <w:rFonts w:hint="eastAsia" w:asciiTheme="minorEastAsia" w:hAnsiTheme="minorEastAsia" w:eastAsiaTheme="minorEastAsia" w:cstheme="minorEastAsia"/>
                <w:color w:val="auto"/>
                <w:kern w:val="2"/>
                <w:sz w:val="21"/>
                <w:szCs w:val="21"/>
                <w:lang w:val="en-US" w:eastAsia="zh-CN" w:bidi="ar-SA"/>
              </w:rPr>
              <w:t>1</w:t>
            </w:r>
            <w:bookmarkEnd w:id="11"/>
            <w:bookmarkEnd w:id="12"/>
          </w:p>
        </w:tc>
        <w:tc>
          <w:tcPr>
            <w:tcW w:w="4471" w:type="dxa"/>
            <w:vAlign w:val="center"/>
          </w:tcPr>
          <w:p w14:paraId="3301C1AD">
            <w:pPr>
              <w:keepNext w:val="0"/>
              <w:keepLines w:val="0"/>
              <w:pageBreakBefore w:val="0"/>
              <w:widowControl/>
              <w:numPr>
                <w:ilvl w:val="0"/>
                <w:numId w:val="0"/>
              </w:numPr>
              <w:shd w:val="clear" w:color="auto" w:fill="FFFFFF"/>
              <w:wordWrap/>
              <w:topLinePunct w:val="0"/>
              <w:autoSpaceDE/>
              <w:autoSpaceDN/>
              <w:bidi w:val="0"/>
              <w:adjustRightInd/>
              <w:snapToGrid/>
              <w:spacing w:line="400" w:lineRule="exact"/>
              <w:textAlignment w:val="auto"/>
              <w:rPr>
                <w:rFonts w:hint="eastAsia" w:asciiTheme="minorEastAsia" w:hAnsiTheme="minorEastAsia" w:eastAsiaTheme="minorEastAsia" w:cstheme="minorEastAsia"/>
                <w:color w:val="auto"/>
                <w:kern w:val="2"/>
                <w:sz w:val="21"/>
                <w:szCs w:val="21"/>
                <w:lang w:val="en-US" w:eastAsia="zh-CN" w:bidi="ar-SA"/>
              </w:rPr>
            </w:pPr>
            <w:r>
              <w:rPr>
                <w:rFonts w:hint="eastAsia" w:ascii="宋体" w:hAnsi="宋体"/>
                <w:b/>
                <w:bCs/>
                <w:szCs w:val="21"/>
              </w:rPr>
              <w:t>合同签订期：</w:t>
            </w:r>
            <w:r>
              <w:rPr>
                <w:rFonts w:hint="eastAsia" w:ascii="宋体" w:hAnsi="宋体"/>
                <w:b w:val="0"/>
                <w:bCs w:val="0"/>
                <w:szCs w:val="21"/>
              </w:rPr>
              <w:t>自采购结果公告结束之日起 10 个工作日内。</w:t>
            </w:r>
          </w:p>
        </w:tc>
        <w:tc>
          <w:tcPr>
            <w:tcW w:w="2248" w:type="dxa"/>
            <w:shd w:val="clear" w:color="auto" w:fill="auto"/>
            <w:vAlign w:val="center"/>
          </w:tcPr>
          <w:p w14:paraId="11A577B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45BABEC8">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3FBED9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060" w:hRule="atLeast"/>
          <w:jc w:val="center"/>
        </w:trPr>
        <w:tc>
          <w:tcPr>
            <w:tcW w:w="640" w:type="dxa"/>
            <w:vAlign w:val="center"/>
          </w:tcPr>
          <w:p w14:paraId="738A950C">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3" w:name="_Toc14139"/>
            <w:bookmarkStart w:id="14" w:name="_Toc29108"/>
            <w:r>
              <w:rPr>
                <w:rFonts w:hint="eastAsia" w:asciiTheme="minorEastAsia" w:hAnsiTheme="minorEastAsia" w:eastAsiaTheme="minorEastAsia" w:cstheme="minorEastAsia"/>
                <w:color w:val="auto"/>
                <w:kern w:val="2"/>
                <w:sz w:val="21"/>
                <w:szCs w:val="21"/>
                <w:lang w:val="en-US" w:eastAsia="zh-CN" w:bidi="ar-SA"/>
              </w:rPr>
              <w:t>2</w:t>
            </w:r>
            <w:bookmarkEnd w:id="13"/>
            <w:bookmarkEnd w:id="14"/>
          </w:p>
        </w:tc>
        <w:tc>
          <w:tcPr>
            <w:tcW w:w="4471" w:type="dxa"/>
            <w:vAlign w:val="center"/>
          </w:tcPr>
          <w:p w14:paraId="2954EA82">
            <w:pPr>
              <w:keepNext w:val="0"/>
              <w:keepLines w:val="0"/>
              <w:pageBreakBefore w:val="0"/>
              <w:widowControl/>
              <w:shd w:val="clear" w:color="auto" w:fill="FFFFFF"/>
              <w:tabs>
                <w:tab w:val="left" w:pos="312"/>
              </w:tabs>
              <w:wordWrap/>
              <w:topLinePunct w:val="0"/>
              <w:autoSpaceDE/>
              <w:autoSpaceDN/>
              <w:bidi w:val="0"/>
              <w:adjustRightInd/>
              <w:snapToGrid/>
              <w:spacing w:line="400" w:lineRule="exact"/>
              <w:ind w:left="0"/>
              <w:textAlignment w:val="auto"/>
              <w:rPr>
                <w:rFonts w:hint="eastAsia" w:asciiTheme="minorEastAsia" w:hAnsiTheme="minorEastAsia" w:eastAsiaTheme="minorEastAsia" w:cstheme="minorEastAsia"/>
                <w:color w:val="auto"/>
                <w:kern w:val="2"/>
                <w:sz w:val="21"/>
                <w:szCs w:val="21"/>
                <w:lang w:val="en-US" w:eastAsia="zh-CN" w:bidi="ar-SA"/>
              </w:rPr>
            </w:pPr>
            <w:r>
              <w:rPr>
                <w:rFonts w:hint="eastAsia" w:ascii="宋体" w:hAnsi="宋体"/>
                <w:b/>
                <w:bCs/>
                <w:szCs w:val="21"/>
              </w:rPr>
              <w:t>交货期：</w:t>
            </w:r>
            <w:r>
              <w:rPr>
                <w:rFonts w:hint="eastAsia" w:ascii="宋体" w:hAnsi="宋体"/>
                <w:b w:val="0"/>
                <w:bCs w:val="0"/>
                <w:szCs w:val="21"/>
              </w:rPr>
              <w:t>合同签订后成交供应商10个工作日内提供</w:t>
            </w:r>
            <w:r>
              <w:rPr>
                <w:rFonts w:hint="eastAsia" w:ascii="宋体" w:hAnsi="宋体"/>
                <w:b w:val="0"/>
                <w:bCs w:val="0"/>
                <w:szCs w:val="21"/>
                <w:lang w:val="en-US" w:eastAsia="zh-CN"/>
              </w:rPr>
              <w:t>最终</w:t>
            </w:r>
            <w:r>
              <w:rPr>
                <w:rFonts w:hint="eastAsia" w:ascii="宋体" w:hAnsi="宋体"/>
                <w:b w:val="0"/>
                <w:bCs w:val="0"/>
                <w:szCs w:val="21"/>
              </w:rPr>
              <w:t>设计稿，经采购人确认后批量制作。采购人确认设计稿后40个工作日内一次性交货完毕。</w:t>
            </w:r>
          </w:p>
        </w:tc>
        <w:tc>
          <w:tcPr>
            <w:tcW w:w="2248" w:type="dxa"/>
            <w:shd w:val="clear" w:color="auto" w:fill="auto"/>
            <w:vAlign w:val="center"/>
          </w:tcPr>
          <w:p w14:paraId="08703AC7">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7A72D636">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3E58A8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640" w:type="dxa"/>
            <w:vAlign w:val="center"/>
          </w:tcPr>
          <w:p w14:paraId="25040729">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5" w:name="_Toc25531"/>
            <w:bookmarkStart w:id="16" w:name="_Toc5989"/>
            <w:r>
              <w:rPr>
                <w:rFonts w:hint="eastAsia" w:asciiTheme="minorEastAsia" w:hAnsiTheme="minorEastAsia" w:eastAsiaTheme="minorEastAsia" w:cstheme="minorEastAsia"/>
                <w:color w:val="auto"/>
                <w:kern w:val="2"/>
                <w:sz w:val="21"/>
                <w:szCs w:val="21"/>
                <w:lang w:val="en-US" w:eastAsia="zh-CN" w:bidi="ar-SA"/>
              </w:rPr>
              <w:t>3</w:t>
            </w:r>
            <w:bookmarkEnd w:id="15"/>
            <w:bookmarkEnd w:id="16"/>
          </w:p>
        </w:tc>
        <w:tc>
          <w:tcPr>
            <w:tcW w:w="4471" w:type="dxa"/>
            <w:vAlign w:val="center"/>
          </w:tcPr>
          <w:p w14:paraId="0A471A39">
            <w:pPr>
              <w:bidi w:val="0"/>
              <w:rPr>
                <w:rFonts w:hint="eastAsia" w:asciiTheme="minorEastAsia" w:hAnsiTheme="minorEastAsia" w:eastAsiaTheme="minorEastAsia" w:cstheme="minorEastAsia"/>
                <w:color w:val="auto"/>
                <w:kern w:val="2"/>
                <w:szCs w:val="21"/>
                <w:lang w:val="en-US" w:eastAsia="zh-CN" w:bidi="ar-SA"/>
              </w:rPr>
            </w:pPr>
            <w:r>
              <w:rPr>
                <w:rFonts w:hint="eastAsia" w:ascii="宋体" w:hAnsi="宋体"/>
                <w:b/>
                <w:bCs/>
                <w:szCs w:val="21"/>
              </w:rPr>
              <w:t>交货地点：</w:t>
            </w:r>
            <w:r>
              <w:rPr>
                <w:rFonts w:hint="eastAsia" w:ascii="宋体" w:hAnsi="宋体"/>
                <w:b w:val="0"/>
                <w:bCs w:val="0"/>
                <w:szCs w:val="21"/>
              </w:rPr>
              <w:t>南宁中心血站指定地点。</w:t>
            </w:r>
            <w:r>
              <w:rPr>
                <w:rFonts w:hint="eastAsia" w:ascii="宋体" w:hAnsi="宋体"/>
                <w:bCs/>
                <w:szCs w:val="21"/>
                <w:u w:val="none"/>
              </w:rPr>
              <w:t xml:space="preserve"> </w:t>
            </w:r>
            <w:r>
              <w:rPr>
                <w:rFonts w:hint="eastAsia" w:ascii="宋体" w:hAnsi="宋体" w:cs="宋体"/>
                <w:b w:val="0"/>
                <w:bCs w:val="0"/>
              </w:rPr>
              <w:t xml:space="preserve"> </w:t>
            </w:r>
            <w:r>
              <w:rPr>
                <w:rFonts w:hint="eastAsia" w:asciiTheme="minorEastAsia" w:hAnsiTheme="minorEastAsia" w:eastAsiaTheme="minorEastAsia" w:cstheme="minorEastAsia"/>
                <w:color w:val="000000" w:themeColor="text1"/>
                <w14:textFill>
                  <w14:solidFill>
                    <w14:schemeClr w14:val="tx1"/>
                  </w14:solidFill>
                </w14:textFill>
              </w:rPr>
              <w:t xml:space="preserve"> </w:t>
            </w:r>
          </w:p>
        </w:tc>
        <w:tc>
          <w:tcPr>
            <w:tcW w:w="2248" w:type="dxa"/>
            <w:shd w:val="clear" w:color="auto" w:fill="auto"/>
            <w:vAlign w:val="center"/>
          </w:tcPr>
          <w:p w14:paraId="6571417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4F1AA073">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0B159A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25" w:hRule="atLeast"/>
          <w:jc w:val="center"/>
        </w:trPr>
        <w:tc>
          <w:tcPr>
            <w:tcW w:w="640" w:type="dxa"/>
            <w:vAlign w:val="center"/>
          </w:tcPr>
          <w:p w14:paraId="29FFF0A2">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7" w:name="_Toc24579"/>
            <w:bookmarkStart w:id="18" w:name="_Toc29620"/>
            <w:r>
              <w:rPr>
                <w:rFonts w:hint="eastAsia" w:asciiTheme="minorEastAsia" w:hAnsiTheme="minorEastAsia" w:eastAsiaTheme="minorEastAsia" w:cstheme="minorEastAsia"/>
                <w:color w:val="auto"/>
                <w:kern w:val="2"/>
                <w:sz w:val="21"/>
                <w:szCs w:val="21"/>
                <w:lang w:val="en-US" w:eastAsia="zh-CN" w:bidi="ar-SA"/>
              </w:rPr>
              <w:t>4</w:t>
            </w:r>
            <w:bookmarkEnd w:id="17"/>
            <w:bookmarkEnd w:id="18"/>
          </w:p>
        </w:tc>
        <w:tc>
          <w:tcPr>
            <w:tcW w:w="4471" w:type="dxa"/>
            <w:vAlign w:val="center"/>
          </w:tcPr>
          <w:p w14:paraId="490AC611">
            <w:pPr>
              <w:bidi w:val="0"/>
              <w:rPr>
                <w:rFonts w:hint="eastAsia" w:ascii="宋体" w:hAnsi="宋体"/>
                <w:b/>
                <w:bCs/>
                <w:szCs w:val="21"/>
              </w:rPr>
            </w:pPr>
            <w:r>
              <w:rPr>
                <w:rFonts w:hint="eastAsia" w:ascii="宋体" w:hAnsi="宋体"/>
                <w:b/>
                <w:bCs/>
                <w:szCs w:val="21"/>
              </w:rPr>
              <w:t>交货方式及要求：</w:t>
            </w:r>
          </w:p>
          <w:p w14:paraId="2773EFAA">
            <w:pPr>
              <w:bidi w:val="0"/>
              <w:rPr>
                <w:rFonts w:hint="eastAsia" w:ascii="宋体" w:hAnsi="宋体" w:eastAsia="宋体"/>
                <w:b w:val="0"/>
                <w:bCs w:val="0"/>
                <w:szCs w:val="21"/>
                <w:lang w:eastAsia="zh-CN"/>
              </w:rPr>
            </w:pPr>
            <w:r>
              <w:rPr>
                <w:rFonts w:hint="eastAsia" w:ascii="宋体" w:hAnsi="宋体"/>
                <w:b w:val="0"/>
                <w:bCs w:val="0"/>
                <w:szCs w:val="21"/>
              </w:rPr>
              <w:t>1、交货方式：现场交货</w:t>
            </w:r>
            <w:r>
              <w:rPr>
                <w:rFonts w:hint="eastAsia" w:ascii="宋体" w:hAnsi="宋体"/>
                <w:b w:val="0"/>
                <w:bCs w:val="0"/>
                <w:szCs w:val="21"/>
                <w:lang w:eastAsia="zh-CN"/>
              </w:rPr>
              <w:t>。</w:t>
            </w:r>
          </w:p>
          <w:p w14:paraId="7EDE0790">
            <w:pPr>
              <w:bidi w:val="0"/>
              <w:rPr>
                <w:rFonts w:hint="eastAsia" w:asciiTheme="minorEastAsia" w:hAnsiTheme="minorEastAsia" w:eastAsiaTheme="minorEastAsia" w:cstheme="minorEastAsia"/>
                <w:color w:val="auto"/>
                <w:kern w:val="2"/>
                <w:sz w:val="21"/>
                <w:szCs w:val="21"/>
                <w:lang w:val="en-US" w:eastAsia="zh-CN" w:bidi="ar-SA"/>
              </w:rPr>
            </w:pPr>
            <w:r>
              <w:rPr>
                <w:rFonts w:hint="eastAsia" w:ascii="宋体" w:hAnsi="宋体"/>
                <w:b w:val="0"/>
                <w:bCs w:val="0"/>
                <w:szCs w:val="21"/>
              </w:rPr>
              <w:t>2、交货要求：成交供应商向采购人提供的货物必须是全新、完整、未使用过的，货物到达后，成交供应商和采购人应在现场进行清点，清点过程中如果发现因包装或运输不当引起的产品外观或内部的损坏，成交供应商应负责更换，若发现错发/漏发情况，成交供应商应负责更换和补发。</w:t>
            </w:r>
          </w:p>
        </w:tc>
        <w:tc>
          <w:tcPr>
            <w:tcW w:w="2248" w:type="dxa"/>
            <w:shd w:val="clear" w:color="auto" w:fill="auto"/>
            <w:vAlign w:val="center"/>
          </w:tcPr>
          <w:p w14:paraId="481061CF">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6E78B528">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40410DA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11" w:hRule="atLeast"/>
          <w:jc w:val="center"/>
        </w:trPr>
        <w:tc>
          <w:tcPr>
            <w:tcW w:w="640" w:type="dxa"/>
            <w:vAlign w:val="center"/>
          </w:tcPr>
          <w:p w14:paraId="3A6A8FE7">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9" w:name="_Toc24401"/>
            <w:bookmarkStart w:id="20" w:name="_Toc28228"/>
            <w:r>
              <w:rPr>
                <w:rFonts w:hint="eastAsia" w:asciiTheme="minorEastAsia" w:hAnsiTheme="minorEastAsia" w:eastAsiaTheme="minorEastAsia" w:cstheme="minorEastAsia"/>
                <w:color w:val="auto"/>
                <w:kern w:val="2"/>
                <w:sz w:val="21"/>
                <w:szCs w:val="21"/>
                <w:lang w:val="en-US" w:eastAsia="zh-CN" w:bidi="ar-SA"/>
              </w:rPr>
              <w:t>5</w:t>
            </w:r>
            <w:bookmarkEnd w:id="19"/>
            <w:bookmarkEnd w:id="20"/>
          </w:p>
        </w:tc>
        <w:tc>
          <w:tcPr>
            <w:tcW w:w="4471" w:type="dxa"/>
            <w:vAlign w:val="center"/>
          </w:tcPr>
          <w:p w14:paraId="66EB3FC1">
            <w:pPr>
              <w:bidi w:val="0"/>
              <w:rPr>
                <w:rFonts w:hint="eastAsia" w:ascii="宋体" w:hAnsi="宋体"/>
                <w:b/>
                <w:bCs/>
                <w:szCs w:val="21"/>
              </w:rPr>
            </w:pPr>
            <w:r>
              <w:rPr>
                <w:rFonts w:hint="eastAsia" w:ascii="宋体" w:hAnsi="宋体"/>
                <w:b/>
                <w:bCs/>
                <w:szCs w:val="21"/>
              </w:rPr>
              <w:t>验收方式及要求：</w:t>
            </w:r>
          </w:p>
          <w:p w14:paraId="18363B28">
            <w:pPr>
              <w:bidi w:val="0"/>
              <w:rPr>
                <w:rFonts w:hint="eastAsia" w:ascii="宋体" w:hAnsi="宋体"/>
                <w:b w:val="0"/>
                <w:bCs w:val="0"/>
                <w:szCs w:val="21"/>
              </w:rPr>
            </w:pPr>
            <w:r>
              <w:rPr>
                <w:rFonts w:hint="eastAsia" w:ascii="宋体" w:hAnsi="宋体"/>
                <w:b w:val="0"/>
                <w:bCs w:val="0"/>
                <w:szCs w:val="21"/>
              </w:rPr>
              <w:t>1、交货时，所有产品均严格按采购文件上的技术参数要求，采购人按成交供应商响应和承诺的技术参数及性能和国家有关标准进行验收，达不到要求的不予验收，视为产品验收不合格，并且保留追究成交供应商虚假</w:t>
            </w:r>
            <w:r>
              <w:rPr>
                <w:rFonts w:hint="eastAsia" w:ascii="宋体" w:hAnsi="宋体"/>
                <w:b w:val="0"/>
                <w:bCs w:val="0"/>
                <w:szCs w:val="21"/>
                <w:lang w:val="en-US" w:eastAsia="zh-CN"/>
              </w:rPr>
              <w:t>响应</w:t>
            </w:r>
            <w:r>
              <w:rPr>
                <w:rFonts w:hint="eastAsia" w:ascii="宋体" w:hAnsi="宋体"/>
                <w:b w:val="0"/>
                <w:bCs w:val="0"/>
                <w:szCs w:val="21"/>
              </w:rPr>
              <w:t>的法律责任。</w:t>
            </w:r>
          </w:p>
          <w:p w14:paraId="2875577A">
            <w:pPr>
              <w:bidi w:val="0"/>
              <w:rPr>
                <w:rFonts w:hint="eastAsia" w:asciiTheme="minorEastAsia" w:hAnsiTheme="minorEastAsia" w:eastAsiaTheme="minorEastAsia" w:cstheme="minorEastAsia"/>
                <w:color w:val="auto"/>
                <w:kern w:val="2"/>
                <w:sz w:val="21"/>
                <w:szCs w:val="21"/>
                <w:lang w:val="en-US" w:eastAsia="zh-CN" w:bidi="ar-SA"/>
              </w:rPr>
            </w:pPr>
            <w:r>
              <w:rPr>
                <w:rFonts w:hint="eastAsia" w:ascii="宋体" w:hAnsi="宋体"/>
                <w:b w:val="0"/>
                <w:bCs w:val="0"/>
                <w:szCs w:val="21"/>
              </w:rPr>
              <w:t>2、按要求供货到现场(包括包装、卸货及搬运)。</w:t>
            </w:r>
          </w:p>
        </w:tc>
        <w:tc>
          <w:tcPr>
            <w:tcW w:w="2248" w:type="dxa"/>
            <w:shd w:val="clear" w:color="auto" w:fill="auto"/>
            <w:vAlign w:val="center"/>
          </w:tcPr>
          <w:p w14:paraId="41B62ABB">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2E944E10">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FD3315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73" w:hRule="atLeast"/>
          <w:jc w:val="center"/>
        </w:trPr>
        <w:tc>
          <w:tcPr>
            <w:tcW w:w="640" w:type="dxa"/>
            <w:vAlign w:val="center"/>
          </w:tcPr>
          <w:p w14:paraId="2C61B245">
            <w:pPr>
              <w:widowControl/>
              <w:shd w:val="clear" w:color="auto" w:fill="FFFFFF"/>
              <w:spacing w:line="360" w:lineRule="auto"/>
              <w:jc w:val="center"/>
              <w:rPr>
                <w:rFonts w:hint="default"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cstheme="minorEastAsia"/>
                <w:color w:val="auto"/>
                <w:kern w:val="2"/>
                <w:sz w:val="21"/>
                <w:szCs w:val="21"/>
                <w:lang w:val="en-US" w:eastAsia="zh-CN" w:bidi="ar-SA"/>
              </w:rPr>
              <w:t>6</w:t>
            </w:r>
          </w:p>
        </w:tc>
        <w:tc>
          <w:tcPr>
            <w:tcW w:w="4471" w:type="dxa"/>
            <w:vAlign w:val="center"/>
          </w:tcPr>
          <w:p w14:paraId="0D0247E9">
            <w:pPr>
              <w:bidi w:val="0"/>
              <w:rPr>
                <w:rFonts w:hint="eastAsia" w:ascii="宋体" w:hAnsi="宋体"/>
                <w:b/>
                <w:bCs/>
                <w:szCs w:val="21"/>
              </w:rPr>
            </w:pPr>
            <w:r>
              <w:rPr>
                <w:rFonts w:hint="eastAsia" w:ascii="宋体" w:hAnsi="宋体"/>
                <w:b/>
                <w:bCs/>
                <w:szCs w:val="21"/>
              </w:rPr>
              <w:t>售后服务要求：</w:t>
            </w:r>
          </w:p>
          <w:p w14:paraId="05C292E0">
            <w:pPr>
              <w:bidi w:val="0"/>
              <w:rPr>
                <w:rFonts w:hint="eastAsia" w:ascii="宋体" w:hAnsi="宋体"/>
                <w:b w:val="0"/>
                <w:bCs w:val="0"/>
                <w:szCs w:val="21"/>
              </w:rPr>
            </w:pPr>
            <w:r>
              <w:rPr>
                <w:rFonts w:hint="eastAsia" w:ascii="宋体" w:hAnsi="宋体"/>
                <w:b w:val="0"/>
                <w:bCs w:val="0"/>
                <w:szCs w:val="21"/>
              </w:rPr>
              <w:t>1、质量保证期  1  年（自交货并验收合格之日起计），质量保证期内按国家有关产品“三包”规定执行“三包”，质量保证期内因产品质量问题发生的相关费用由成交供应商承担。</w:t>
            </w:r>
          </w:p>
          <w:p w14:paraId="150AD4D7">
            <w:pPr>
              <w:bidi w:val="0"/>
              <w:rPr>
                <w:rFonts w:hint="eastAsia" w:asciiTheme="minorEastAsia" w:hAnsiTheme="minorEastAsia" w:cstheme="minorEastAsia"/>
                <w:color w:val="auto"/>
                <w:szCs w:val="21"/>
                <w:highlight w:val="none"/>
                <w:lang w:val="en-US" w:eastAsia="zh-CN"/>
              </w:rPr>
            </w:pPr>
            <w:r>
              <w:rPr>
                <w:rFonts w:hint="eastAsia" w:ascii="宋体" w:hAnsi="宋体"/>
                <w:b w:val="0"/>
                <w:bCs w:val="0"/>
                <w:szCs w:val="21"/>
              </w:rPr>
              <w:t>2、服务响应时间：对于服务请求，须在 20 分钟内响应；一般问题 8小时内解决；对于重大问题不能超过 48 小时解决且要求 4 小时内到现场服务。</w:t>
            </w:r>
          </w:p>
        </w:tc>
        <w:tc>
          <w:tcPr>
            <w:tcW w:w="2248" w:type="dxa"/>
            <w:shd w:val="clear" w:color="auto" w:fill="auto"/>
            <w:vAlign w:val="center"/>
          </w:tcPr>
          <w:p w14:paraId="1207D5E2">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7FBB7929">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341B45C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73" w:hRule="atLeast"/>
          <w:jc w:val="center"/>
        </w:trPr>
        <w:tc>
          <w:tcPr>
            <w:tcW w:w="640" w:type="dxa"/>
            <w:vAlign w:val="center"/>
          </w:tcPr>
          <w:p w14:paraId="56687B8C">
            <w:pPr>
              <w:widowControl/>
              <w:shd w:val="clear" w:color="auto" w:fill="FFFFFF"/>
              <w:spacing w:line="360" w:lineRule="auto"/>
              <w:jc w:val="center"/>
              <w:rPr>
                <w:rFonts w:hint="default" w:asciiTheme="minorEastAsia" w:hAnsiTheme="minorEastAsia" w:cstheme="minorEastAsia"/>
                <w:color w:val="auto"/>
                <w:kern w:val="2"/>
                <w:sz w:val="21"/>
                <w:szCs w:val="21"/>
                <w:lang w:val="en-US" w:eastAsia="zh-CN" w:bidi="ar-SA"/>
              </w:rPr>
            </w:pPr>
            <w:r>
              <w:rPr>
                <w:rFonts w:hint="eastAsia" w:asciiTheme="minorEastAsia" w:hAnsiTheme="minorEastAsia" w:cstheme="minorEastAsia"/>
                <w:color w:val="auto"/>
                <w:kern w:val="2"/>
                <w:sz w:val="21"/>
                <w:szCs w:val="21"/>
                <w:lang w:val="en-US" w:eastAsia="zh-CN" w:bidi="ar-SA"/>
              </w:rPr>
              <w:t>7</w:t>
            </w:r>
          </w:p>
        </w:tc>
        <w:tc>
          <w:tcPr>
            <w:tcW w:w="4471" w:type="dxa"/>
            <w:vAlign w:val="center"/>
          </w:tcPr>
          <w:p w14:paraId="356DA48B">
            <w:pPr>
              <w:bidi w:val="0"/>
              <w:rPr>
                <w:rFonts w:hint="eastAsia" w:ascii="宋体" w:hAnsi="宋体"/>
                <w:b/>
                <w:bCs/>
                <w:szCs w:val="21"/>
              </w:rPr>
            </w:pPr>
            <w:r>
              <w:rPr>
                <w:rFonts w:hint="eastAsia" w:ascii="宋体" w:hAnsi="宋体"/>
                <w:b/>
                <w:bCs/>
                <w:szCs w:val="21"/>
              </w:rPr>
              <w:t>其他要求：</w:t>
            </w:r>
          </w:p>
          <w:p w14:paraId="53720B28">
            <w:pPr>
              <w:bidi w:val="0"/>
              <w:rPr>
                <w:rFonts w:hint="eastAsia" w:ascii="宋体" w:hAnsi="宋体"/>
                <w:b w:val="0"/>
                <w:bCs w:val="0"/>
                <w:szCs w:val="21"/>
              </w:rPr>
            </w:pPr>
            <w:r>
              <w:rPr>
                <w:rFonts w:hint="eastAsia" w:ascii="宋体" w:hAnsi="宋体"/>
                <w:b w:val="0"/>
                <w:bCs w:val="0"/>
                <w:szCs w:val="21"/>
              </w:rPr>
              <w:t>1、</w:t>
            </w:r>
            <w:r>
              <w:rPr>
                <w:rFonts w:hint="eastAsia" w:ascii="宋体" w:hAnsi="宋体"/>
                <w:b w:val="0"/>
                <w:bCs w:val="0"/>
                <w:szCs w:val="21"/>
                <w:lang w:val="en-US" w:eastAsia="zh-CN"/>
              </w:rPr>
              <w:t>响应</w:t>
            </w:r>
            <w:r>
              <w:rPr>
                <w:rFonts w:hint="eastAsia" w:ascii="宋体" w:hAnsi="宋体"/>
                <w:b w:val="0"/>
                <w:bCs w:val="0"/>
                <w:szCs w:val="21"/>
              </w:rPr>
              <w:t>报价为采购人指定地点的现场交货价，包括：</w:t>
            </w:r>
          </w:p>
          <w:p w14:paraId="65D96FCC">
            <w:pPr>
              <w:bidi w:val="0"/>
              <w:rPr>
                <w:rFonts w:hint="eastAsia" w:ascii="宋体" w:hAnsi="宋体"/>
                <w:b w:val="0"/>
                <w:bCs w:val="0"/>
                <w:szCs w:val="21"/>
              </w:rPr>
            </w:pPr>
            <w:r>
              <w:rPr>
                <w:rFonts w:hint="eastAsia" w:ascii="宋体" w:hAnsi="宋体"/>
                <w:b w:val="0"/>
                <w:bCs w:val="0"/>
                <w:szCs w:val="21"/>
              </w:rPr>
              <w:t>（1）货物的价格；</w:t>
            </w:r>
          </w:p>
          <w:p w14:paraId="079DFEE2">
            <w:pPr>
              <w:bidi w:val="0"/>
              <w:rPr>
                <w:rFonts w:hint="eastAsia" w:ascii="宋体" w:hAnsi="宋体"/>
                <w:b w:val="0"/>
                <w:bCs w:val="0"/>
                <w:szCs w:val="21"/>
              </w:rPr>
            </w:pPr>
            <w:r>
              <w:rPr>
                <w:rFonts w:hint="eastAsia" w:ascii="宋体" w:hAnsi="宋体"/>
                <w:b w:val="0"/>
                <w:bCs w:val="0"/>
                <w:szCs w:val="21"/>
              </w:rPr>
              <w:t>（2）货物的标准附件配件、备品备件、专用工具的价格；</w:t>
            </w:r>
          </w:p>
          <w:p w14:paraId="77A823E9">
            <w:pPr>
              <w:bidi w:val="0"/>
              <w:rPr>
                <w:rFonts w:hint="eastAsia" w:ascii="宋体" w:hAnsi="宋体"/>
                <w:b w:val="0"/>
                <w:bCs w:val="0"/>
                <w:szCs w:val="21"/>
              </w:rPr>
            </w:pPr>
            <w:r>
              <w:rPr>
                <w:rFonts w:hint="eastAsia" w:ascii="宋体" w:hAnsi="宋体"/>
                <w:b w:val="0"/>
                <w:bCs w:val="0"/>
                <w:szCs w:val="21"/>
              </w:rPr>
              <w:t>（3）设计费、运输、装卸、搬运、技术支持、售后服务等费用；</w:t>
            </w:r>
          </w:p>
          <w:p w14:paraId="147A1EF8">
            <w:pPr>
              <w:bidi w:val="0"/>
              <w:rPr>
                <w:rFonts w:hint="eastAsia" w:ascii="宋体" w:hAnsi="宋体"/>
                <w:b w:val="0"/>
                <w:bCs w:val="0"/>
                <w:szCs w:val="21"/>
              </w:rPr>
            </w:pPr>
            <w:r>
              <w:rPr>
                <w:rFonts w:hint="eastAsia" w:ascii="宋体" w:hAnsi="宋体"/>
                <w:b w:val="0"/>
                <w:bCs w:val="0"/>
                <w:szCs w:val="21"/>
              </w:rPr>
              <w:t>（4）必要的保险费用和各项税费。</w:t>
            </w:r>
          </w:p>
          <w:p w14:paraId="0E2F18B4">
            <w:pPr>
              <w:bidi w:val="0"/>
              <w:rPr>
                <w:rFonts w:hint="eastAsia" w:ascii="宋体" w:hAnsi="宋体" w:cs="宋体"/>
              </w:rPr>
            </w:pPr>
            <w:r>
              <w:rPr>
                <w:rFonts w:hint="eastAsia" w:ascii="宋体" w:hAnsi="宋体"/>
                <w:b w:val="0"/>
                <w:bCs w:val="0"/>
                <w:szCs w:val="21"/>
              </w:rPr>
              <w:t>2、付款方式：成交供应商交货完毕并经采购人书面验收合格后，采购人</w:t>
            </w:r>
            <w:r>
              <w:rPr>
                <w:rFonts w:hint="eastAsia" w:ascii="宋体" w:hAnsi="宋体"/>
                <w:b w:val="0"/>
                <w:bCs w:val="0"/>
                <w:szCs w:val="21"/>
                <w:lang w:val="en-US" w:eastAsia="zh-CN"/>
              </w:rPr>
              <w:t>于30日内</w:t>
            </w:r>
            <w:r>
              <w:rPr>
                <w:rFonts w:hint="eastAsia" w:ascii="宋体" w:hAnsi="宋体"/>
                <w:b w:val="0"/>
                <w:bCs w:val="0"/>
                <w:szCs w:val="21"/>
              </w:rPr>
              <w:t>一次性支付合同款（付款前成交供应商需开具等额合规的增值税普通发票）。</w:t>
            </w:r>
          </w:p>
        </w:tc>
        <w:tc>
          <w:tcPr>
            <w:tcW w:w="2248" w:type="dxa"/>
            <w:shd w:val="clear" w:color="auto" w:fill="auto"/>
            <w:vAlign w:val="center"/>
          </w:tcPr>
          <w:p w14:paraId="7D819712">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262A67E4">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bl>
    <w:p w14:paraId="5D1D9BE4">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注：⑴表格内容均需按要求填写并盖章，不得留空，否则按无效响应处理。</w:t>
      </w:r>
    </w:p>
    <w:p w14:paraId="3EAA5A0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⑵当响应文件的内容低于附件1“采购需求一览表”中商务条款的要求时，供应商应当如实写明“负偏离”，否则视为虚假响应。</w:t>
      </w:r>
    </w:p>
    <w:p w14:paraId="0A18C281">
      <w:pPr>
        <w:pStyle w:val="2"/>
        <w:rPr>
          <w:rFonts w:hint="eastAsia"/>
          <w:lang w:val="en-US" w:eastAsia="zh-CN"/>
        </w:rPr>
      </w:pPr>
    </w:p>
    <w:p w14:paraId="7F80F59B">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响应人（盖单位公章）：</w:t>
      </w:r>
    </w:p>
    <w:p w14:paraId="76A0E463">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法定代表人或其委托代理人（签字或盖章）：</w:t>
      </w:r>
    </w:p>
    <w:p w14:paraId="075E3CAD">
      <w:pPr>
        <w:rPr>
          <w:rFonts w:hint="eastAsia" w:ascii="仿宋" w:hAnsi="仿宋" w:eastAsia="仿宋" w:cstheme="minorEastAsia"/>
          <w:color w:val="auto"/>
          <w:sz w:val="28"/>
          <w:szCs w:val="28"/>
        </w:rPr>
      </w:pPr>
    </w:p>
    <w:p w14:paraId="5D035F09">
      <w:pPr>
        <w:rPr>
          <w:rFonts w:hint="eastAsia" w:ascii="仿宋" w:hAnsi="仿宋" w:eastAsia="仿宋" w:cstheme="minorEastAsia"/>
          <w:color w:val="auto"/>
          <w:sz w:val="28"/>
          <w:szCs w:val="28"/>
        </w:rPr>
      </w:pPr>
    </w:p>
    <w:p w14:paraId="44AF863F">
      <w:pPr>
        <w:rPr>
          <w:rFonts w:hint="eastAsia" w:ascii="仿宋" w:hAnsi="仿宋" w:eastAsia="仿宋" w:cstheme="minorEastAsia"/>
          <w:color w:val="auto"/>
          <w:sz w:val="28"/>
          <w:szCs w:val="28"/>
        </w:rPr>
      </w:pPr>
    </w:p>
    <w:p w14:paraId="38B59459">
      <w:pPr>
        <w:rPr>
          <w:rFonts w:hint="eastAsia" w:ascii="仿宋" w:hAnsi="仿宋" w:eastAsia="仿宋" w:cstheme="minorEastAsia"/>
          <w:color w:val="auto"/>
          <w:sz w:val="28"/>
          <w:szCs w:val="28"/>
        </w:rPr>
      </w:pPr>
    </w:p>
    <w:p w14:paraId="3B1BACB2">
      <w:pPr>
        <w:rPr>
          <w:rFonts w:hint="eastAsia" w:ascii="仿宋" w:hAnsi="仿宋" w:eastAsia="仿宋" w:cstheme="minorEastAsia"/>
          <w:color w:val="auto"/>
          <w:sz w:val="28"/>
          <w:szCs w:val="28"/>
        </w:rPr>
      </w:pPr>
    </w:p>
    <w:p w14:paraId="6D1B3746">
      <w:pPr>
        <w:rPr>
          <w:rFonts w:hint="eastAsia" w:ascii="仿宋" w:hAnsi="仿宋" w:eastAsia="仿宋" w:cstheme="minorEastAsia"/>
          <w:color w:val="auto"/>
          <w:sz w:val="28"/>
          <w:szCs w:val="28"/>
        </w:rPr>
      </w:pPr>
    </w:p>
    <w:p w14:paraId="128F2141">
      <w:pPr>
        <w:rPr>
          <w:rFonts w:hint="eastAsia" w:ascii="仿宋" w:hAnsi="仿宋" w:eastAsia="仿宋" w:cstheme="minorEastAsia"/>
          <w:color w:val="auto"/>
          <w:sz w:val="28"/>
          <w:szCs w:val="28"/>
        </w:rPr>
      </w:pPr>
    </w:p>
    <w:p w14:paraId="1D151D6B">
      <w:pPr>
        <w:rPr>
          <w:rFonts w:hint="eastAsia" w:ascii="仿宋" w:hAnsi="仿宋" w:eastAsia="仿宋" w:cstheme="minorEastAsia"/>
          <w:color w:val="auto"/>
          <w:sz w:val="28"/>
          <w:szCs w:val="28"/>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 xml:space="preserve">8             </w:t>
      </w:r>
    </w:p>
    <w:p w14:paraId="71B9303F">
      <w:pPr>
        <w:pStyle w:val="9"/>
        <w:spacing w:line="560" w:lineRule="exact"/>
        <w:jc w:val="center"/>
        <w:rPr>
          <w:rFonts w:hint="eastAsia" w:ascii="方正公文小标宋" w:hAnsi="方正公文小标宋" w:eastAsia="方正公文小标宋" w:cs="方正公文小标宋"/>
          <w:b w:val="0"/>
          <w:bCs/>
          <w:color w:val="000000"/>
          <w:sz w:val="44"/>
          <w:szCs w:val="44"/>
        </w:rPr>
      </w:pPr>
      <w:r>
        <w:rPr>
          <w:rFonts w:hint="eastAsia" w:ascii="方正公文小标宋" w:hAnsi="方正公文小标宋" w:eastAsia="方正公文小标宋" w:cs="方正公文小标宋"/>
          <w:b w:val="0"/>
          <w:bCs/>
          <w:color w:val="000000"/>
          <w:sz w:val="44"/>
          <w:szCs w:val="44"/>
        </w:rPr>
        <w:t>廉洁响应承诺书</w:t>
      </w:r>
    </w:p>
    <w:p w14:paraId="40C43871">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南宁中心血站2026年献血退役纪念杯（牌）及生日献血纪念徽章定制</w:t>
      </w:r>
      <w:r>
        <w:rPr>
          <w:rFonts w:hint="eastAsia" w:ascii="仿宋_GB2312" w:eastAsia="仿宋_GB2312"/>
          <w:color w:val="000000"/>
          <w:sz w:val="28"/>
          <w:szCs w:val="28"/>
          <w:u w:val="single"/>
          <w:lang w:val="en-US" w:eastAsia="zh-CN"/>
        </w:rPr>
        <w:t xml:space="preserve"> </w:t>
      </w:r>
      <w:r>
        <w:rPr>
          <w:rFonts w:hint="eastAsia" w:ascii="仿宋_GB2312" w:eastAsia="仿宋_GB2312"/>
          <w:color w:val="000000"/>
          <w:sz w:val="28"/>
          <w:szCs w:val="28"/>
        </w:rPr>
        <w:t>采购项目中，我公司（单位）严格遵循“公开、公正、公平、诚实信用”准则，郑重承诺如下：</w:t>
      </w:r>
    </w:p>
    <w:p w14:paraId="57C70240">
      <w:pPr>
        <w:keepNext w:val="0"/>
        <w:keepLines w:val="0"/>
        <w:pageBreakBefore w:val="0"/>
        <w:widowControl w:val="0"/>
        <w:numPr>
          <w:ilvl w:val="0"/>
          <w:numId w:val="3"/>
        </w:numPr>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66E2580">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458B073B">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1ADC9C8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293CEE53">
      <w:pPr>
        <w:pStyle w:val="9"/>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2382CED7">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0BFAC029">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4C7602BD">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p>
    <w:p w14:paraId="4E99E465">
      <w:pPr>
        <w:keepNext w:val="0"/>
        <w:keepLines w:val="0"/>
        <w:pageBreakBefore w:val="0"/>
        <w:widowControl w:val="0"/>
        <w:kinsoku/>
        <w:wordWrap/>
        <w:overflowPunct/>
        <w:topLinePunct w:val="0"/>
        <w:autoSpaceDE/>
        <w:autoSpaceDN/>
        <w:bidi w:val="0"/>
        <w:adjustRightInd/>
        <w:snapToGrid w:val="0"/>
        <w:spacing w:line="50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388937F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法定代</w:t>
      </w:r>
      <w:r>
        <w:rPr>
          <w:rFonts w:hint="eastAsia" w:ascii="仿宋_GB2312" w:eastAsia="仿宋_GB2312"/>
          <w:color w:val="000000"/>
          <w:sz w:val="28"/>
          <w:szCs w:val="28"/>
          <w:lang w:val="en-US" w:eastAsia="zh-CN"/>
        </w:rPr>
        <w:t>表</w:t>
      </w:r>
      <w:r>
        <w:rPr>
          <w:rFonts w:hint="eastAsia" w:ascii="仿宋_GB2312" w:eastAsia="仿宋_GB2312"/>
          <w:color w:val="000000"/>
          <w:sz w:val="28"/>
          <w:szCs w:val="28"/>
        </w:rPr>
        <w:t>人或被授权人：                     联系电话：</w:t>
      </w:r>
    </w:p>
    <w:p w14:paraId="7D381B79">
      <w:pPr>
        <w:snapToGrid w:val="0"/>
        <w:spacing w:line="560" w:lineRule="exact"/>
        <w:ind w:firstLine="6300" w:firstLineChars="2250"/>
        <w:jc w:val="left"/>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7E8FA178">
      <w:pPr>
        <w:pStyle w:val="15"/>
        <w:ind w:firstLine="0" w:firstLineChars="0"/>
        <w:jc w:val="left"/>
        <w:rPr>
          <w:rFonts w:hint="eastAsia" w:ascii="宋体" w:hAnsi="宋体"/>
          <w:color w:val="auto"/>
          <w:kern w:val="44"/>
          <w:sz w:val="44"/>
          <w:szCs w:val="44"/>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9</w:t>
      </w:r>
    </w:p>
    <w:p w14:paraId="385688ED">
      <w:pPr>
        <w:pStyle w:val="15"/>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65A56E79">
      <w:pPr>
        <w:spacing w:line="360" w:lineRule="auto"/>
        <w:jc w:val="center"/>
        <w:rPr>
          <w:rFonts w:hint="eastAsia" w:ascii="宋体" w:hAnsi="宋体"/>
          <w:b/>
          <w:bCs/>
          <w:color w:val="auto"/>
          <w:sz w:val="52"/>
        </w:rPr>
      </w:pPr>
      <w:r>
        <w:rPr>
          <w:rFonts w:hint="eastAsia" w:ascii="宋体" w:hAnsi="宋体"/>
          <w:b/>
          <w:bCs/>
          <w:color w:val="auto"/>
          <w:sz w:val="52"/>
        </w:rPr>
        <w:t>南 宁 中 心 血 站</w:t>
      </w:r>
    </w:p>
    <w:p w14:paraId="60AE2F4B">
      <w:pPr>
        <w:spacing w:line="360" w:lineRule="auto"/>
        <w:jc w:val="center"/>
        <w:rPr>
          <w:rFonts w:hint="eastAsia" w:ascii="宋体" w:hAnsi="宋体"/>
          <w:b/>
          <w:bCs/>
          <w:color w:val="auto"/>
          <w:sz w:val="52"/>
        </w:rPr>
      </w:pPr>
      <w:r>
        <w:rPr>
          <w:rFonts w:hint="eastAsia" w:ascii="宋体" w:hAnsi="宋体"/>
          <w:b/>
          <w:bCs/>
          <w:color w:val="auto"/>
          <w:sz w:val="52"/>
        </w:rPr>
        <w:t>（货物类）</w:t>
      </w:r>
    </w:p>
    <w:p w14:paraId="1DC383A6">
      <w:pPr>
        <w:pStyle w:val="6"/>
        <w:rPr>
          <w:rFonts w:hint="eastAsia"/>
          <w:color w:val="auto"/>
        </w:rPr>
      </w:pPr>
    </w:p>
    <w:p w14:paraId="6658D501">
      <w:pPr>
        <w:pStyle w:val="6"/>
        <w:rPr>
          <w:rFonts w:hint="eastAsia"/>
          <w:color w:val="auto"/>
        </w:rPr>
      </w:pPr>
    </w:p>
    <w:p w14:paraId="34878DB2">
      <w:pPr>
        <w:pStyle w:val="6"/>
        <w:rPr>
          <w:rFonts w:hint="eastAsia"/>
          <w:color w:val="auto"/>
        </w:rPr>
      </w:pPr>
    </w:p>
    <w:p w14:paraId="3DF37768">
      <w:pPr>
        <w:spacing w:line="360" w:lineRule="auto"/>
        <w:ind w:firstLine="420" w:firstLineChars="200"/>
        <w:rPr>
          <w:rFonts w:hint="eastAsia" w:ascii="宋体" w:hAnsi="宋体"/>
          <w:color w:val="auto"/>
        </w:rPr>
      </w:pPr>
      <w:r>
        <w:rPr>
          <w:rFonts w:hint="eastAsia" w:ascii="宋体" w:hAnsi="宋体"/>
          <w:color w:val="auto"/>
        </w:rPr>
        <w:t xml:space="preserve">                                                 </w:t>
      </w:r>
    </w:p>
    <w:p w14:paraId="6BC195CE">
      <w:pPr>
        <w:spacing w:line="360" w:lineRule="auto"/>
        <w:jc w:val="center"/>
        <w:rPr>
          <w:rFonts w:hint="eastAsia" w:ascii="宋体" w:hAnsi="宋体"/>
          <w:b/>
          <w:bCs/>
          <w:color w:val="auto"/>
          <w:sz w:val="44"/>
        </w:rPr>
      </w:pPr>
      <w:r>
        <w:rPr>
          <w:rFonts w:hint="eastAsia" w:ascii="宋体" w:hAnsi="宋体"/>
          <w:b/>
          <w:bCs/>
          <w:color w:val="auto"/>
          <w:sz w:val="44"/>
          <w:u w:val="single"/>
        </w:rPr>
        <w:t xml:space="preserve">                    </w:t>
      </w:r>
      <w:r>
        <w:rPr>
          <w:rFonts w:hint="eastAsia" w:ascii="宋体" w:hAnsi="宋体"/>
          <w:b/>
          <w:bCs/>
          <w:color w:val="auto"/>
          <w:sz w:val="44"/>
        </w:rPr>
        <w:t>合同</w:t>
      </w:r>
    </w:p>
    <w:p w14:paraId="471687C8">
      <w:pPr>
        <w:spacing w:line="360" w:lineRule="auto"/>
        <w:ind w:firstLine="420" w:firstLineChars="200"/>
        <w:rPr>
          <w:rFonts w:hint="eastAsia" w:ascii="宋体" w:hAnsi="宋体"/>
          <w:color w:val="auto"/>
        </w:rPr>
      </w:pPr>
    </w:p>
    <w:p w14:paraId="66486FBB">
      <w:pPr>
        <w:rPr>
          <w:rFonts w:hint="eastAsia" w:ascii="宋体" w:hAnsi="宋体"/>
          <w:b/>
          <w:color w:val="auto"/>
          <w:sz w:val="36"/>
          <w:szCs w:val="36"/>
        </w:rPr>
      </w:pPr>
    </w:p>
    <w:p w14:paraId="12222104">
      <w:pPr>
        <w:pStyle w:val="6"/>
        <w:rPr>
          <w:rFonts w:hint="eastAsia"/>
          <w:color w:val="auto"/>
        </w:rPr>
      </w:pPr>
    </w:p>
    <w:p w14:paraId="30CCD598">
      <w:pPr>
        <w:ind w:firstLine="1446" w:firstLineChars="400"/>
        <w:jc w:val="both"/>
        <w:rPr>
          <w:rFonts w:hint="default" w:ascii="宋体" w:hAnsi="宋体" w:eastAsia="宋体"/>
          <w:b/>
          <w:color w:val="auto"/>
          <w:sz w:val="36"/>
          <w:szCs w:val="36"/>
          <w:u w:val="single"/>
          <w:lang w:val="en-US" w:eastAsia="zh-CN"/>
        </w:rPr>
      </w:pPr>
      <w:r>
        <w:rPr>
          <w:rFonts w:hint="eastAsia" w:ascii="宋体" w:hAnsi="宋体"/>
          <w:b/>
          <w:color w:val="auto"/>
          <w:sz w:val="36"/>
          <w:szCs w:val="36"/>
        </w:rPr>
        <w:t>项目编号：</w:t>
      </w:r>
      <w:r>
        <w:rPr>
          <w:rFonts w:hint="eastAsia" w:ascii="宋体" w:hAnsi="宋体"/>
          <w:b/>
          <w:color w:val="auto"/>
          <w:sz w:val="36"/>
          <w:szCs w:val="36"/>
          <w:u w:val="single"/>
          <w:lang w:val="en-US" w:eastAsia="zh-CN"/>
        </w:rPr>
        <w:t xml:space="preserve">               </w:t>
      </w:r>
    </w:p>
    <w:p w14:paraId="16A99FAD">
      <w:pPr>
        <w:rPr>
          <w:rFonts w:hint="eastAsia" w:ascii="宋体" w:hAnsi="宋体"/>
          <w:color w:val="auto"/>
          <w:sz w:val="44"/>
        </w:rPr>
      </w:pPr>
      <w:r>
        <w:rPr>
          <w:rFonts w:hint="eastAsia" w:ascii="宋体" w:hAnsi="宋体"/>
          <w:b/>
          <w:color w:val="auto"/>
          <w:sz w:val="36"/>
          <w:szCs w:val="36"/>
        </w:rPr>
        <w:t xml:space="preserve">      </w:t>
      </w:r>
    </w:p>
    <w:p w14:paraId="54922F96">
      <w:pPr>
        <w:pStyle w:val="6"/>
        <w:rPr>
          <w:rFonts w:hint="eastAsia" w:ascii="宋体" w:hAnsi="宋体"/>
          <w:color w:val="auto"/>
          <w:sz w:val="44"/>
        </w:rPr>
      </w:pPr>
    </w:p>
    <w:p w14:paraId="72CF8B7C">
      <w:pPr>
        <w:spacing w:line="360" w:lineRule="auto"/>
        <w:ind w:firstLine="880" w:firstLineChars="200"/>
        <w:rPr>
          <w:rFonts w:hint="eastAsia" w:ascii="宋体" w:hAnsi="宋体"/>
          <w:color w:val="auto"/>
          <w:sz w:val="44"/>
        </w:rPr>
      </w:pPr>
    </w:p>
    <w:p w14:paraId="649C7A36">
      <w:pPr>
        <w:tabs>
          <w:tab w:val="left" w:pos="7200"/>
        </w:tabs>
        <w:spacing w:line="360" w:lineRule="auto"/>
        <w:ind w:firstLine="723" w:firstLineChars="200"/>
        <w:rPr>
          <w:rFonts w:hint="eastAsia" w:ascii="宋体" w:hAnsi="宋体"/>
          <w:b/>
          <w:color w:val="auto"/>
          <w:sz w:val="36"/>
          <w:szCs w:val="36"/>
          <w:u w:val="single"/>
        </w:rPr>
      </w:pPr>
      <w:r>
        <w:rPr>
          <w:rFonts w:hint="eastAsia" w:ascii="宋体" w:hAnsi="宋体"/>
          <w:b/>
          <w:color w:val="auto"/>
          <w:sz w:val="36"/>
          <w:szCs w:val="36"/>
        </w:rPr>
        <w:t>采  购  人：</w:t>
      </w:r>
      <w:r>
        <w:rPr>
          <w:rFonts w:hint="eastAsia" w:ascii="宋体" w:hAnsi="宋体"/>
          <w:b/>
          <w:color w:val="auto"/>
          <w:sz w:val="36"/>
          <w:szCs w:val="36"/>
          <w:u w:val="single"/>
        </w:rPr>
        <w:t xml:space="preserve">南宁中心血站            </w:t>
      </w:r>
    </w:p>
    <w:p w14:paraId="50AF10AC">
      <w:pPr>
        <w:tabs>
          <w:tab w:val="left" w:pos="7380"/>
        </w:tabs>
        <w:spacing w:line="360" w:lineRule="auto"/>
        <w:ind w:firstLine="723" w:firstLineChars="200"/>
        <w:rPr>
          <w:rFonts w:hint="eastAsia" w:ascii="宋体" w:hAnsi="宋体"/>
          <w:b/>
          <w:bCs/>
          <w:color w:val="auto"/>
          <w:sz w:val="44"/>
        </w:rPr>
      </w:pPr>
      <w:r>
        <w:rPr>
          <w:rFonts w:hint="eastAsia" w:ascii="宋体" w:hAnsi="宋体"/>
          <w:b/>
          <w:color w:val="auto"/>
          <w:sz w:val="36"/>
          <w:szCs w:val="36"/>
        </w:rPr>
        <w:t>成交供应商：</w:t>
      </w:r>
      <w:r>
        <w:rPr>
          <w:rFonts w:hint="eastAsia" w:ascii="宋体" w:hAnsi="宋体"/>
          <w:b/>
          <w:color w:val="auto"/>
          <w:sz w:val="36"/>
          <w:szCs w:val="36"/>
          <w:u w:val="single"/>
        </w:rPr>
        <w:t xml:space="preserve">                       </w:t>
      </w:r>
      <w:r>
        <w:rPr>
          <w:rFonts w:hint="eastAsia" w:ascii="宋体" w:hAnsi="宋体"/>
          <w:b/>
          <w:bCs/>
          <w:color w:val="auto"/>
          <w:sz w:val="44"/>
        </w:rPr>
        <w:t xml:space="preserve"> </w:t>
      </w:r>
    </w:p>
    <w:p w14:paraId="6CEF31DC">
      <w:pPr>
        <w:jc w:val="center"/>
        <w:rPr>
          <w:rFonts w:hint="eastAsia" w:ascii="宋体" w:hAnsi="宋体"/>
          <w:b/>
          <w:color w:val="auto"/>
          <w:sz w:val="36"/>
          <w:szCs w:val="36"/>
        </w:rPr>
      </w:pPr>
      <w:r>
        <w:rPr>
          <w:rFonts w:hint="eastAsia" w:ascii="宋体" w:hAnsi="宋体"/>
          <w:b/>
          <w:color w:val="auto"/>
          <w:sz w:val="36"/>
          <w:szCs w:val="36"/>
        </w:rPr>
        <w:t>目  录</w:t>
      </w:r>
    </w:p>
    <w:p w14:paraId="3BDA9D59">
      <w:pPr>
        <w:tabs>
          <w:tab w:val="left" w:pos="1170"/>
        </w:tabs>
        <w:spacing w:line="360" w:lineRule="auto"/>
        <w:ind w:left="359" w:leftChars="171" w:firstLine="198" w:firstLineChars="71"/>
        <w:rPr>
          <w:rFonts w:hint="eastAsia" w:ascii="宋体" w:hAnsi="宋体"/>
          <w:color w:val="auto"/>
          <w:sz w:val="28"/>
        </w:rPr>
      </w:pPr>
      <w:r>
        <w:rPr>
          <w:rFonts w:ascii="宋体" w:hAnsi="宋体"/>
          <w:color w:val="auto"/>
          <w:sz w:val="28"/>
        </w:rPr>
        <w:tab/>
      </w:r>
    </w:p>
    <w:p w14:paraId="0322E273">
      <w:pPr>
        <w:rPr>
          <w:rFonts w:hint="eastAsia" w:ascii="宋体" w:hAnsi="宋体"/>
          <w:b/>
          <w:color w:val="auto"/>
          <w:sz w:val="30"/>
          <w:szCs w:val="30"/>
        </w:rPr>
      </w:pPr>
      <w:r>
        <w:rPr>
          <w:rFonts w:hint="eastAsia" w:ascii="宋体" w:hAnsi="宋体"/>
          <w:b/>
          <w:color w:val="auto"/>
          <w:sz w:val="30"/>
          <w:szCs w:val="30"/>
        </w:rPr>
        <w:t>一、南宁中心血站采购合同书</w:t>
      </w:r>
    </w:p>
    <w:p w14:paraId="78B33420">
      <w:pPr>
        <w:rPr>
          <w:rFonts w:hint="eastAsia" w:ascii="宋体" w:hAnsi="宋体"/>
          <w:b/>
          <w:color w:val="auto"/>
          <w:sz w:val="30"/>
          <w:szCs w:val="30"/>
        </w:rPr>
      </w:pPr>
      <w:r>
        <w:rPr>
          <w:rFonts w:hint="eastAsia" w:ascii="宋体" w:hAnsi="宋体"/>
          <w:b/>
          <w:color w:val="auto"/>
          <w:sz w:val="30"/>
          <w:szCs w:val="30"/>
        </w:rPr>
        <w:t>二、合同附件</w:t>
      </w:r>
    </w:p>
    <w:p w14:paraId="4705B8BD">
      <w:pPr>
        <w:numPr>
          <w:ilvl w:val="0"/>
          <w:numId w:val="4"/>
        </w:numPr>
        <w:rPr>
          <w:rFonts w:hint="eastAsia" w:ascii="宋体" w:hAnsi="宋体"/>
          <w:color w:val="auto"/>
          <w:sz w:val="28"/>
        </w:rPr>
      </w:pPr>
      <w:r>
        <w:rPr>
          <w:rFonts w:hint="eastAsia" w:ascii="宋体" w:hAnsi="宋体"/>
          <w:color w:val="auto"/>
          <w:sz w:val="28"/>
        </w:rPr>
        <w:t>采购结果公告</w:t>
      </w:r>
    </w:p>
    <w:p w14:paraId="53018E3B">
      <w:pPr>
        <w:numPr>
          <w:ilvl w:val="0"/>
          <w:numId w:val="4"/>
        </w:numPr>
        <w:rPr>
          <w:rFonts w:hint="eastAsia" w:ascii="宋体" w:hAnsi="宋体"/>
          <w:color w:val="auto"/>
          <w:sz w:val="28"/>
        </w:rPr>
      </w:pPr>
      <w:r>
        <w:rPr>
          <w:rFonts w:hint="eastAsia" w:ascii="宋体" w:hAnsi="宋体"/>
          <w:color w:val="auto"/>
          <w:sz w:val="28"/>
        </w:rPr>
        <w:t>采购需求一览表</w:t>
      </w:r>
    </w:p>
    <w:p w14:paraId="1BAF156E">
      <w:pPr>
        <w:numPr>
          <w:ilvl w:val="0"/>
          <w:numId w:val="4"/>
        </w:numPr>
        <w:rPr>
          <w:rFonts w:hint="eastAsia" w:ascii="宋体" w:hAnsi="宋体"/>
          <w:color w:val="auto"/>
          <w:sz w:val="28"/>
        </w:rPr>
      </w:pPr>
      <w:r>
        <w:rPr>
          <w:rFonts w:hint="eastAsia" w:ascii="宋体" w:hAnsi="宋体"/>
          <w:color w:val="auto"/>
          <w:sz w:val="28"/>
        </w:rPr>
        <w:t>投标报价表</w:t>
      </w:r>
    </w:p>
    <w:p w14:paraId="7A93DFB3">
      <w:pPr>
        <w:numPr>
          <w:ilvl w:val="0"/>
          <w:numId w:val="4"/>
        </w:numPr>
        <w:rPr>
          <w:rFonts w:hint="eastAsia" w:ascii="宋体" w:hAnsi="宋体"/>
          <w:color w:val="auto"/>
          <w:sz w:val="28"/>
        </w:rPr>
      </w:pPr>
      <w:r>
        <w:rPr>
          <w:rFonts w:hint="eastAsia" w:ascii="宋体" w:hAnsi="宋体"/>
          <w:color w:val="auto"/>
          <w:sz w:val="28"/>
          <w:lang w:eastAsia="zh-CN"/>
        </w:rPr>
        <w:t>最终</w:t>
      </w:r>
      <w:r>
        <w:rPr>
          <w:rFonts w:hint="eastAsia" w:ascii="宋体" w:hAnsi="宋体"/>
          <w:color w:val="auto"/>
          <w:sz w:val="28"/>
        </w:rPr>
        <w:t>报价表（如有）</w:t>
      </w:r>
    </w:p>
    <w:p w14:paraId="745DA8FF">
      <w:pPr>
        <w:numPr>
          <w:ilvl w:val="0"/>
          <w:numId w:val="4"/>
        </w:numPr>
        <w:rPr>
          <w:rFonts w:hint="eastAsia" w:ascii="宋体" w:hAnsi="宋体"/>
          <w:color w:val="auto"/>
          <w:sz w:val="28"/>
          <w:u w:val="thick"/>
        </w:rPr>
      </w:pPr>
      <w:r>
        <w:rPr>
          <w:rFonts w:hint="eastAsia" w:ascii="宋体" w:hAnsi="宋体"/>
          <w:color w:val="auto"/>
          <w:sz w:val="28"/>
        </w:rPr>
        <w:t>响应技术资料表（如有）</w:t>
      </w:r>
    </w:p>
    <w:p w14:paraId="15DE4485">
      <w:pPr>
        <w:numPr>
          <w:ilvl w:val="0"/>
          <w:numId w:val="4"/>
        </w:numPr>
        <w:rPr>
          <w:rFonts w:hint="eastAsia" w:ascii="宋体" w:hAnsi="宋体"/>
          <w:color w:val="auto"/>
          <w:sz w:val="28"/>
        </w:rPr>
      </w:pPr>
      <w:r>
        <w:rPr>
          <w:rFonts w:hint="eastAsia" w:ascii="宋体" w:hAnsi="宋体"/>
          <w:color w:val="auto"/>
          <w:sz w:val="28"/>
        </w:rPr>
        <w:t>商务条款偏离表（如有）</w:t>
      </w:r>
    </w:p>
    <w:p w14:paraId="1ACC6205">
      <w:pPr>
        <w:numPr>
          <w:ilvl w:val="0"/>
          <w:numId w:val="4"/>
        </w:numPr>
        <w:rPr>
          <w:rFonts w:hint="eastAsia" w:ascii="宋体" w:hAnsi="宋体"/>
          <w:color w:val="auto"/>
          <w:sz w:val="28"/>
        </w:rPr>
      </w:pPr>
      <w:r>
        <w:rPr>
          <w:rFonts w:hint="eastAsia" w:ascii="宋体" w:hAnsi="宋体"/>
          <w:color w:val="auto"/>
          <w:sz w:val="28"/>
        </w:rPr>
        <w:t>其他与本合同相关的资料（如有）</w:t>
      </w:r>
    </w:p>
    <w:p w14:paraId="056050D1">
      <w:pPr>
        <w:spacing w:line="360" w:lineRule="auto"/>
        <w:jc w:val="center"/>
        <w:rPr>
          <w:rFonts w:hint="eastAsia" w:ascii="宋体" w:hAnsi="宋体"/>
          <w:b/>
          <w:color w:val="auto"/>
          <w:sz w:val="30"/>
          <w:szCs w:val="30"/>
        </w:rPr>
      </w:pPr>
    </w:p>
    <w:p w14:paraId="24084030">
      <w:pPr>
        <w:spacing w:line="360" w:lineRule="auto"/>
        <w:jc w:val="center"/>
        <w:rPr>
          <w:rFonts w:hint="eastAsia" w:ascii="宋体" w:hAnsi="宋体"/>
          <w:b/>
          <w:color w:val="auto"/>
          <w:sz w:val="30"/>
          <w:szCs w:val="30"/>
        </w:rPr>
      </w:pPr>
    </w:p>
    <w:p w14:paraId="3A76F99C">
      <w:pPr>
        <w:spacing w:line="360" w:lineRule="auto"/>
        <w:jc w:val="center"/>
        <w:rPr>
          <w:rFonts w:hint="eastAsia" w:ascii="宋体" w:hAnsi="宋体"/>
          <w:b/>
          <w:color w:val="auto"/>
          <w:sz w:val="30"/>
          <w:szCs w:val="30"/>
        </w:rPr>
      </w:pPr>
    </w:p>
    <w:p w14:paraId="758E122D">
      <w:pPr>
        <w:spacing w:line="360" w:lineRule="auto"/>
        <w:jc w:val="center"/>
        <w:rPr>
          <w:rFonts w:hint="eastAsia" w:ascii="宋体" w:hAnsi="宋体"/>
          <w:b/>
          <w:color w:val="auto"/>
          <w:sz w:val="30"/>
          <w:szCs w:val="30"/>
        </w:rPr>
      </w:pPr>
    </w:p>
    <w:p w14:paraId="61727229">
      <w:pPr>
        <w:spacing w:line="360" w:lineRule="auto"/>
        <w:jc w:val="center"/>
        <w:rPr>
          <w:rFonts w:hint="eastAsia" w:ascii="宋体" w:hAnsi="宋体"/>
          <w:b/>
          <w:color w:val="auto"/>
          <w:sz w:val="30"/>
          <w:szCs w:val="30"/>
        </w:rPr>
      </w:pPr>
    </w:p>
    <w:p w14:paraId="4A033BE8">
      <w:pPr>
        <w:spacing w:line="360" w:lineRule="auto"/>
        <w:jc w:val="center"/>
        <w:rPr>
          <w:rFonts w:hint="eastAsia" w:ascii="宋体" w:hAnsi="宋体"/>
          <w:b/>
          <w:color w:val="auto"/>
          <w:sz w:val="30"/>
          <w:szCs w:val="30"/>
        </w:rPr>
      </w:pPr>
    </w:p>
    <w:p w14:paraId="73C48550">
      <w:pPr>
        <w:spacing w:line="360" w:lineRule="auto"/>
        <w:jc w:val="center"/>
        <w:rPr>
          <w:rFonts w:hint="eastAsia" w:ascii="宋体" w:hAnsi="宋体"/>
          <w:b/>
          <w:color w:val="auto"/>
          <w:sz w:val="30"/>
          <w:szCs w:val="30"/>
        </w:rPr>
      </w:pPr>
    </w:p>
    <w:p w14:paraId="54DACEBD">
      <w:pPr>
        <w:spacing w:line="360" w:lineRule="auto"/>
        <w:jc w:val="center"/>
        <w:rPr>
          <w:rFonts w:hint="eastAsia" w:ascii="宋体" w:hAnsi="宋体"/>
          <w:b/>
          <w:color w:val="auto"/>
          <w:sz w:val="30"/>
          <w:szCs w:val="30"/>
        </w:rPr>
      </w:pPr>
    </w:p>
    <w:p w14:paraId="2443CCE6">
      <w:pPr>
        <w:spacing w:line="360" w:lineRule="auto"/>
        <w:jc w:val="center"/>
        <w:rPr>
          <w:rFonts w:hint="eastAsia" w:ascii="宋体" w:hAnsi="宋体"/>
          <w:b/>
          <w:color w:val="auto"/>
          <w:sz w:val="30"/>
          <w:szCs w:val="30"/>
        </w:rPr>
      </w:pPr>
    </w:p>
    <w:p w14:paraId="1DC52A62">
      <w:pPr>
        <w:spacing w:line="360" w:lineRule="auto"/>
        <w:jc w:val="center"/>
        <w:rPr>
          <w:rFonts w:ascii="宋体" w:hAnsi="宋体"/>
          <w:b/>
          <w:bCs/>
          <w:color w:val="auto"/>
          <w:sz w:val="30"/>
          <w:szCs w:val="30"/>
        </w:rPr>
      </w:pPr>
      <w:r>
        <w:rPr>
          <w:rFonts w:hint="eastAsia" w:ascii="宋体" w:hAnsi="宋体"/>
          <w:b/>
          <w:color w:val="auto"/>
          <w:sz w:val="30"/>
          <w:szCs w:val="30"/>
        </w:rPr>
        <w:t>南宁中心血站采购合同书</w:t>
      </w:r>
    </w:p>
    <w:p w14:paraId="00F7BF69">
      <w:pPr>
        <w:pStyle w:val="9"/>
        <w:jc w:val="center"/>
        <w:rPr>
          <w:rFonts w:hAnsi="宋体"/>
          <w:b/>
          <w:color w:val="auto"/>
          <w:sz w:val="32"/>
        </w:rPr>
      </w:pPr>
    </w:p>
    <w:p w14:paraId="5785B8E7">
      <w:pPr>
        <w:pStyle w:val="9"/>
        <w:spacing w:line="360" w:lineRule="auto"/>
        <w:rPr>
          <w:rFonts w:hAnsi="宋体"/>
          <w:color w:val="auto"/>
          <w:u w:val="single"/>
        </w:rPr>
      </w:pPr>
      <w:r>
        <w:rPr>
          <w:rFonts w:hint="eastAsia" w:hAnsi="宋体"/>
          <w:color w:val="auto"/>
        </w:rPr>
        <w:t xml:space="preserve">项目名称： </w:t>
      </w:r>
      <w:r>
        <w:rPr>
          <w:rFonts w:hint="eastAsia" w:hAnsi="宋体"/>
          <w:color w:val="auto"/>
          <w:u w:val="single"/>
        </w:rPr>
        <w:t xml:space="preserve">      </w:t>
      </w:r>
      <w:r>
        <w:rPr>
          <w:rFonts w:hint="eastAsia" w:hAnsi="宋体"/>
          <w:color w:val="auto"/>
          <w:u w:val="single"/>
          <w:lang w:val="en-US" w:eastAsia="zh-CN"/>
        </w:rPr>
        <w:t xml:space="preserve">       </w:t>
      </w:r>
      <w:r>
        <w:rPr>
          <w:rFonts w:hint="eastAsia" w:hAnsi="宋体"/>
          <w:color w:val="auto"/>
          <w:u w:val="single"/>
        </w:rPr>
        <w:t xml:space="preserve">  </w:t>
      </w:r>
    </w:p>
    <w:p w14:paraId="2BBF6D0F">
      <w:pPr>
        <w:pStyle w:val="9"/>
        <w:spacing w:line="360" w:lineRule="auto"/>
        <w:rPr>
          <w:rFonts w:hint="eastAsia" w:hAnsi="宋体"/>
          <w:color w:val="auto"/>
          <w:u w:val="single"/>
        </w:rPr>
      </w:pPr>
      <w:r>
        <w:rPr>
          <w:rFonts w:hint="eastAsia" w:hAnsi="宋体"/>
          <w:color w:val="auto"/>
        </w:rPr>
        <w:t>项目编号：</w:t>
      </w:r>
      <w:r>
        <w:rPr>
          <w:rFonts w:hint="eastAsia" w:hAnsi="宋体"/>
          <w:color w:val="auto"/>
          <w:u w:val="single"/>
          <w:lang w:val="en-US" w:eastAsia="zh-CN"/>
        </w:rPr>
        <w:t xml:space="preserve">               </w:t>
      </w:r>
    </w:p>
    <w:p w14:paraId="420BD6C2">
      <w:pPr>
        <w:pStyle w:val="9"/>
        <w:spacing w:line="360" w:lineRule="auto"/>
        <w:rPr>
          <w:rFonts w:hint="eastAsia" w:hAnsi="宋体"/>
          <w:color w:val="auto"/>
        </w:rPr>
      </w:pPr>
      <w:r>
        <w:rPr>
          <w:rFonts w:hint="eastAsia" w:hAnsi="宋体"/>
          <w:color w:val="auto"/>
        </w:rPr>
        <w:t>分标号（有分标时填写）：</w:t>
      </w:r>
      <w:r>
        <w:rPr>
          <w:rFonts w:hint="eastAsia" w:hAnsi="宋体"/>
          <w:color w:val="auto"/>
          <w:u w:val="single"/>
        </w:rPr>
        <w:t>/</w:t>
      </w:r>
    </w:p>
    <w:p w14:paraId="45E15404">
      <w:pPr>
        <w:pStyle w:val="9"/>
        <w:spacing w:line="360" w:lineRule="auto"/>
        <w:rPr>
          <w:rFonts w:hint="eastAsia" w:hAnsi="宋体"/>
          <w:color w:val="auto"/>
        </w:rPr>
      </w:pPr>
    </w:p>
    <w:p w14:paraId="241AF819">
      <w:pPr>
        <w:pStyle w:val="9"/>
        <w:spacing w:line="360" w:lineRule="auto"/>
        <w:rPr>
          <w:rFonts w:hint="eastAsia" w:hAnsi="宋体"/>
          <w:color w:val="auto"/>
        </w:rPr>
      </w:pPr>
      <w:r>
        <w:rPr>
          <w:rFonts w:hint="eastAsia" w:hAnsi="宋体"/>
          <w:color w:val="auto"/>
        </w:rPr>
        <w:t>甲方（买方）：</w:t>
      </w:r>
      <w:r>
        <w:rPr>
          <w:rFonts w:hint="eastAsia" w:hAnsi="宋体"/>
          <w:color w:val="auto"/>
          <w:u w:val="single"/>
        </w:rPr>
        <w:t>南宁中心血站</w:t>
      </w:r>
    </w:p>
    <w:p w14:paraId="1415ABA3">
      <w:pPr>
        <w:pStyle w:val="9"/>
        <w:spacing w:line="360" w:lineRule="auto"/>
        <w:rPr>
          <w:rFonts w:hint="default" w:hAnsi="宋体" w:eastAsia="宋体"/>
          <w:color w:val="auto"/>
          <w:lang w:val="en-US" w:eastAsia="zh-CN"/>
        </w:rPr>
      </w:pPr>
      <w:r>
        <w:rPr>
          <w:rFonts w:hint="eastAsia" w:hAnsi="宋体"/>
          <w:color w:val="auto"/>
        </w:rPr>
        <w:t>乙方（卖方）：</w:t>
      </w:r>
      <w:r>
        <w:rPr>
          <w:rFonts w:hint="eastAsia" w:hAnsi="宋体"/>
          <w:color w:val="auto"/>
          <w:u w:val="single"/>
        </w:rPr>
        <w:t xml:space="preserve"> </w:t>
      </w:r>
      <w:r>
        <w:rPr>
          <w:rFonts w:hint="eastAsia" w:hAnsi="宋体"/>
          <w:color w:val="auto"/>
          <w:u w:val="single"/>
          <w:lang w:val="en-US" w:eastAsia="zh-CN"/>
        </w:rPr>
        <w:t xml:space="preserve">               </w:t>
      </w:r>
    </w:p>
    <w:p w14:paraId="142AF595">
      <w:pPr>
        <w:pStyle w:val="9"/>
        <w:spacing w:line="360" w:lineRule="auto"/>
        <w:rPr>
          <w:rFonts w:hint="eastAsia" w:hAnsi="宋体"/>
          <w:b/>
          <w:color w:val="auto"/>
        </w:rPr>
      </w:pPr>
      <w:r>
        <w:rPr>
          <w:rFonts w:hint="eastAsia" w:hAnsi="宋体"/>
          <w:b/>
          <w:color w:val="auto"/>
        </w:rPr>
        <w:t xml:space="preserve">    </w:t>
      </w:r>
    </w:p>
    <w:p w14:paraId="1C76F77C">
      <w:pPr>
        <w:pStyle w:val="9"/>
        <w:spacing w:line="360" w:lineRule="auto"/>
        <w:rPr>
          <w:rFonts w:hint="eastAsia" w:hAnsi="宋体"/>
          <w:b/>
          <w:color w:val="auto"/>
        </w:rPr>
      </w:pPr>
      <w:r>
        <w:rPr>
          <w:rFonts w:hint="eastAsia" w:hAnsi="宋体"/>
          <w:color w:val="auto"/>
        </w:rPr>
        <w:t xml:space="preserve">    根据</w:t>
      </w:r>
      <w:r>
        <w:rPr>
          <w:rFonts w:hint="eastAsia" w:hAnsi="宋体"/>
          <w:color w:val="auto"/>
          <w:u w:val="single"/>
        </w:rPr>
        <w:t xml:space="preserve">    </w:t>
      </w:r>
      <w:r>
        <w:rPr>
          <w:rFonts w:hint="eastAsia" w:hAnsi="宋体"/>
          <w:color w:val="auto"/>
        </w:rPr>
        <w:t>年</w:t>
      </w:r>
      <w:r>
        <w:rPr>
          <w:rFonts w:hint="eastAsia" w:hAnsi="宋体"/>
          <w:color w:val="auto"/>
          <w:u w:val="single"/>
        </w:rPr>
        <w:t xml:space="preserve">   </w:t>
      </w:r>
      <w:r>
        <w:rPr>
          <w:rFonts w:hint="eastAsia" w:hAnsi="宋体"/>
          <w:color w:val="auto"/>
        </w:rPr>
        <w:t>月</w:t>
      </w:r>
      <w:r>
        <w:rPr>
          <w:rFonts w:hint="eastAsia" w:hAnsi="宋体"/>
          <w:color w:val="auto"/>
          <w:u w:val="single"/>
        </w:rPr>
        <w:t xml:space="preserve">   </w:t>
      </w:r>
      <w:r>
        <w:rPr>
          <w:rFonts w:hint="eastAsia" w:hAnsi="宋体"/>
          <w:color w:val="auto"/>
        </w:rPr>
        <w:t>日南宁中心血站</w:t>
      </w:r>
      <w:r>
        <w:rPr>
          <w:rFonts w:hint="eastAsia" w:hAnsi="宋体"/>
          <w:color w:val="auto"/>
          <w:u w:val="single"/>
        </w:rPr>
        <w:t xml:space="preserve">               </w:t>
      </w:r>
      <w:r>
        <w:rPr>
          <w:rFonts w:hint="eastAsia" w:hAnsi="宋体"/>
          <w:color w:val="auto"/>
        </w:rPr>
        <w:t>项目的采购结果，甲方接受乙方对本项目的响应，甲、乙双方同意签署本合同（以下简称合同）。</w:t>
      </w:r>
    </w:p>
    <w:p w14:paraId="0C7C11D8">
      <w:pPr>
        <w:pStyle w:val="9"/>
        <w:spacing w:line="360" w:lineRule="auto"/>
        <w:rPr>
          <w:rFonts w:hint="eastAsia" w:hAnsi="宋体"/>
          <w:b/>
          <w:color w:val="auto"/>
        </w:rPr>
      </w:pPr>
    </w:p>
    <w:p w14:paraId="09029BF8">
      <w:pPr>
        <w:pStyle w:val="9"/>
        <w:spacing w:line="360" w:lineRule="auto"/>
        <w:rPr>
          <w:rFonts w:hint="eastAsia" w:hAnsi="宋体"/>
          <w:b/>
          <w:bCs/>
          <w:color w:val="auto"/>
          <w:sz w:val="24"/>
          <w:szCs w:val="24"/>
        </w:rPr>
      </w:pPr>
      <w:r>
        <w:rPr>
          <w:rFonts w:hint="eastAsia" w:hAnsi="宋体"/>
          <w:b/>
          <w:bCs/>
          <w:color w:val="auto"/>
          <w:sz w:val="24"/>
          <w:szCs w:val="24"/>
        </w:rPr>
        <w:t>1.  采购内容</w:t>
      </w:r>
    </w:p>
    <w:p w14:paraId="1E27140F">
      <w:pPr>
        <w:pStyle w:val="9"/>
        <w:tabs>
          <w:tab w:val="left" w:pos="5220"/>
        </w:tabs>
        <w:spacing w:line="360" w:lineRule="auto"/>
        <w:ind w:firstLine="360"/>
        <w:rPr>
          <w:rFonts w:hint="default" w:hAnsi="宋体" w:eastAsia="宋体"/>
          <w:color w:val="auto"/>
          <w:lang w:val="en-US" w:eastAsia="zh-CN"/>
        </w:rPr>
      </w:pPr>
      <w:r>
        <w:rPr>
          <w:rFonts w:hint="eastAsia" w:hAnsi="宋体"/>
          <w:color w:val="auto"/>
        </w:rPr>
        <w:t>1.1 货物名称：</w:t>
      </w:r>
      <w:r>
        <w:rPr>
          <w:rFonts w:hint="eastAsia" w:hAnsi="宋体"/>
          <w:color w:val="auto"/>
          <w:u w:val="single"/>
          <w:lang w:val="en-US" w:eastAsia="zh-CN"/>
        </w:rPr>
        <w:t xml:space="preserve">                          </w:t>
      </w:r>
    </w:p>
    <w:p w14:paraId="05ED2B03">
      <w:pPr>
        <w:pStyle w:val="9"/>
        <w:spacing w:line="360" w:lineRule="auto"/>
        <w:ind w:firstLine="360"/>
        <w:rPr>
          <w:rFonts w:hint="default" w:hAnsi="宋体" w:eastAsia="宋体"/>
          <w:color w:val="auto"/>
          <w:u w:val="single"/>
          <w:lang w:val="en-US" w:eastAsia="zh-CN"/>
        </w:rPr>
      </w:pPr>
      <w:r>
        <w:rPr>
          <w:rFonts w:hint="eastAsia" w:hAnsi="宋体"/>
          <w:color w:val="auto"/>
        </w:rPr>
        <w:t>1.2 数量（单位）：</w:t>
      </w:r>
      <w:r>
        <w:rPr>
          <w:rFonts w:hint="eastAsia" w:hAnsi="宋体"/>
          <w:color w:val="auto"/>
          <w:u w:val="single"/>
          <w:lang w:val="en-US" w:eastAsia="zh-CN"/>
        </w:rPr>
        <w:t xml:space="preserve">                             </w:t>
      </w:r>
    </w:p>
    <w:p w14:paraId="597C71F8">
      <w:pPr>
        <w:pStyle w:val="9"/>
        <w:spacing w:line="360" w:lineRule="auto"/>
        <w:ind w:firstLine="360"/>
        <w:rPr>
          <w:rFonts w:hint="default" w:hAnsi="宋体" w:eastAsia="宋体"/>
          <w:color w:val="auto"/>
          <w:u w:val="single"/>
          <w:lang w:val="en-US" w:eastAsia="zh-CN"/>
        </w:rPr>
      </w:pPr>
      <w:r>
        <w:rPr>
          <w:rFonts w:hint="eastAsia" w:hAnsi="宋体"/>
          <w:color w:val="auto"/>
        </w:rPr>
        <w:t>1.3 品牌、厂家、型号、规格、配置：</w:t>
      </w:r>
      <w:r>
        <w:rPr>
          <w:rFonts w:hint="eastAsia" w:hAnsi="宋体"/>
          <w:color w:val="auto"/>
          <w:u w:val="single"/>
        </w:rPr>
        <w:t xml:space="preserve"> </w:t>
      </w:r>
      <w:r>
        <w:rPr>
          <w:rFonts w:hint="eastAsia" w:hAnsi="宋体"/>
          <w:color w:val="auto"/>
          <w:u w:val="single"/>
          <w:lang w:val="en-US" w:eastAsia="zh-CN"/>
        </w:rPr>
        <w:t xml:space="preserve">                             </w:t>
      </w:r>
    </w:p>
    <w:p w14:paraId="16456A9F">
      <w:pPr>
        <w:pStyle w:val="9"/>
        <w:spacing w:line="360" w:lineRule="auto"/>
        <w:ind w:firstLine="360"/>
        <w:rPr>
          <w:rFonts w:hint="default" w:hAnsi="宋体" w:eastAsia="宋体"/>
          <w:color w:val="auto"/>
          <w:u w:val="single"/>
          <w:lang w:val="en-US" w:eastAsia="zh-CN"/>
        </w:rPr>
      </w:pPr>
      <w:r>
        <w:rPr>
          <w:rFonts w:hint="eastAsia" w:hAnsi="宋体"/>
          <w:color w:val="auto"/>
        </w:rPr>
        <w:t>1.4 技术参数：</w:t>
      </w:r>
      <w:r>
        <w:rPr>
          <w:rFonts w:hint="eastAsia" w:hAnsi="宋体"/>
          <w:color w:val="auto"/>
          <w:u w:val="single"/>
          <w:lang w:val="en-US" w:eastAsia="zh-CN"/>
        </w:rPr>
        <w:t xml:space="preserve">                               </w:t>
      </w:r>
    </w:p>
    <w:p w14:paraId="07753F20">
      <w:pPr>
        <w:pStyle w:val="9"/>
        <w:spacing w:line="360" w:lineRule="auto"/>
        <w:rPr>
          <w:rFonts w:hint="eastAsia" w:hAnsi="宋体"/>
          <w:b/>
          <w:bCs/>
          <w:color w:val="auto"/>
          <w:sz w:val="24"/>
          <w:szCs w:val="24"/>
        </w:rPr>
      </w:pPr>
      <w:r>
        <w:rPr>
          <w:rFonts w:hint="eastAsia" w:hAnsi="宋体"/>
          <w:b/>
          <w:bCs/>
          <w:color w:val="auto"/>
          <w:sz w:val="24"/>
          <w:szCs w:val="24"/>
        </w:rPr>
        <w:t>2.  合同金额</w:t>
      </w:r>
    </w:p>
    <w:p w14:paraId="7F391D52">
      <w:pPr>
        <w:pStyle w:val="9"/>
        <w:spacing w:line="360" w:lineRule="auto"/>
        <w:ind w:left="2" w:firstLine="359" w:firstLineChars="171"/>
        <w:rPr>
          <w:rFonts w:hint="eastAsia" w:hAnsi="宋体"/>
          <w:color w:val="auto"/>
        </w:rPr>
      </w:pPr>
      <w:r>
        <w:rPr>
          <w:rFonts w:hint="eastAsia" w:hAnsi="宋体"/>
          <w:color w:val="auto"/>
        </w:rPr>
        <w:t>2.1 本合同金额为人民币（大写）：</w:t>
      </w:r>
      <w:r>
        <w:rPr>
          <w:rFonts w:hint="eastAsia" w:hAnsi="宋体"/>
          <w:color w:val="auto"/>
          <w:u w:val="single"/>
          <w:lang w:val="en-US" w:eastAsia="zh-CN"/>
        </w:rPr>
        <w:t xml:space="preserve">               </w:t>
      </w:r>
      <w:r>
        <w:rPr>
          <w:rFonts w:hint="eastAsia" w:hAnsi="宋体"/>
          <w:color w:val="auto"/>
          <w:u w:val="single"/>
        </w:rPr>
        <w:t>元整</w:t>
      </w:r>
      <w:r>
        <w:rPr>
          <w:rFonts w:hint="eastAsia" w:hAnsi="宋体"/>
          <w:color w:val="auto"/>
        </w:rPr>
        <w:t>（￥</w:t>
      </w:r>
      <w:r>
        <w:rPr>
          <w:rFonts w:hint="eastAsia" w:hAnsi="宋体"/>
          <w:color w:val="auto"/>
          <w:u w:val="single"/>
        </w:rPr>
        <w:t>000.00</w:t>
      </w:r>
      <w:r>
        <w:rPr>
          <w:rFonts w:hint="eastAsia" w:hAnsi="宋体"/>
          <w:color w:val="auto"/>
        </w:rPr>
        <w:t>）。（详见合同附件中投标报价表）</w:t>
      </w:r>
    </w:p>
    <w:p w14:paraId="2D1FFAC4">
      <w:pPr>
        <w:pStyle w:val="9"/>
        <w:tabs>
          <w:tab w:val="left" w:pos="5940"/>
        </w:tabs>
        <w:spacing w:line="360" w:lineRule="auto"/>
        <w:rPr>
          <w:rFonts w:hint="eastAsia" w:hAnsi="宋体"/>
          <w:b/>
          <w:bCs/>
          <w:color w:val="auto"/>
          <w:sz w:val="24"/>
          <w:szCs w:val="24"/>
        </w:rPr>
      </w:pPr>
      <w:r>
        <w:rPr>
          <w:rFonts w:hint="eastAsia" w:hAnsi="宋体"/>
          <w:b/>
          <w:bCs/>
          <w:color w:val="auto"/>
          <w:sz w:val="24"/>
          <w:szCs w:val="24"/>
        </w:rPr>
        <w:t>3.  交货要求</w:t>
      </w:r>
    </w:p>
    <w:p w14:paraId="6324C784">
      <w:pPr>
        <w:pStyle w:val="9"/>
        <w:tabs>
          <w:tab w:val="left" w:pos="5220"/>
        </w:tabs>
        <w:spacing w:line="360" w:lineRule="auto"/>
        <w:ind w:firstLine="360"/>
        <w:rPr>
          <w:rFonts w:hint="default" w:hAnsi="宋体" w:eastAsia="宋体"/>
          <w:bCs/>
          <w:color w:val="auto"/>
          <w:u w:val="single"/>
          <w:lang w:val="en-US" w:eastAsia="zh-CN"/>
        </w:rPr>
      </w:pPr>
      <w:r>
        <w:rPr>
          <w:rFonts w:hint="eastAsia" w:hAnsi="宋体"/>
          <w:bCs/>
          <w:color w:val="auto"/>
        </w:rPr>
        <w:t>3.1 交货期：</w:t>
      </w:r>
      <w:r>
        <w:rPr>
          <w:rFonts w:hint="eastAsia" w:hAnsi="宋体"/>
          <w:bCs/>
          <w:color w:val="auto"/>
          <w:u w:val="single"/>
          <w:lang w:val="en-US" w:eastAsia="zh-CN"/>
        </w:rPr>
        <w:t xml:space="preserve">                            </w:t>
      </w:r>
    </w:p>
    <w:p w14:paraId="06A8E898">
      <w:pPr>
        <w:pStyle w:val="9"/>
        <w:spacing w:line="360" w:lineRule="auto"/>
        <w:ind w:firstLine="360"/>
        <w:rPr>
          <w:rFonts w:hint="default" w:hAnsi="宋体" w:eastAsia="宋体"/>
          <w:bCs/>
          <w:color w:val="auto"/>
          <w:u w:val="single"/>
          <w:lang w:val="en-US" w:eastAsia="zh-CN"/>
        </w:rPr>
      </w:pPr>
      <w:r>
        <w:rPr>
          <w:rFonts w:hint="eastAsia" w:hAnsi="宋体"/>
          <w:bCs/>
          <w:color w:val="auto"/>
        </w:rPr>
        <w:t>3.2 交货地点：</w:t>
      </w:r>
      <w:r>
        <w:rPr>
          <w:rFonts w:hint="eastAsia" w:hAnsi="宋体"/>
          <w:bCs/>
          <w:color w:val="auto"/>
          <w:u w:val="single"/>
          <w:lang w:val="en-US" w:eastAsia="zh-CN"/>
        </w:rPr>
        <w:t xml:space="preserve">                          </w:t>
      </w:r>
    </w:p>
    <w:p w14:paraId="6193FDE2">
      <w:pPr>
        <w:pStyle w:val="9"/>
        <w:tabs>
          <w:tab w:val="left" w:pos="5220"/>
          <w:tab w:val="left" w:pos="6120"/>
        </w:tabs>
        <w:spacing w:line="360" w:lineRule="auto"/>
        <w:ind w:firstLine="360"/>
        <w:rPr>
          <w:rFonts w:hint="default" w:hAnsi="宋体" w:eastAsia="宋体"/>
          <w:bCs/>
          <w:color w:val="auto"/>
          <w:lang w:val="en-US" w:eastAsia="zh-CN"/>
        </w:rPr>
      </w:pPr>
      <w:r>
        <w:rPr>
          <w:rFonts w:hint="eastAsia" w:hAnsi="宋体"/>
          <w:bCs/>
          <w:color w:val="auto"/>
        </w:rPr>
        <w:t>3.3 交货方式：</w:t>
      </w:r>
      <w:r>
        <w:rPr>
          <w:rFonts w:hint="eastAsia" w:hAnsi="宋体"/>
          <w:bCs/>
          <w:color w:val="auto"/>
          <w:u w:val="single"/>
          <w:lang w:val="en-US" w:eastAsia="zh-CN"/>
        </w:rPr>
        <w:t xml:space="preserve">                          </w:t>
      </w:r>
    </w:p>
    <w:p w14:paraId="1DF68103">
      <w:pPr>
        <w:pStyle w:val="9"/>
        <w:spacing w:line="360" w:lineRule="auto"/>
        <w:ind w:firstLine="360"/>
        <w:rPr>
          <w:rFonts w:hint="eastAsia" w:hAnsi="宋体"/>
          <w:b/>
          <w:color w:val="auto"/>
        </w:rPr>
      </w:pPr>
      <w:r>
        <w:rPr>
          <w:rFonts w:hint="eastAsia" w:hAnsi="宋体"/>
          <w:bCs/>
          <w:color w:val="auto"/>
        </w:rPr>
        <w:t xml:space="preserve">3.4 </w:t>
      </w:r>
      <w:r>
        <w:rPr>
          <w:rFonts w:hint="eastAsia" w:hAnsi="宋体"/>
          <w:color w:val="auto"/>
        </w:rPr>
        <w:t>乙方必须按响应文件承诺的技术参数、性能要求、质量标准等向甲方提供全新、完整、未经使用的货物。</w:t>
      </w:r>
    </w:p>
    <w:p w14:paraId="11FC6567">
      <w:pPr>
        <w:pStyle w:val="9"/>
        <w:spacing w:line="360" w:lineRule="auto"/>
        <w:rPr>
          <w:rFonts w:hint="eastAsia" w:hAnsi="宋体"/>
          <w:bCs/>
          <w:color w:val="auto"/>
          <w:u w:val="single"/>
        </w:rPr>
      </w:pPr>
      <w:r>
        <w:rPr>
          <w:rFonts w:hint="eastAsia" w:hAnsi="宋体"/>
          <w:b/>
          <w:bCs/>
          <w:color w:val="auto"/>
          <w:sz w:val="24"/>
          <w:szCs w:val="24"/>
        </w:rPr>
        <w:t>4.  履约保证金</w:t>
      </w:r>
      <w:r>
        <w:rPr>
          <w:rFonts w:hint="eastAsia" w:hAnsi="宋体"/>
          <w:b/>
          <w:color w:val="auto"/>
        </w:rPr>
        <w:t>：</w:t>
      </w:r>
      <w:r>
        <w:rPr>
          <w:rFonts w:hint="eastAsia" w:hAnsi="宋体"/>
          <w:bCs/>
          <w:color w:val="auto"/>
          <w:u w:val="single"/>
        </w:rPr>
        <w:t>无</w:t>
      </w:r>
    </w:p>
    <w:p w14:paraId="00A1DB2E">
      <w:pPr>
        <w:pStyle w:val="9"/>
        <w:spacing w:line="360" w:lineRule="auto"/>
        <w:rPr>
          <w:rFonts w:hint="eastAsia" w:hAnsi="宋体"/>
          <w:b/>
          <w:bCs/>
          <w:color w:val="auto"/>
          <w:sz w:val="24"/>
          <w:szCs w:val="24"/>
        </w:rPr>
      </w:pPr>
      <w:r>
        <w:rPr>
          <w:rFonts w:hint="eastAsia" w:hAnsi="宋体"/>
          <w:b/>
          <w:bCs/>
          <w:color w:val="auto"/>
          <w:sz w:val="24"/>
          <w:szCs w:val="24"/>
        </w:rPr>
        <w:t>5.  质量保证及售后服务</w:t>
      </w:r>
    </w:p>
    <w:p w14:paraId="10EA655B">
      <w:pPr>
        <w:pStyle w:val="9"/>
        <w:spacing w:line="360" w:lineRule="auto"/>
        <w:ind w:left="2" w:firstLine="359" w:firstLineChars="171"/>
        <w:rPr>
          <w:rFonts w:hint="eastAsia" w:hAnsi="宋体"/>
          <w:color w:val="auto"/>
        </w:rPr>
      </w:pPr>
      <w:r>
        <w:rPr>
          <w:rFonts w:hint="eastAsia" w:hAnsi="宋体"/>
          <w:color w:val="auto"/>
        </w:rPr>
        <w:t>5.1 质量保证期</w:t>
      </w:r>
      <w:r>
        <w:rPr>
          <w:rFonts w:hint="eastAsia" w:hAnsi="宋体"/>
          <w:color w:val="auto"/>
          <w:u w:val="single"/>
        </w:rPr>
        <w:t xml:space="preserve"> </w:t>
      </w:r>
      <w:r>
        <w:rPr>
          <w:rFonts w:hint="eastAsia" w:hAnsi="宋体"/>
          <w:color w:val="auto"/>
          <w:u w:val="single"/>
          <w:lang w:val="en-US" w:eastAsia="zh-CN"/>
        </w:rPr>
        <w:t xml:space="preserve">  </w:t>
      </w:r>
      <w:r>
        <w:rPr>
          <w:rFonts w:hint="eastAsia" w:hAnsi="宋体"/>
          <w:color w:val="auto"/>
          <w:u w:val="single"/>
        </w:rPr>
        <w:t xml:space="preserve"> </w:t>
      </w:r>
      <w:r>
        <w:rPr>
          <w:rFonts w:hint="eastAsia" w:hAnsi="宋体"/>
          <w:color w:val="auto"/>
        </w:rPr>
        <w:t>年（自交货验收合格之日起计）。</w:t>
      </w:r>
    </w:p>
    <w:p w14:paraId="55A023DA">
      <w:pPr>
        <w:pStyle w:val="9"/>
        <w:spacing w:line="360" w:lineRule="auto"/>
        <w:ind w:left="2" w:firstLine="359" w:firstLineChars="171"/>
        <w:rPr>
          <w:rFonts w:hint="eastAsia" w:hAnsi="宋体"/>
          <w:color w:val="auto"/>
          <w:u w:val="single"/>
        </w:rPr>
      </w:pPr>
      <w:r>
        <w:rPr>
          <w:rFonts w:hint="eastAsia" w:hAnsi="宋体"/>
          <w:color w:val="auto"/>
        </w:rPr>
        <w:t>5.2 质量保证金：</w:t>
      </w:r>
      <w:r>
        <w:rPr>
          <w:rFonts w:hint="eastAsia" w:hAnsi="宋体"/>
          <w:color w:val="auto"/>
          <w:u w:val="single"/>
        </w:rPr>
        <w:t>无</w:t>
      </w:r>
    </w:p>
    <w:p w14:paraId="1A33FC19">
      <w:pPr>
        <w:pStyle w:val="9"/>
        <w:spacing w:line="360" w:lineRule="auto"/>
        <w:ind w:firstLine="359" w:firstLineChars="171"/>
        <w:rPr>
          <w:rFonts w:hint="eastAsia" w:hAnsi="宋体"/>
          <w:color w:val="auto"/>
        </w:rPr>
      </w:pPr>
      <w:r>
        <w:rPr>
          <w:rFonts w:hint="eastAsia" w:hAnsi="宋体"/>
          <w:color w:val="auto"/>
        </w:rPr>
        <w:t>5.3如乙方提供的货物在使用过程中发生质量问题，乙方接到甲方故障通知后应</w:t>
      </w:r>
      <w:r>
        <w:rPr>
          <w:rFonts w:hint="eastAsia" w:hAnsi="宋体"/>
          <w:color w:val="auto"/>
          <w:u w:val="single"/>
        </w:rPr>
        <w:t>在投标文件承诺的时间</w:t>
      </w:r>
      <w:r>
        <w:rPr>
          <w:rFonts w:hint="eastAsia" w:hAnsi="宋体"/>
          <w:color w:val="auto"/>
        </w:rPr>
        <w:t>内到达甲方指定现场，按国家及行业标准对故障进行及时处理。</w:t>
      </w:r>
    </w:p>
    <w:p w14:paraId="1860EA40">
      <w:pPr>
        <w:pStyle w:val="9"/>
        <w:spacing w:line="360" w:lineRule="auto"/>
        <w:ind w:firstLine="359" w:firstLineChars="171"/>
        <w:rPr>
          <w:rFonts w:hint="eastAsia" w:hAnsi="宋体"/>
          <w:color w:val="auto"/>
        </w:rPr>
      </w:pPr>
      <w:r>
        <w:rPr>
          <w:rFonts w:hint="eastAsia" w:hAnsi="宋体"/>
          <w:color w:val="auto"/>
        </w:rPr>
        <w:t>5.4乙方提供的货物在质量保证期内因货物质量问题发生故障，乙方应负责免费更换，并赔偿甲方损失。对达不到技术要求者，根据实际情况，甲方可按以下办法处理：</w:t>
      </w:r>
    </w:p>
    <w:p w14:paraId="724F6FA8">
      <w:pPr>
        <w:pStyle w:val="9"/>
        <w:spacing w:line="360" w:lineRule="auto"/>
        <w:ind w:firstLine="359" w:firstLineChars="171"/>
        <w:rPr>
          <w:rFonts w:hint="eastAsia" w:hAnsi="宋体"/>
          <w:color w:val="auto"/>
        </w:rPr>
      </w:pPr>
      <w:r>
        <w:rPr>
          <w:rFonts w:hint="eastAsia" w:hAnsi="宋体"/>
          <w:color w:val="auto"/>
        </w:rPr>
        <w:t>（1）更换：由乙方承担所发生的全部费用；</w:t>
      </w:r>
    </w:p>
    <w:p w14:paraId="1F079D79">
      <w:pPr>
        <w:pStyle w:val="9"/>
        <w:spacing w:line="360" w:lineRule="auto"/>
        <w:ind w:firstLine="359" w:firstLineChars="171"/>
        <w:rPr>
          <w:rFonts w:hint="eastAsia" w:hAnsi="宋体"/>
          <w:color w:val="auto"/>
        </w:rPr>
      </w:pPr>
      <w:r>
        <w:rPr>
          <w:rFonts w:hint="eastAsia" w:hAnsi="宋体"/>
          <w:color w:val="auto"/>
        </w:rPr>
        <w:t>（2）贬值处理：由甲乙双方合议定价；</w:t>
      </w:r>
    </w:p>
    <w:p w14:paraId="257A1F4E">
      <w:pPr>
        <w:pStyle w:val="9"/>
        <w:spacing w:line="360" w:lineRule="auto"/>
        <w:ind w:firstLine="359" w:firstLineChars="171"/>
        <w:rPr>
          <w:rFonts w:hint="eastAsia" w:hAnsi="宋体"/>
          <w:color w:val="auto"/>
        </w:rPr>
      </w:pPr>
      <w:r>
        <w:rPr>
          <w:rFonts w:hint="eastAsia" w:hAnsi="宋体"/>
          <w:color w:val="auto"/>
        </w:rPr>
        <w:t>（3）退货处理：乙方应退还甲方支付的合同款，同时应承担与该货物相关的直接费用（运输、保险、检验、合同款利息及银行手续费等）。</w:t>
      </w:r>
    </w:p>
    <w:p w14:paraId="3557B7E3">
      <w:pPr>
        <w:pStyle w:val="9"/>
        <w:spacing w:line="360" w:lineRule="auto"/>
        <w:ind w:left="2" w:firstLine="360"/>
        <w:rPr>
          <w:rFonts w:hint="eastAsia" w:hAnsi="宋体"/>
          <w:color w:val="auto"/>
        </w:rPr>
      </w:pPr>
      <w:r>
        <w:rPr>
          <w:rFonts w:hint="eastAsia" w:hAnsi="宋体"/>
          <w:color w:val="auto"/>
        </w:rPr>
        <w:t>5.5 在质量保证期内，乙方负责处理解决货物出现的质量及安全问题并承担一切费用(包括但不限于赔偿甲方损失)，所有非故意性损坏以及正常使用范围内造成的损坏均要免费维修，因人为因素出现的故障不在免费保修范围内，但乙方也要积极帮助采购人修理，并提供优惠价格的配件和服务。</w:t>
      </w:r>
    </w:p>
    <w:p w14:paraId="266BDF86">
      <w:pPr>
        <w:pStyle w:val="9"/>
        <w:spacing w:line="360" w:lineRule="auto"/>
        <w:ind w:left="2" w:firstLine="360"/>
        <w:rPr>
          <w:rFonts w:hint="eastAsia" w:hAnsi="宋体"/>
          <w:color w:val="auto"/>
        </w:rPr>
      </w:pPr>
      <w:r>
        <w:rPr>
          <w:rFonts w:hint="eastAsia" w:hAnsi="宋体"/>
          <w:color w:val="auto"/>
        </w:rPr>
        <w:t>5.6 超过质量保证期的货物，乙方提供终身维修、保养服务，维修时只收部件成本费。</w:t>
      </w:r>
    </w:p>
    <w:p w14:paraId="3146FF71">
      <w:pPr>
        <w:pStyle w:val="9"/>
        <w:spacing w:line="360" w:lineRule="auto"/>
        <w:ind w:left="2" w:firstLine="360"/>
        <w:rPr>
          <w:rFonts w:hint="eastAsia" w:hAnsi="宋体"/>
          <w:color w:val="auto"/>
        </w:rPr>
      </w:pPr>
      <w:r>
        <w:rPr>
          <w:rFonts w:hint="eastAsia" w:hAnsi="宋体"/>
          <w:color w:val="auto"/>
        </w:rPr>
        <w:t>5.7 乙方随时优惠提供备品备件，备件备品不超过市场价，优惠提供产品更新、改造服务。</w:t>
      </w:r>
    </w:p>
    <w:p w14:paraId="6613B3B4">
      <w:pPr>
        <w:pStyle w:val="9"/>
        <w:spacing w:line="360" w:lineRule="auto"/>
        <w:rPr>
          <w:rFonts w:hint="eastAsia" w:hAnsi="宋体"/>
          <w:b/>
          <w:bCs/>
          <w:color w:val="auto"/>
          <w:sz w:val="24"/>
          <w:szCs w:val="24"/>
        </w:rPr>
      </w:pPr>
      <w:r>
        <w:rPr>
          <w:rFonts w:hint="eastAsia" w:hAnsi="宋体"/>
          <w:b/>
          <w:bCs/>
          <w:color w:val="auto"/>
          <w:sz w:val="24"/>
          <w:szCs w:val="24"/>
        </w:rPr>
        <w:t>6.  合同款支付</w:t>
      </w:r>
    </w:p>
    <w:p w14:paraId="6505BE56">
      <w:pPr>
        <w:pStyle w:val="9"/>
        <w:spacing w:line="360" w:lineRule="auto"/>
        <w:ind w:firstLine="360"/>
        <w:rPr>
          <w:rFonts w:hint="eastAsia" w:hAnsi="宋体"/>
          <w:bCs/>
          <w:color w:val="auto"/>
          <w:u w:val="single"/>
        </w:rPr>
      </w:pPr>
      <w:r>
        <w:rPr>
          <w:rFonts w:hint="eastAsia" w:hAnsi="宋体"/>
          <w:bCs/>
          <w:color w:val="auto"/>
        </w:rPr>
        <w:t>6.1 付款方式：</w:t>
      </w:r>
      <w:r>
        <w:rPr>
          <w:rFonts w:hint="eastAsia" w:hAnsi="宋体"/>
          <w:bCs/>
          <w:color w:val="auto"/>
          <w:u w:val="single"/>
        </w:rPr>
        <w:t xml:space="preserve">           </w:t>
      </w:r>
      <w:r>
        <w:rPr>
          <w:rFonts w:hint="eastAsia" w:hAnsi="宋体"/>
          <w:bCs/>
          <w:color w:val="auto"/>
          <w:u w:val="single"/>
          <w:lang w:val="en-US" w:eastAsia="zh-CN"/>
        </w:rPr>
        <w:t xml:space="preserve">                              </w:t>
      </w:r>
      <w:r>
        <w:rPr>
          <w:rFonts w:hint="eastAsia" w:hAnsi="宋体"/>
          <w:bCs/>
          <w:color w:val="auto"/>
          <w:u w:val="single"/>
        </w:rPr>
        <w:t xml:space="preserve">                </w:t>
      </w:r>
      <w:r>
        <w:rPr>
          <w:rFonts w:hint="eastAsia" w:hAnsi="宋体"/>
          <w:color w:val="auto"/>
          <w:kern w:val="0"/>
          <w:szCs w:val="21"/>
          <w:u w:val="single"/>
        </w:rPr>
        <w:t xml:space="preserve"> </w:t>
      </w:r>
    </w:p>
    <w:p w14:paraId="04DDC9F1">
      <w:pPr>
        <w:pStyle w:val="9"/>
        <w:spacing w:line="360" w:lineRule="auto"/>
        <w:ind w:firstLine="360"/>
        <w:rPr>
          <w:rFonts w:hint="eastAsia" w:hAnsi="宋体"/>
          <w:bCs/>
          <w:color w:val="auto"/>
        </w:rPr>
      </w:pPr>
      <w:r>
        <w:rPr>
          <w:rFonts w:hint="eastAsia" w:hAnsi="宋体"/>
          <w:bCs/>
          <w:color w:val="auto"/>
        </w:rPr>
        <w:t>6.2 乙方应在甲方每次付款前先提供相应金额的增值税普通发票给甲方，否则甲方有权拒绝付款。</w:t>
      </w:r>
    </w:p>
    <w:p w14:paraId="5B4C0A0B">
      <w:pPr>
        <w:spacing w:line="460" w:lineRule="exact"/>
        <w:ind w:firstLine="420" w:firstLineChars="200"/>
        <w:rPr>
          <w:rFonts w:ascii="宋体" w:hAnsi="宋体"/>
          <w:bCs/>
          <w:color w:val="auto"/>
          <w:szCs w:val="20"/>
        </w:rPr>
      </w:pPr>
      <w:r>
        <w:rPr>
          <w:rFonts w:hint="eastAsia" w:ascii="宋体" w:hAnsi="宋体"/>
          <w:bCs/>
          <w:color w:val="auto"/>
          <w:szCs w:val="20"/>
        </w:rPr>
        <w:t>6.3甲方应将本合同款项支付至乙方以下指定账户：</w:t>
      </w:r>
    </w:p>
    <w:p w14:paraId="7B933923">
      <w:pPr>
        <w:spacing w:line="460" w:lineRule="exact"/>
        <w:ind w:firstLine="420" w:firstLineChars="200"/>
        <w:rPr>
          <w:rFonts w:hint="eastAsia" w:ascii="宋体" w:hAnsi="宋体"/>
          <w:bCs/>
          <w:color w:val="auto"/>
          <w:szCs w:val="20"/>
          <w:u w:val="single"/>
        </w:rPr>
      </w:pPr>
      <w:r>
        <w:rPr>
          <w:rFonts w:hint="eastAsia" w:ascii="宋体" w:hAnsi="宋体"/>
          <w:bCs/>
          <w:color w:val="auto"/>
          <w:szCs w:val="20"/>
        </w:rPr>
        <w:t>户  名：</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p>
    <w:p w14:paraId="6AD7F2F1">
      <w:pPr>
        <w:spacing w:line="460" w:lineRule="exact"/>
        <w:ind w:firstLine="420" w:firstLineChars="200"/>
        <w:rPr>
          <w:rFonts w:ascii="宋体" w:hAnsi="宋体"/>
          <w:bCs/>
          <w:color w:val="auto"/>
          <w:szCs w:val="20"/>
        </w:rPr>
      </w:pPr>
      <w:r>
        <w:rPr>
          <w:rFonts w:hint="eastAsia" w:ascii="宋体" w:hAnsi="宋体"/>
          <w:bCs/>
          <w:color w:val="auto"/>
          <w:szCs w:val="20"/>
        </w:rPr>
        <w:t>开户行：</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p>
    <w:p w14:paraId="2AA569EF">
      <w:pPr>
        <w:spacing w:line="460" w:lineRule="exact"/>
        <w:ind w:firstLine="420" w:firstLineChars="200"/>
        <w:rPr>
          <w:rFonts w:ascii="宋体" w:hAnsi="宋体"/>
          <w:bCs/>
          <w:color w:val="auto"/>
          <w:szCs w:val="20"/>
        </w:rPr>
      </w:pPr>
      <w:r>
        <w:rPr>
          <w:rFonts w:hint="eastAsia" w:ascii="宋体" w:hAnsi="宋体"/>
          <w:bCs/>
          <w:color w:val="auto"/>
          <w:szCs w:val="20"/>
        </w:rPr>
        <w:t>账  号：</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r>
        <w:rPr>
          <w:rFonts w:hint="eastAsia" w:ascii="宋体" w:hAnsi="宋体"/>
          <w:bCs/>
          <w:color w:val="auto"/>
          <w:szCs w:val="20"/>
        </w:rPr>
        <w:t xml:space="preserve">      </w:t>
      </w:r>
    </w:p>
    <w:p w14:paraId="04CFA492">
      <w:pPr>
        <w:spacing w:line="460" w:lineRule="exact"/>
        <w:ind w:firstLine="420" w:firstLineChars="200"/>
        <w:rPr>
          <w:rFonts w:hint="eastAsia" w:ascii="宋体" w:hAnsi="宋体"/>
          <w:bCs/>
          <w:color w:val="auto"/>
          <w:szCs w:val="20"/>
        </w:rPr>
      </w:pPr>
      <w:r>
        <w:rPr>
          <w:rFonts w:hint="eastAsia" w:ascii="宋体" w:hAnsi="宋体"/>
          <w:bCs/>
          <w:color w:val="auto"/>
          <w:szCs w:val="20"/>
        </w:rPr>
        <w:t>如乙方对上述指定账户进行变更的，应在变更前三个工作日以书面形式向甲方发出变更通知，否则甲方将款项支付至上述账户视为甲方已履行付款义务。</w:t>
      </w:r>
    </w:p>
    <w:p w14:paraId="48DD3341">
      <w:pPr>
        <w:pStyle w:val="9"/>
        <w:spacing w:line="360" w:lineRule="auto"/>
        <w:ind w:left="412" w:hanging="412" w:hangingChars="171"/>
        <w:rPr>
          <w:rFonts w:hint="eastAsia" w:hAnsi="宋体"/>
          <w:b/>
          <w:color w:val="auto"/>
        </w:rPr>
      </w:pPr>
      <w:r>
        <w:rPr>
          <w:rFonts w:hint="eastAsia" w:hAnsi="宋体"/>
          <w:b/>
          <w:bCs/>
          <w:color w:val="auto"/>
          <w:sz w:val="24"/>
          <w:szCs w:val="24"/>
        </w:rPr>
        <w:t>7.  产权</w:t>
      </w:r>
    </w:p>
    <w:p w14:paraId="6A69C28E">
      <w:pPr>
        <w:pStyle w:val="9"/>
        <w:spacing w:line="360" w:lineRule="auto"/>
        <w:ind w:left="2" w:firstLine="359" w:firstLineChars="171"/>
        <w:rPr>
          <w:rFonts w:hint="eastAsia" w:hAnsi="宋体"/>
          <w:bCs/>
          <w:color w:val="auto"/>
        </w:rPr>
      </w:pPr>
      <w:r>
        <w:rPr>
          <w:rFonts w:hint="eastAsia" w:hAnsi="宋体"/>
          <w:color w:val="auto"/>
        </w:rPr>
        <w:t>7.1 乙方保证所提供的货物或其任何一部分均不会侵犯任何第三方的专利权、商标权或著作权等知识产权</w:t>
      </w:r>
      <w:r>
        <w:rPr>
          <w:rFonts w:hint="eastAsia" w:hAnsi="宋体"/>
          <w:bCs/>
          <w:color w:val="auto"/>
        </w:rPr>
        <w:t>。</w:t>
      </w:r>
    </w:p>
    <w:p w14:paraId="66C74DC8">
      <w:pPr>
        <w:pStyle w:val="9"/>
        <w:spacing w:line="360" w:lineRule="auto"/>
        <w:ind w:left="2" w:firstLine="359" w:firstLineChars="171"/>
        <w:rPr>
          <w:rFonts w:hint="eastAsia" w:hAnsi="宋体"/>
          <w:b/>
          <w:bCs/>
          <w:color w:val="auto"/>
        </w:rPr>
      </w:pPr>
      <w:r>
        <w:rPr>
          <w:rFonts w:hint="eastAsia" w:hAnsi="宋体"/>
          <w:color w:val="auto"/>
        </w:rPr>
        <w:t>7.2 乙方保证所交付货物的所有权完全属于乙方且无任何抵押、质押、查封等权利瑕疵。如乙方所交付货物有权利瑕疵的，视为乙方违约，按照本合同第11.3项的约定处理。但在已经全部支付完合同款后才发现有权利瑕疵的，乙方除了支付违约金还应负担甲方由此产生的一切损失。</w:t>
      </w:r>
    </w:p>
    <w:p w14:paraId="2881792B">
      <w:pPr>
        <w:pStyle w:val="9"/>
        <w:spacing w:line="360" w:lineRule="auto"/>
        <w:rPr>
          <w:rFonts w:hint="eastAsia" w:hAnsi="宋体"/>
          <w:b/>
          <w:color w:val="auto"/>
        </w:rPr>
      </w:pPr>
      <w:r>
        <w:rPr>
          <w:rFonts w:hint="eastAsia" w:hAnsi="宋体"/>
          <w:b/>
          <w:bCs/>
          <w:color w:val="auto"/>
          <w:sz w:val="24"/>
          <w:szCs w:val="24"/>
        </w:rPr>
        <w:t>8.  技术资料</w:t>
      </w:r>
    </w:p>
    <w:p w14:paraId="38613666">
      <w:pPr>
        <w:pStyle w:val="9"/>
        <w:spacing w:line="360" w:lineRule="auto"/>
        <w:ind w:firstLine="360"/>
        <w:rPr>
          <w:rFonts w:hint="eastAsia" w:hAnsi="宋体"/>
          <w:color w:val="auto"/>
        </w:rPr>
      </w:pPr>
      <w:r>
        <w:rPr>
          <w:rFonts w:hint="eastAsia" w:hAnsi="宋体"/>
          <w:color w:val="auto"/>
        </w:rPr>
        <w:t>8.1 甲方向乙方提供货物的有关技术资料。</w:t>
      </w:r>
    </w:p>
    <w:p w14:paraId="40A2140C">
      <w:pPr>
        <w:pStyle w:val="9"/>
        <w:spacing w:line="360" w:lineRule="auto"/>
        <w:ind w:firstLine="360"/>
        <w:rPr>
          <w:rFonts w:hint="eastAsia" w:hAnsi="宋体"/>
          <w:color w:val="auto"/>
        </w:rPr>
      </w:pPr>
      <w:r>
        <w:rPr>
          <w:rFonts w:hint="eastAsia" w:hAnsi="宋体"/>
          <w:color w:val="auto"/>
        </w:rPr>
        <w:t>8.2 乙方应在采购文件规定的时间向甲方提供使用货物的有关技术资料。</w:t>
      </w:r>
    </w:p>
    <w:p w14:paraId="0C509006">
      <w:pPr>
        <w:pStyle w:val="9"/>
        <w:spacing w:line="360" w:lineRule="auto"/>
        <w:ind w:firstLine="360"/>
        <w:rPr>
          <w:rFonts w:hint="eastAsia" w:hAnsi="宋体"/>
          <w:color w:val="auto"/>
        </w:rPr>
      </w:pPr>
      <w:r>
        <w:rPr>
          <w:rFonts w:hint="eastAsia" w:hAnsi="宋体"/>
          <w:color w:val="auto"/>
        </w:rPr>
        <w:t>8.3 没有甲方事先书面同意，乙方不得将甲方提供的有关合同或任何合同条文、规格、计划、图纸、样品或资料提供给与履行本合同无关的其他任何人。即使向与履行本合同有关的人员提供，也应注意保密并限于履行合同的必需范围。</w:t>
      </w:r>
    </w:p>
    <w:p w14:paraId="78A3152E">
      <w:pPr>
        <w:pStyle w:val="9"/>
        <w:spacing w:line="360" w:lineRule="auto"/>
        <w:rPr>
          <w:rFonts w:hint="eastAsia" w:hAnsi="宋体"/>
          <w:b/>
          <w:bCs/>
          <w:color w:val="auto"/>
          <w:sz w:val="24"/>
          <w:szCs w:val="24"/>
        </w:rPr>
      </w:pPr>
      <w:r>
        <w:rPr>
          <w:rFonts w:hint="eastAsia" w:hAnsi="宋体"/>
          <w:b/>
          <w:bCs/>
          <w:color w:val="auto"/>
          <w:sz w:val="24"/>
          <w:szCs w:val="24"/>
        </w:rPr>
        <w:t>9.  货物包装、发运及运输</w:t>
      </w:r>
    </w:p>
    <w:p w14:paraId="1033CCE4">
      <w:pPr>
        <w:pStyle w:val="9"/>
        <w:tabs>
          <w:tab w:val="left" w:pos="0"/>
        </w:tabs>
        <w:spacing w:line="360" w:lineRule="auto"/>
        <w:ind w:firstLine="360"/>
        <w:rPr>
          <w:rFonts w:hint="eastAsia" w:hAnsi="宋体"/>
          <w:color w:val="auto"/>
        </w:rPr>
      </w:pPr>
      <w:r>
        <w:rPr>
          <w:rFonts w:hint="eastAsia" w:hAnsi="宋体"/>
          <w:color w:val="auto"/>
        </w:rPr>
        <w:t>9.1 乙方应在货物发运前对其进行满足运输距离、防潮、防震、防锈和防破损装卸等要求包装，以保证货物安全运达甲方指定地点。</w:t>
      </w:r>
    </w:p>
    <w:p w14:paraId="3616C626">
      <w:pPr>
        <w:pStyle w:val="9"/>
        <w:tabs>
          <w:tab w:val="left" w:pos="0"/>
        </w:tabs>
        <w:spacing w:line="360" w:lineRule="auto"/>
        <w:ind w:firstLine="360"/>
        <w:rPr>
          <w:rFonts w:hint="eastAsia" w:hAnsi="宋体"/>
          <w:color w:val="auto"/>
        </w:rPr>
      </w:pPr>
      <w:r>
        <w:rPr>
          <w:rFonts w:hint="eastAsia" w:hAnsi="宋体"/>
          <w:color w:val="auto"/>
        </w:rPr>
        <w:t>9.2 使用说明书、质量检验证明书、保修单据、随配附件和工具以及清单一并附于货物内。</w:t>
      </w:r>
    </w:p>
    <w:p w14:paraId="49C30F04">
      <w:pPr>
        <w:pStyle w:val="9"/>
        <w:tabs>
          <w:tab w:val="left" w:pos="0"/>
        </w:tabs>
        <w:spacing w:line="360" w:lineRule="auto"/>
        <w:ind w:firstLine="360"/>
        <w:rPr>
          <w:rFonts w:hint="eastAsia" w:hAnsi="宋体"/>
          <w:color w:val="auto"/>
        </w:rPr>
      </w:pPr>
      <w:r>
        <w:rPr>
          <w:rFonts w:hint="eastAsia" w:hAnsi="宋体"/>
          <w:color w:val="auto"/>
        </w:rPr>
        <w:t>9.3 乙方在货物发运手续办理完毕后24小时内或货到甲方48小时前通知甲方，以准备接货。</w:t>
      </w:r>
    </w:p>
    <w:p w14:paraId="0E70BD67">
      <w:pPr>
        <w:pStyle w:val="9"/>
        <w:tabs>
          <w:tab w:val="left" w:pos="0"/>
        </w:tabs>
        <w:spacing w:line="360" w:lineRule="auto"/>
        <w:ind w:firstLine="360"/>
        <w:rPr>
          <w:rFonts w:hint="eastAsia" w:hAnsi="宋体"/>
          <w:color w:val="auto"/>
        </w:rPr>
      </w:pPr>
      <w:r>
        <w:rPr>
          <w:rFonts w:hint="eastAsia" w:hAnsi="宋体"/>
          <w:color w:val="auto"/>
        </w:rPr>
        <w:t>9.4 货物在交付甲方前发生的风险均由乙方负责。</w:t>
      </w:r>
    </w:p>
    <w:p w14:paraId="4E0A40DA">
      <w:pPr>
        <w:pStyle w:val="9"/>
        <w:tabs>
          <w:tab w:val="left" w:pos="0"/>
        </w:tabs>
        <w:spacing w:line="360" w:lineRule="auto"/>
        <w:ind w:firstLine="360"/>
        <w:rPr>
          <w:rFonts w:hint="eastAsia" w:hAnsi="宋体"/>
          <w:color w:val="auto"/>
        </w:rPr>
      </w:pPr>
      <w:r>
        <w:rPr>
          <w:rFonts w:hint="eastAsia" w:hAnsi="宋体"/>
          <w:color w:val="auto"/>
        </w:rPr>
        <w:t>9.5 货物在规定的交付期限内由乙方送达甲方指定的地点视为交付，乙方同时需通知甲方货物已送达。</w:t>
      </w:r>
    </w:p>
    <w:p w14:paraId="252D76CB">
      <w:pPr>
        <w:pStyle w:val="9"/>
        <w:spacing w:line="360" w:lineRule="auto"/>
        <w:rPr>
          <w:rFonts w:hint="eastAsia" w:hAnsi="宋体"/>
          <w:b/>
          <w:bCs/>
          <w:color w:val="auto"/>
          <w:sz w:val="24"/>
          <w:szCs w:val="24"/>
        </w:rPr>
      </w:pPr>
      <w:r>
        <w:rPr>
          <w:rFonts w:hint="eastAsia" w:hAnsi="宋体"/>
          <w:b/>
          <w:bCs/>
          <w:color w:val="auto"/>
          <w:sz w:val="24"/>
          <w:szCs w:val="24"/>
        </w:rPr>
        <w:t>10.  调试和验收</w:t>
      </w:r>
    </w:p>
    <w:p w14:paraId="200ABF10">
      <w:pPr>
        <w:pStyle w:val="9"/>
        <w:spacing w:line="360" w:lineRule="auto"/>
        <w:ind w:firstLine="359" w:firstLineChars="171"/>
        <w:rPr>
          <w:rFonts w:hint="eastAsia" w:hAnsi="宋体"/>
          <w:color w:val="auto"/>
        </w:rPr>
      </w:pPr>
      <w:r>
        <w:rPr>
          <w:rFonts w:hint="eastAsia" w:hAnsi="宋体"/>
          <w:color w:val="auto"/>
        </w:rPr>
        <w:t>10.1 乙方将货物运达约定的交货地点后，甲方应及时对乙方提交的货物依据采购文件、响应文件要求和国家标准或行业标准进行现场初步验收。对外观、说明书符合要求的，给予签收；对不符合要求或有质量问题的货物不予签收，可立即要求退换，乙方不得拒绝和延误。</w:t>
      </w:r>
    </w:p>
    <w:p w14:paraId="007BADE4">
      <w:pPr>
        <w:pStyle w:val="9"/>
        <w:spacing w:line="360" w:lineRule="auto"/>
        <w:ind w:firstLine="359" w:firstLineChars="171"/>
        <w:rPr>
          <w:rFonts w:hint="eastAsia" w:hAnsi="宋体"/>
          <w:color w:val="auto"/>
        </w:rPr>
      </w:pPr>
      <w:r>
        <w:rPr>
          <w:rFonts w:hint="eastAsia" w:hAnsi="宋体"/>
          <w:color w:val="auto"/>
        </w:rPr>
        <w:t>10.2 乙方交货前应对产品作出全面检查和对验收文件进行整理，并列出清单，作为甲方收货验收和使用的技术条件依据，检验的结果应随货物交甲方。</w:t>
      </w:r>
    </w:p>
    <w:p w14:paraId="1836A3EF">
      <w:pPr>
        <w:pStyle w:val="9"/>
        <w:spacing w:line="360" w:lineRule="auto"/>
        <w:ind w:firstLine="359" w:firstLineChars="171"/>
        <w:rPr>
          <w:rFonts w:hint="eastAsia" w:hAnsi="宋体"/>
          <w:color w:val="auto"/>
        </w:rPr>
      </w:pPr>
      <w:r>
        <w:rPr>
          <w:rFonts w:hint="eastAsia" w:hAnsi="宋体"/>
          <w:color w:val="auto"/>
        </w:rPr>
        <w:t>10.3 甲方对乙方提供的货物在使用前进行调试时，乙方需负责安装并培训甲方的使用操作人员，并协助甲方一起调试，直到符合技术要求，甲方才做最终验收。</w:t>
      </w:r>
    </w:p>
    <w:p w14:paraId="0FF6A33E">
      <w:pPr>
        <w:pStyle w:val="9"/>
        <w:spacing w:line="360" w:lineRule="auto"/>
        <w:ind w:firstLine="359" w:firstLineChars="171"/>
        <w:rPr>
          <w:rFonts w:hint="eastAsia" w:hAnsi="宋体"/>
          <w:color w:val="auto"/>
        </w:rPr>
      </w:pPr>
      <w:r>
        <w:rPr>
          <w:rFonts w:hint="eastAsia" w:hAnsi="宋体"/>
          <w:color w:val="auto"/>
        </w:rPr>
        <w:t>10.4 验收时乙方必须在现场，验收完毕后作出验收结果报告，经过通知，乙方不到场的，视为乙方不配合合同的履行，甲方有权解除合同，要求乙方退还全部已付款，并支付合同总价20%的违约金，赔偿甲方损失。</w:t>
      </w:r>
    </w:p>
    <w:p w14:paraId="250FB48E">
      <w:pPr>
        <w:pStyle w:val="9"/>
        <w:spacing w:line="360" w:lineRule="auto"/>
        <w:ind w:firstLine="359" w:firstLineChars="171"/>
        <w:rPr>
          <w:rFonts w:hint="eastAsia" w:hAnsi="宋体"/>
          <w:color w:val="auto"/>
        </w:rPr>
      </w:pPr>
      <w:r>
        <w:rPr>
          <w:rFonts w:hint="eastAsia" w:hAnsi="宋体"/>
          <w:color w:val="auto"/>
        </w:rPr>
        <w:t>10.5 对技术复杂的货物，甲方可请专业检测机构参与验收，并由其出具质量检测报告，相关费用由甲方承担，根据检测结果要求乙方承担相应的责任。</w:t>
      </w:r>
    </w:p>
    <w:p w14:paraId="7A66B4C4">
      <w:pPr>
        <w:pStyle w:val="9"/>
        <w:spacing w:line="360" w:lineRule="auto"/>
        <w:rPr>
          <w:rFonts w:hint="eastAsia" w:hAnsi="宋体"/>
          <w:b/>
          <w:bCs/>
          <w:color w:val="auto"/>
          <w:sz w:val="24"/>
          <w:szCs w:val="24"/>
        </w:rPr>
      </w:pPr>
      <w:r>
        <w:rPr>
          <w:rFonts w:hint="eastAsia" w:hAnsi="宋体"/>
          <w:b/>
          <w:bCs/>
          <w:color w:val="auto"/>
          <w:sz w:val="24"/>
          <w:szCs w:val="24"/>
        </w:rPr>
        <w:t>11.  违约责任</w:t>
      </w:r>
    </w:p>
    <w:p w14:paraId="55C3B29C">
      <w:pPr>
        <w:pStyle w:val="9"/>
        <w:spacing w:line="360" w:lineRule="auto"/>
        <w:ind w:left="2" w:firstLine="360"/>
        <w:rPr>
          <w:rFonts w:hint="eastAsia" w:hAnsi="宋体"/>
          <w:color w:val="auto"/>
        </w:rPr>
      </w:pPr>
      <w:r>
        <w:rPr>
          <w:rFonts w:hint="eastAsia" w:hAnsi="宋体"/>
          <w:color w:val="auto"/>
        </w:rPr>
        <w:t>11.1 甲方无正当理由拒收货物的，甲方向乙方偿付拒收货款金额的百分之五违约金。</w:t>
      </w:r>
    </w:p>
    <w:p w14:paraId="67755CF7">
      <w:pPr>
        <w:pStyle w:val="9"/>
        <w:spacing w:line="360" w:lineRule="auto"/>
        <w:ind w:left="2" w:firstLine="360"/>
        <w:rPr>
          <w:rFonts w:hint="eastAsia" w:hAnsi="宋体"/>
          <w:color w:val="auto"/>
        </w:rPr>
      </w:pPr>
      <w:r>
        <w:rPr>
          <w:rFonts w:hint="eastAsia" w:hAnsi="宋体"/>
          <w:color w:val="auto"/>
        </w:rPr>
        <w:t>11.2 甲方无故逾期验收或办理合同款支付手续的，甲方应按逾期付款总额每日万分之五向乙方支付违约金。</w:t>
      </w:r>
    </w:p>
    <w:p w14:paraId="3FD74BB4">
      <w:pPr>
        <w:pStyle w:val="9"/>
        <w:spacing w:line="360" w:lineRule="auto"/>
        <w:ind w:left="2" w:firstLine="360"/>
        <w:rPr>
          <w:rFonts w:hint="eastAsia" w:hAnsi="宋体" w:eastAsia="宋体"/>
          <w:color w:val="auto"/>
          <w:lang w:eastAsia="zh-CN"/>
        </w:rPr>
      </w:pPr>
      <w:r>
        <w:rPr>
          <w:rFonts w:hint="eastAsia" w:hAnsi="宋体"/>
          <w:color w:val="auto"/>
        </w:rPr>
        <w:t>11.3 乙方逾期交付货物并通过甲方验收合格的，乙方应按逾期交货总额每日万分之五向甲方支付违约金</w:t>
      </w:r>
      <w:r>
        <w:rPr>
          <w:rFonts w:hint="eastAsia" w:hAnsi="宋体"/>
          <w:color w:val="auto"/>
          <w:lang w:eastAsia="zh-CN"/>
        </w:rPr>
        <w:t>，违约金支付至甲方指定账户，如乙方拒不支付违约金的</w:t>
      </w:r>
      <w:r>
        <w:rPr>
          <w:rFonts w:hint="eastAsia" w:hAnsi="宋体"/>
          <w:color w:val="auto"/>
        </w:rPr>
        <w:t>由甲方从待付合同款中扣除。乙方逾期超过本合同约定交货日期十个工作日不能交货或通过甲方验收合格的，甲方可解除本合同。乙方因逾期交货或因其他违约行为导致甲方解除合同的，乙方应向甲方支付合同总值20%的违约金，如造成甲方损失超过违约金的，超出部分由乙方继续承担赔偿责任。</w:t>
      </w:r>
    </w:p>
    <w:p w14:paraId="176DB1ED">
      <w:pPr>
        <w:pStyle w:val="9"/>
        <w:spacing w:line="360" w:lineRule="auto"/>
        <w:ind w:left="2" w:firstLine="360"/>
        <w:rPr>
          <w:rFonts w:hint="eastAsia" w:hAnsi="宋体"/>
          <w:color w:val="auto"/>
        </w:rPr>
      </w:pPr>
      <w:r>
        <w:rPr>
          <w:rFonts w:hint="eastAsia" w:hAnsi="宋体"/>
          <w:color w:val="auto"/>
        </w:rPr>
        <w:t>11.4 乙方所交的货物品种、型号、规格、技术参数、质量不符合合同规定及采购文件规定标准的，甲方有权拒收该货物，乙方愿意更换货物但逾期交货的，按乙方逾期交货处理。乙方拒绝更换货物的，甲方可单方面解除合同。因产品质量问题导致甲方损失的，由乙方负责赔偿。</w:t>
      </w:r>
    </w:p>
    <w:p w14:paraId="34A42444">
      <w:pPr>
        <w:pStyle w:val="3"/>
        <w:numPr>
          <w:ilvl w:val="0"/>
          <w:numId w:val="0"/>
        </w:numPr>
        <w:ind w:left="0" w:firstLine="0"/>
        <w:rPr>
          <w:rFonts w:hint="eastAsia" w:ascii="宋体" w:hAnsi="宋体" w:eastAsia="宋体" w:cs="Times New Roman"/>
          <w:color w:val="auto"/>
          <w:kern w:val="2"/>
          <w:sz w:val="21"/>
          <w:lang w:val="en-US" w:eastAsia="zh-CN"/>
        </w:rPr>
      </w:pPr>
      <w:r>
        <w:rPr>
          <w:rFonts w:hint="eastAsia" w:hAnsi="宋体"/>
          <w:color w:val="auto"/>
          <w:lang w:val="en-US" w:eastAsia="zh-CN"/>
        </w:rPr>
        <w:t xml:space="preserve"> </w:t>
      </w:r>
      <w:r>
        <w:rPr>
          <w:rFonts w:hint="eastAsia" w:ascii="宋体" w:hAnsi="宋体" w:eastAsia="宋体" w:cs="Times New Roman"/>
          <w:color w:val="auto"/>
          <w:kern w:val="2"/>
          <w:sz w:val="21"/>
          <w:lang w:val="en-US" w:eastAsia="zh-CN"/>
        </w:rPr>
        <w:t xml:space="preserve"> 11.5</w:t>
      </w:r>
      <w:r>
        <w:rPr>
          <w:rFonts w:hint="eastAsia" w:ascii="宋体" w:hAnsi="宋体" w:eastAsia="宋体" w:cs="Times New Roman"/>
          <w:b w:val="0"/>
          <w:bCs w:val="0"/>
          <w:color w:val="auto"/>
          <w:kern w:val="2"/>
          <w:sz w:val="21"/>
          <w:highlight w:val="none"/>
        </w:rPr>
        <w:t>乙方未按本合同和响应文件中规定的服务承诺提供售后服务的，乙方应按本合同合计金额5%向甲方支付违约金。</w:t>
      </w:r>
    </w:p>
    <w:p w14:paraId="0E2D4CFC">
      <w:pPr>
        <w:pStyle w:val="9"/>
        <w:spacing w:line="360" w:lineRule="auto"/>
        <w:rPr>
          <w:rFonts w:hint="eastAsia" w:hAnsi="宋体"/>
          <w:b/>
          <w:bCs/>
          <w:color w:val="auto"/>
          <w:sz w:val="24"/>
          <w:szCs w:val="24"/>
        </w:rPr>
      </w:pPr>
      <w:r>
        <w:rPr>
          <w:rFonts w:hint="eastAsia" w:hAnsi="宋体"/>
          <w:b/>
          <w:bCs/>
          <w:color w:val="auto"/>
          <w:sz w:val="24"/>
          <w:szCs w:val="24"/>
        </w:rPr>
        <w:t>12.  不可抗力事件处理</w:t>
      </w:r>
    </w:p>
    <w:p w14:paraId="7E78A0E3">
      <w:pPr>
        <w:pStyle w:val="9"/>
        <w:spacing w:line="360" w:lineRule="auto"/>
        <w:ind w:firstLine="359" w:firstLineChars="171"/>
        <w:rPr>
          <w:rFonts w:hint="eastAsia" w:hAnsi="宋体"/>
          <w:color w:val="auto"/>
        </w:rPr>
      </w:pPr>
      <w:r>
        <w:rPr>
          <w:rFonts w:hint="eastAsia" w:hAnsi="宋体"/>
          <w:color w:val="auto"/>
        </w:rPr>
        <w:t>12.1 在合同有效期内，任何一方因不可抗力事件导致不能履行合同，则合同履行期可延长，其延长期与不可抗力影响期相同。</w:t>
      </w:r>
    </w:p>
    <w:p w14:paraId="02DE1C07">
      <w:pPr>
        <w:pStyle w:val="9"/>
        <w:spacing w:line="360" w:lineRule="auto"/>
        <w:ind w:firstLine="359" w:firstLineChars="171"/>
        <w:rPr>
          <w:rFonts w:hint="eastAsia" w:hAnsi="宋体"/>
          <w:color w:val="auto"/>
        </w:rPr>
      </w:pPr>
      <w:r>
        <w:rPr>
          <w:rFonts w:hint="eastAsia" w:hAnsi="宋体"/>
          <w:color w:val="auto"/>
        </w:rPr>
        <w:t>12.2 不可抗力事件发生后，应立即通知对方，并寄送有关权威机构出具的证明。</w:t>
      </w:r>
    </w:p>
    <w:p w14:paraId="606F448B">
      <w:pPr>
        <w:pStyle w:val="9"/>
        <w:spacing w:line="360" w:lineRule="auto"/>
        <w:ind w:firstLine="359" w:firstLineChars="171"/>
        <w:rPr>
          <w:rFonts w:hint="eastAsia" w:hAnsi="宋体"/>
          <w:color w:val="auto"/>
        </w:rPr>
      </w:pPr>
      <w:r>
        <w:rPr>
          <w:rFonts w:hint="eastAsia" w:hAnsi="宋体"/>
          <w:color w:val="auto"/>
        </w:rPr>
        <w:t>12.3 不可抗力事件延续120天以上，双方应通过友好协商，确定是否继续履行合同。</w:t>
      </w:r>
    </w:p>
    <w:p w14:paraId="2C0CB294">
      <w:pPr>
        <w:pStyle w:val="9"/>
        <w:spacing w:line="360" w:lineRule="auto"/>
        <w:rPr>
          <w:rFonts w:hint="eastAsia" w:hAnsi="宋体"/>
          <w:b/>
          <w:bCs/>
          <w:color w:val="auto"/>
          <w:sz w:val="24"/>
          <w:szCs w:val="24"/>
        </w:rPr>
      </w:pPr>
      <w:r>
        <w:rPr>
          <w:rFonts w:hint="eastAsia" w:hAnsi="宋体"/>
          <w:b/>
          <w:bCs/>
          <w:color w:val="auto"/>
          <w:sz w:val="24"/>
          <w:szCs w:val="24"/>
        </w:rPr>
        <w:t>13.  诉讼</w:t>
      </w:r>
    </w:p>
    <w:p w14:paraId="67DA3CE1">
      <w:pPr>
        <w:pStyle w:val="9"/>
        <w:tabs>
          <w:tab w:val="left" w:pos="0"/>
        </w:tabs>
        <w:spacing w:line="360" w:lineRule="auto"/>
        <w:ind w:firstLine="359" w:firstLineChars="171"/>
        <w:rPr>
          <w:rFonts w:hint="eastAsia" w:hAnsi="宋体"/>
          <w:color w:val="auto"/>
        </w:rPr>
      </w:pPr>
      <w:r>
        <w:rPr>
          <w:rFonts w:hint="eastAsia" w:hAnsi="宋体"/>
          <w:color w:val="auto"/>
        </w:rPr>
        <w:t>13.1 双方在执行合同中所发生的一切争议，应通过协商解决。如协商不成，可向合同签订地法院起诉，合同签订地在此约定为广西南宁市科园大道18号。</w:t>
      </w:r>
    </w:p>
    <w:p w14:paraId="6A5F9F52">
      <w:pPr>
        <w:pStyle w:val="9"/>
        <w:spacing w:line="360" w:lineRule="auto"/>
        <w:rPr>
          <w:rFonts w:hint="eastAsia" w:hAnsi="宋体" w:eastAsiaTheme="minorEastAsia"/>
          <w:b/>
          <w:bCs/>
          <w:color w:val="auto"/>
          <w:sz w:val="24"/>
          <w:szCs w:val="24"/>
          <w:lang w:val="en-US" w:eastAsia="zh-CN"/>
        </w:rPr>
      </w:pPr>
      <w:r>
        <w:rPr>
          <w:rFonts w:hint="eastAsia" w:hAnsi="宋体"/>
          <w:b/>
          <w:bCs/>
          <w:color w:val="auto"/>
          <w:sz w:val="24"/>
          <w:szCs w:val="24"/>
        </w:rPr>
        <w:t>14.  合同生效及</w:t>
      </w:r>
      <w:r>
        <w:rPr>
          <w:rFonts w:hint="eastAsia" w:hAnsi="宋体"/>
          <w:b/>
          <w:bCs/>
          <w:color w:val="auto"/>
          <w:sz w:val="24"/>
          <w:szCs w:val="24"/>
          <w:lang w:val="en-US" w:eastAsia="zh-CN"/>
        </w:rPr>
        <w:t>其他</w:t>
      </w:r>
    </w:p>
    <w:p w14:paraId="0795D398">
      <w:pPr>
        <w:pStyle w:val="9"/>
        <w:spacing w:line="360" w:lineRule="auto"/>
        <w:ind w:firstLine="360"/>
        <w:rPr>
          <w:rFonts w:hint="eastAsia" w:hAnsi="宋体"/>
          <w:color w:val="auto"/>
        </w:rPr>
      </w:pPr>
      <w:r>
        <w:rPr>
          <w:rFonts w:hint="eastAsia" w:hAnsi="宋体"/>
          <w:color w:val="auto"/>
        </w:rPr>
        <w:t>14.1 合同经双方法定代表人或授权委托代理人签字并加盖单位公章后生效。</w:t>
      </w:r>
    </w:p>
    <w:p w14:paraId="1F683B86">
      <w:pPr>
        <w:pStyle w:val="9"/>
        <w:spacing w:line="360" w:lineRule="auto"/>
        <w:ind w:firstLine="360"/>
        <w:rPr>
          <w:rFonts w:hint="eastAsia" w:hAnsi="宋体"/>
          <w:color w:val="auto"/>
        </w:rPr>
      </w:pPr>
      <w:r>
        <w:rPr>
          <w:rFonts w:hint="eastAsia" w:hAnsi="宋体"/>
          <w:color w:val="auto"/>
        </w:rPr>
        <w:t xml:space="preserve">14.2 </w:t>
      </w:r>
      <w:r>
        <w:rPr>
          <w:rFonts w:hint="eastAsia" w:hAnsi="宋体"/>
          <w:color w:val="auto"/>
          <w:szCs w:val="21"/>
        </w:rPr>
        <w:t>合同执行中涉及采购资金和采购内容修改或补充的，须经甲、乙双方认同，并签订书面补充协议，方可作为主合同不可分割的一部分。</w:t>
      </w:r>
    </w:p>
    <w:p w14:paraId="31BE75B6">
      <w:pPr>
        <w:pStyle w:val="9"/>
        <w:spacing w:line="360" w:lineRule="auto"/>
        <w:ind w:firstLine="360"/>
        <w:rPr>
          <w:rFonts w:hint="eastAsia" w:hAnsi="宋体"/>
          <w:color w:val="auto"/>
        </w:rPr>
      </w:pPr>
      <w:r>
        <w:rPr>
          <w:rFonts w:hint="eastAsia" w:hAnsi="宋体"/>
          <w:color w:val="auto"/>
        </w:rPr>
        <w:t>14.3 下述合同附件为本合同不可分割的部分并与本合同具有同等效力：</w:t>
      </w:r>
    </w:p>
    <w:p w14:paraId="46C36AF5">
      <w:pPr>
        <w:pStyle w:val="9"/>
        <w:spacing w:line="360" w:lineRule="auto"/>
        <w:ind w:firstLine="360"/>
        <w:rPr>
          <w:rFonts w:hint="eastAsia" w:hAnsi="宋体"/>
          <w:color w:val="auto"/>
        </w:rPr>
      </w:pPr>
      <w:r>
        <w:rPr>
          <w:rFonts w:hint="eastAsia" w:hAnsi="宋体"/>
          <w:color w:val="auto"/>
        </w:rPr>
        <w:t>（1）采购结果公告；</w:t>
      </w:r>
    </w:p>
    <w:p w14:paraId="404C60AF">
      <w:pPr>
        <w:pStyle w:val="9"/>
        <w:spacing w:line="360" w:lineRule="auto"/>
        <w:ind w:firstLine="360"/>
        <w:rPr>
          <w:rFonts w:hint="eastAsia" w:hAnsi="宋体"/>
          <w:color w:val="auto"/>
        </w:rPr>
      </w:pPr>
      <w:r>
        <w:rPr>
          <w:rFonts w:hint="eastAsia" w:hAnsi="宋体"/>
          <w:color w:val="auto"/>
        </w:rPr>
        <w:t>（2）采购需求一览表；</w:t>
      </w:r>
    </w:p>
    <w:p w14:paraId="6DE1B8D7">
      <w:pPr>
        <w:pStyle w:val="9"/>
        <w:spacing w:line="360" w:lineRule="auto"/>
        <w:ind w:firstLine="360"/>
        <w:rPr>
          <w:rFonts w:hint="eastAsia" w:hAnsi="宋体"/>
          <w:color w:val="auto"/>
        </w:rPr>
      </w:pPr>
      <w:r>
        <w:rPr>
          <w:rFonts w:hint="eastAsia" w:hAnsi="宋体"/>
          <w:color w:val="auto"/>
        </w:rPr>
        <w:t>（3）投标报价表；</w:t>
      </w:r>
    </w:p>
    <w:p w14:paraId="38EC2C3A">
      <w:pPr>
        <w:pStyle w:val="9"/>
        <w:spacing w:line="360" w:lineRule="auto"/>
        <w:ind w:firstLine="360"/>
        <w:rPr>
          <w:rFonts w:hint="eastAsia" w:hAnsi="宋体"/>
          <w:color w:val="auto"/>
        </w:rPr>
      </w:pPr>
      <w:r>
        <w:rPr>
          <w:rFonts w:hint="eastAsia" w:hAnsi="宋体"/>
          <w:color w:val="auto"/>
        </w:rPr>
        <w:t>（4）</w:t>
      </w:r>
      <w:r>
        <w:rPr>
          <w:rFonts w:hint="eastAsia" w:hAnsi="宋体"/>
          <w:color w:val="auto"/>
          <w:lang w:eastAsia="zh-CN"/>
        </w:rPr>
        <w:t>最终</w:t>
      </w:r>
      <w:r>
        <w:rPr>
          <w:rFonts w:hint="eastAsia" w:hAnsi="宋体"/>
          <w:color w:val="auto"/>
        </w:rPr>
        <w:t>报价表；（如有）</w:t>
      </w:r>
    </w:p>
    <w:p w14:paraId="46290A56">
      <w:pPr>
        <w:pStyle w:val="9"/>
        <w:spacing w:line="360" w:lineRule="auto"/>
        <w:ind w:firstLine="360"/>
        <w:rPr>
          <w:rFonts w:hint="eastAsia" w:hAnsi="宋体"/>
          <w:color w:val="auto"/>
        </w:rPr>
      </w:pPr>
      <w:r>
        <w:rPr>
          <w:rFonts w:hint="eastAsia" w:hAnsi="宋体"/>
          <w:color w:val="auto"/>
        </w:rPr>
        <w:t>（5）响应技术资料表；（如有）</w:t>
      </w:r>
    </w:p>
    <w:p w14:paraId="776C65C2">
      <w:pPr>
        <w:pStyle w:val="9"/>
        <w:spacing w:line="360" w:lineRule="auto"/>
        <w:ind w:firstLine="360"/>
        <w:rPr>
          <w:rFonts w:hint="eastAsia" w:hAnsi="宋体"/>
          <w:color w:val="auto"/>
        </w:rPr>
      </w:pPr>
      <w:r>
        <w:rPr>
          <w:rFonts w:hint="eastAsia" w:hAnsi="宋体"/>
          <w:color w:val="auto"/>
        </w:rPr>
        <w:t>（6）商务条款偏离表（如有）；</w:t>
      </w:r>
    </w:p>
    <w:p w14:paraId="37AA493F">
      <w:pPr>
        <w:pStyle w:val="9"/>
        <w:spacing w:line="360" w:lineRule="auto"/>
        <w:ind w:firstLine="360"/>
        <w:rPr>
          <w:rFonts w:hint="eastAsia" w:hAnsi="宋体"/>
          <w:color w:val="auto"/>
        </w:rPr>
      </w:pPr>
      <w:r>
        <w:rPr>
          <w:rFonts w:hint="eastAsia" w:hAnsi="宋体"/>
          <w:color w:val="auto"/>
        </w:rPr>
        <w:t>（7）其他与本合同相关的资料（如有）。</w:t>
      </w:r>
    </w:p>
    <w:p w14:paraId="40C15DA7">
      <w:pPr>
        <w:pStyle w:val="9"/>
        <w:spacing w:line="360" w:lineRule="auto"/>
        <w:ind w:firstLine="360"/>
        <w:rPr>
          <w:rFonts w:hint="eastAsia" w:hAnsi="宋体"/>
          <w:color w:val="auto"/>
        </w:rPr>
      </w:pPr>
      <w:r>
        <w:rPr>
          <w:rFonts w:hint="eastAsia" w:hAnsi="宋体"/>
          <w:color w:val="auto"/>
        </w:rPr>
        <w:t>14.4 本合同未尽事宜，遵照《中华人民共和国民法典》有关条文执行。</w:t>
      </w:r>
    </w:p>
    <w:p w14:paraId="038062CB">
      <w:pPr>
        <w:pStyle w:val="9"/>
        <w:spacing w:line="360" w:lineRule="auto"/>
        <w:ind w:firstLine="360"/>
        <w:rPr>
          <w:rFonts w:hint="eastAsia" w:hAnsi="宋体"/>
          <w:color w:val="auto"/>
        </w:rPr>
      </w:pPr>
      <w:r>
        <w:rPr>
          <w:rFonts w:hint="eastAsia" w:hAnsi="宋体"/>
          <w:color w:val="auto"/>
        </w:rPr>
        <w:t>14.5本合同一式伍份，具有同等法律效力，甲方三份，乙方二份，自甲乙双方法定代表</w:t>
      </w:r>
      <w:r>
        <w:rPr>
          <w:rFonts w:hint="eastAsia" w:hAnsi="宋体"/>
          <w:color w:val="auto"/>
          <w:lang w:val="en-US" w:eastAsia="zh-CN"/>
        </w:rPr>
        <w:t>人</w:t>
      </w:r>
      <w:r>
        <w:rPr>
          <w:rFonts w:hint="eastAsia" w:hAnsi="宋体"/>
          <w:color w:val="auto"/>
        </w:rPr>
        <w:t xml:space="preserve">或被授权代表人签字并加盖单位公章后正式生效。 </w:t>
      </w:r>
    </w:p>
    <w:p w14:paraId="388B0EAA">
      <w:pPr>
        <w:pStyle w:val="3"/>
        <w:numPr>
          <w:ilvl w:val="3"/>
          <w:numId w:val="0"/>
        </w:numPr>
        <w:ind w:left="1077" w:leftChars="0"/>
        <w:rPr>
          <w:rFonts w:hint="eastAsia"/>
        </w:rPr>
      </w:pPr>
    </w:p>
    <w:p w14:paraId="4A9EE3C0">
      <w:pPr>
        <w:pStyle w:val="15"/>
        <w:ind w:left="0" w:leftChars="0" w:firstLine="0" w:firstLineChars="0"/>
        <w:rPr>
          <w:rFonts w:hint="eastAsia"/>
        </w:rPr>
      </w:pPr>
    </w:p>
    <w:p w14:paraId="67C2473B">
      <w:pPr>
        <w:rPr>
          <w:rFonts w:hint="eastAsia" w:hAnsi="宋体"/>
          <w:color w:val="auto"/>
        </w:rPr>
      </w:pPr>
    </w:p>
    <w:p w14:paraId="65B63E8F">
      <w:pPr>
        <w:rPr>
          <w:rFonts w:hint="eastAsia" w:hAnsi="宋体"/>
          <w:color w:val="auto"/>
        </w:rPr>
      </w:pPr>
    </w:p>
    <w:p w14:paraId="3948B1C0">
      <w:pPr>
        <w:rPr>
          <w:rFonts w:hint="eastAsia" w:hAnsi="宋体"/>
          <w:color w:val="auto"/>
        </w:rPr>
      </w:pPr>
    </w:p>
    <w:p w14:paraId="30A0622D">
      <w:pPr>
        <w:rPr>
          <w:rFonts w:hint="eastAsia" w:hAnsi="宋体"/>
          <w:color w:val="auto"/>
        </w:rPr>
      </w:pPr>
    </w:p>
    <w:p w14:paraId="0C17619C">
      <w:pPr>
        <w:rPr>
          <w:rFonts w:hint="eastAsia" w:hAnsi="宋体"/>
          <w:color w:val="auto"/>
        </w:rPr>
      </w:pPr>
    </w:p>
    <w:p w14:paraId="6B234645">
      <w:pPr>
        <w:rPr>
          <w:rFonts w:hint="eastAsia" w:hAnsi="宋体"/>
          <w:color w:val="auto"/>
        </w:rPr>
      </w:pPr>
    </w:p>
    <w:p w14:paraId="7EB40F7E">
      <w:pPr>
        <w:pStyle w:val="9"/>
        <w:spacing w:line="360" w:lineRule="auto"/>
        <w:ind w:firstLine="360"/>
        <w:jc w:val="center"/>
        <w:rPr>
          <w:rFonts w:hint="eastAsia" w:hAnsi="宋体" w:eastAsiaTheme="minorEastAsia"/>
          <w:color w:val="auto"/>
          <w:lang w:eastAsia="zh-CN"/>
        </w:rPr>
      </w:pPr>
      <w:r>
        <w:rPr>
          <w:rFonts w:hint="eastAsia" w:hAnsi="宋体"/>
          <w:color w:val="auto"/>
          <w:lang w:eastAsia="zh-CN"/>
        </w:rPr>
        <w:t>（</w:t>
      </w:r>
      <w:r>
        <w:rPr>
          <w:rFonts w:hint="eastAsia" w:hAnsi="宋体"/>
          <w:color w:val="auto"/>
          <w:lang w:val="en-US" w:eastAsia="zh-CN"/>
        </w:rPr>
        <w:t>本页为签章页，以下无正文</w:t>
      </w:r>
      <w:r>
        <w:rPr>
          <w:rFonts w:hint="eastAsia" w:hAnsi="宋体"/>
          <w:color w:val="auto"/>
          <w:lang w:eastAsia="zh-CN"/>
        </w:rPr>
        <w:t>）</w:t>
      </w:r>
    </w:p>
    <w:p w14:paraId="003578C1">
      <w:pPr>
        <w:pStyle w:val="3"/>
        <w:numPr>
          <w:ilvl w:val="3"/>
          <w:numId w:val="0"/>
        </w:numPr>
        <w:ind w:left="1077" w:leftChars="0"/>
        <w:rPr>
          <w:rFonts w:hint="eastAsia"/>
        </w:rPr>
      </w:pPr>
    </w:p>
    <w:p w14:paraId="67E7F6F3">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甲方：</w:t>
      </w:r>
      <w:r>
        <w:rPr>
          <w:rFonts w:hint="eastAsia" w:ascii="宋体" w:hAnsi="宋体" w:cs="宋体"/>
          <w:color w:val="auto"/>
          <w:szCs w:val="20"/>
          <w:u w:val="single"/>
        </w:rPr>
        <w:t xml:space="preserve"> 南宁中心血站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乙方：</w:t>
      </w:r>
      <w:r>
        <w:rPr>
          <w:rFonts w:hint="eastAsia" w:ascii="宋体" w:hAnsi="宋体" w:cs="宋体"/>
          <w:color w:val="auto"/>
          <w:szCs w:val="20"/>
          <w:u w:val="single"/>
          <w:lang w:val="en-US" w:eastAsia="zh-CN"/>
        </w:rPr>
        <w:t xml:space="preserve">                                       </w:t>
      </w:r>
    </w:p>
    <w:p w14:paraId="673AD17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7EA5687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21A5D73F">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2716AEBE">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2C1E1C4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35345288">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255D506C">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2D0E9F6">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45711C50">
      <w:pPr>
        <w:spacing w:line="360" w:lineRule="auto"/>
        <w:rPr>
          <w:rFonts w:hint="default" w:ascii="宋体" w:hAnsi="宋体" w:eastAsia="宋体" w:cs="宋体"/>
          <w:color w:val="auto"/>
          <w:szCs w:val="20"/>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7858500F">
      <w:pPr>
        <w:spacing w:line="360" w:lineRule="auto"/>
        <w:rPr>
          <w:rFonts w:ascii="宋体" w:hAnsi="宋体" w:cs="宋体"/>
          <w:color w:val="auto"/>
          <w:szCs w:val="20"/>
        </w:rPr>
      </w:pPr>
    </w:p>
    <w:p w14:paraId="2685ED67">
      <w:pPr>
        <w:spacing w:line="360" w:lineRule="auto"/>
        <w:rPr>
          <w:rFonts w:ascii="宋体" w:hAnsi="宋体" w:cs="宋体"/>
          <w:color w:val="auto"/>
          <w:szCs w:val="20"/>
        </w:rPr>
      </w:pPr>
      <w:r>
        <w:rPr>
          <w:rFonts w:hint="eastAsia" w:ascii="宋体" w:hAnsi="宋体" w:cs="宋体"/>
          <w:color w:val="auto"/>
          <w:szCs w:val="20"/>
        </w:rPr>
        <w:t>合同签订地点：广西南宁市科园大道18号</w:t>
      </w:r>
    </w:p>
    <w:p w14:paraId="470AA34D">
      <w:pPr>
        <w:spacing w:line="360" w:lineRule="auto"/>
        <w:rPr>
          <w:rFonts w:hint="eastAsia" w:ascii="宋体" w:hAnsi="宋体"/>
          <w:color w:val="auto"/>
          <w:kern w:val="44"/>
          <w:sz w:val="44"/>
          <w:szCs w:val="44"/>
        </w:rPr>
      </w:pPr>
      <w:r>
        <w:rPr>
          <w:rFonts w:hint="eastAsia" w:ascii="宋体" w:hAnsi="宋体" w:cs="宋体"/>
          <w:color w:val="auto"/>
          <w:szCs w:val="20"/>
        </w:rPr>
        <w:t>合同签订日期：</w:t>
      </w:r>
      <w:r>
        <w:rPr>
          <w:rFonts w:hint="eastAsia" w:ascii="宋体" w:hAnsi="宋体" w:cs="宋体"/>
          <w:color w:val="auto"/>
          <w:szCs w:val="20"/>
          <w:lang w:val="en-US" w:eastAsia="zh-CN"/>
        </w:rPr>
        <w:t xml:space="preserve">   </w:t>
      </w:r>
      <w:r>
        <w:rPr>
          <w:rFonts w:hint="eastAsia" w:ascii="宋体" w:hAnsi="宋体" w:cs="宋体"/>
          <w:color w:val="auto"/>
          <w:szCs w:val="20"/>
        </w:rPr>
        <w:t>年</w:t>
      </w:r>
      <w:r>
        <w:rPr>
          <w:rFonts w:hint="eastAsia" w:ascii="宋体" w:hAnsi="宋体" w:cs="宋体"/>
          <w:color w:val="auto"/>
          <w:szCs w:val="20"/>
          <w:lang w:val="en-US" w:eastAsia="zh-CN"/>
        </w:rPr>
        <w:t xml:space="preserve">   </w:t>
      </w:r>
      <w:r>
        <w:rPr>
          <w:rFonts w:hint="eastAsia" w:ascii="宋体" w:hAnsi="宋体" w:cs="宋体"/>
          <w:color w:val="auto"/>
          <w:szCs w:val="20"/>
        </w:rPr>
        <w:t>月</w:t>
      </w:r>
      <w:r>
        <w:rPr>
          <w:rFonts w:hint="eastAsia" w:ascii="宋体" w:hAnsi="宋体" w:cs="宋体"/>
          <w:color w:val="auto"/>
          <w:szCs w:val="20"/>
          <w:lang w:val="en-US" w:eastAsia="zh-CN"/>
        </w:rPr>
        <w:t xml:space="preserve">   </w:t>
      </w:r>
      <w:r>
        <w:rPr>
          <w:rFonts w:hint="eastAsia" w:ascii="宋体" w:hAnsi="宋体" w:cs="宋体"/>
          <w:color w:val="auto"/>
          <w:szCs w:val="20"/>
        </w:rPr>
        <w:t>日</w:t>
      </w:r>
    </w:p>
    <w:p w14:paraId="4819BB63">
      <w:pPr>
        <w:spacing w:line="560" w:lineRule="exact"/>
        <w:jc w:val="left"/>
        <w:rPr>
          <w:rFonts w:asciiTheme="minorEastAsia" w:hAnsiTheme="minorEastAsia" w:cstheme="majorEastAsia"/>
          <w:bCs/>
          <w:color w:val="000000"/>
          <w:sz w:val="28"/>
          <w:szCs w:val="28"/>
        </w:rPr>
      </w:pPr>
    </w:p>
    <w:p w14:paraId="54F2D2D1">
      <w:pPr>
        <w:pStyle w:val="15"/>
        <w:spacing w:line="20" w:lineRule="exact"/>
        <w:ind w:firstLine="0" w:firstLineChars="0"/>
      </w:pPr>
    </w:p>
    <w:p w14:paraId="706CB127">
      <w:pPr>
        <w:spacing w:line="360" w:lineRule="auto"/>
        <w:rPr>
          <w:rFonts w:hint="eastAsia" w:ascii="宋体" w:hAnsi="宋体" w:cs="宋体"/>
          <w:szCs w:val="20"/>
        </w:rPr>
      </w:pPr>
    </w:p>
    <w:sectPr>
      <w:pgSz w:w="11906" w:h="16838"/>
      <w:pgMar w:top="1984"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CC02F58-401A-468B-890E-F3D4200CCDDC}"/>
  </w:font>
  <w:font w:name="Courier New">
    <w:panose1 w:val="02070309020205020404"/>
    <w:charset w:val="01"/>
    <w:family w:val="modern"/>
    <w:pitch w:val="default"/>
    <w:sig w:usb0="E0002EFF" w:usb1="C0007843" w:usb2="00000009" w:usb3="00000000" w:csb0="400001FF" w:csb1="FFFF0000"/>
    <w:embedRegular r:id="rId2" w:fontKey="{BF31B095-A005-44D1-B7A3-1CFA47981C5B}"/>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126DB680-02C1-4928-83F4-DEE078FFA177}"/>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script"/>
    <w:pitch w:val="default"/>
    <w:sig w:usb0="00000001" w:usb1="080E0000" w:usb2="00000000" w:usb3="00000000" w:csb0="00040000" w:csb1="00000000"/>
    <w:embedRegular r:id="rId4" w:fontKey="{F68E55F3-CC8B-4FAD-8912-A1595FBCA18B}"/>
  </w:font>
  <w:font w:name="仿宋_GB2312">
    <w:panose1 w:val="02010609030101010101"/>
    <w:charset w:val="86"/>
    <w:family w:val="modern"/>
    <w:pitch w:val="default"/>
    <w:sig w:usb0="00000001" w:usb1="080E0000" w:usb2="00000000" w:usb3="00000000" w:csb0="00040000" w:csb1="00000000"/>
    <w:embedRegular r:id="rId5" w:fontKey="{E58FD69E-DAEE-4794-82CF-7B625D0A2161}"/>
  </w:font>
  <w:font w:name="方正楷体_GB2312">
    <w:panose1 w:val="02000000000000000000"/>
    <w:charset w:val="86"/>
    <w:family w:val="auto"/>
    <w:pitch w:val="default"/>
    <w:sig w:usb0="A00002BF" w:usb1="184F6CFA" w:usb2="00000012" w:usb3="00000000" w:csb0="00040001" w:csb1="00000000"/>
    <w:embedRegular r:id="rId6" w:fontKey="{2C175FFD-463D-4614-90D1-8F1A94A1BC63}"/>
  </w:font>
  <w:font w:name="仿宋">
    <w:panose1 w:val="02010609060101010101"/>
    <w:charset w:val="86"/>
    <w:family w:val="modern"/>
    <w:pitch w:val="default"/>
    <w:sig w:usb0="800002BF" w:usb1="38CF7CFA" w:usb2="00000016" w:usb3="00000000" w:csb0="00040001" w:csb1="00000000"/>
    <w:embedRegular r:id="rId7" w:fontKey="{D962C61A-18E9-483D-BAE7-BA32F2EB9141}"/>
  </w:font>
  <w:font w:name="Wingdings 2">
    <w:panose1 w:val="05020102010507070707"/>
    <w:charset w:val="02"/>
    <w:family w:val="roman"/>
    <w:pitch w:val="default"/>
    <w:sig w:usb0="00000000" w:usb1="00000000" w:usb2="00000000" w:usb3="00000000" w:csb0="80000000" w:csb1="00000000"/>
    <w:embedRegular r:id="rId8" w:fontKey="{B3743342-7C51-4F16-AFB5-D809B33F097E}"/>
  </w:font>
  <w:font w:name="方正公文小标宋">
    <w:panose1 w:val="02000500000000000000"/>
    <w:charset w:val="86"/>
    <w:family w:val="auto"/>
    <w:pitch w:val="default"/>
    <w:sig w:usb0="A00002BF" w:usb1="38CF7CFA" w:usb2="00000016" w:usb3="00000000" w:csb0="00040001" w:csb1="00000000"/>
    <w:embedRegular r:id="rId9" w:fontKey="{3907F56F-B03D-4492-9AEA-029CACB7EED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86A0F9">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8653D0">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C8653D0">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3"/>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1">
    <w:nsid w:val="24E0DC2F"/>
    <w:multiLevelType w:val="singleLevel"/>
    <w:tmpl w:val="24E0DC2F"/>
    <w:lvl w:ilvl="0" w:tentative="0">
      <w:start w:val="1"/>
      <w:numFmt w:val="chineseCounting"/>
      <w:suff w:val="nothing"/>
      <w:lvlText w:val="%1、"/>
      <w:lvlJc w:val="left"/>
      <w:rPr>
        <w:rFonts w:hint="eastAsia"/>
      </w:rPr>
    </w:lvl>
  </w:abstractNum>
  <w:abstractNum w:abstractNumId="2">
    <w:nsid w:val="255A1C74"/>
    <w:multiLevelType w:val="multilevel"/>
    <w:tmpl w:val="255A1C74"/>
    <w:lvl w:ilvl="0" w:tentative="0">
      <w:start w:val="1"/>
      <w:numFmt w:val="decimal"/>
      <w:lvlText w:val="%1、"/>
      <w:lvlJc w:val="left"/>
      <w:pPr>
        <w:tabs>
          <w:tab w:val="left" w:pos="972"/>
        </w:tabs>
        <w:ind w:left="1320" w:hanging="564"/>
      </w:pPr>
      <w:rPr>
        <w:rFonts w:hint="eastAsia"/>
      </w:rPr>
    </w:lvl>
    <w:lvl w:ilvl="1" w:tentative="0">
      <w:start w:val="1"/>
      <w:numFmt w:val="lowerLetter"/>
      <w:lvlText w:val="%2."/>
      <w:lvlJc w:val="left"/>
      <w:pPr>
        <w:tabs>
          <w:tab w:val="left" w:pos="1980"/>
        </w:tabs>
        <w:ind w:left="1980" w:hanging="360"/>
      </w:pPr>
    </w:lvl>
    <w:lvl w:ilvl="2" w:tentative="0">
      <w:start w:val="1"/>
      <w:numFmt w:val="lowerRoman"/>
      <w:lvlText w:val="%3."/>
      <w:lvlJc w:val="right"/>
      <w:pPr>
        <w:tabs>
          <w:tab w:val="left" w:pos="2700"/>
        </w:tabs>
        <w:ind w:left="2700" w:hanging="180"/>
      </w:pPr>
    </w:lvl>
    <w:lvl w:ilvl="3" w:tentative="0">
      <w:start w:val="1"/>
      <w:numFmt w:val="decimal"/>
      <w:lvlText w:val="%4."/>
      <w:lvlJc w:val="left"/>
      <w:pPr>
        <w:tabs>
          <w:tab w:val="left" w:pos="3420"/>
        </w:tabs>
        <w:ind w:left="3420" w:hanging="360"/>
      </w:pPr>
    </w:lvl>
    <w:lvl w:ilvl="4" w:tentative="0">
      <w:start w:val="1"/>
      <w:numFmt w:val="lowerLetter"/>
      <w:lvlText w:val="%5."/>
      <w:lvlJc w:val="left"/>
      <w:pPr>
        <w:tabs>
          <w:tab w:val="left" w:pos="4140"/>
        </w:tabs>
        <w:ind w:left="4140" w:hanging="360"/>
      </w:pPr>
    </w:lvl>
    <w:lvl w:ilvl="5" w:tentative="0">
      <w:start w:val="1"/>
      <w:numFmt w:val="lowerRoman"/>
      <w:lvlText w:val="%6."/>
      <w:lvlJc w:val="right"/>
      <w:pPr>
        <w:tabs>
          <w:tab w:val="left" w:pos="4860"/>
        </w:tabs>
        <w:ind w:left="4860" w:hanging="180"/>
      </w:pPr>
    </w:lvl>
    <w:lvl w:ilvl="6" w:tentative="0">
      <w:start w:val="1"/>
      <w:numFmt w:val="decimal"/>
      <w:lvlText w:val="%7."/>
      <w:lvlJc w:val="left"/>
      <w:pPr>
        <w:tabs>
          <w:tab w:val="left" w:pos="5580"/>
        </w:tabs>
        <w:ind w:left="5580" w:hanging="360"/>
      </w:pPr>
    </w:lvl>
    <w:lvl w:ilvl="7" w:tentative="0">
      <w:start w:val="1"/>
      <w:numFmt w:val="lowerLetter"/>
      <w:lvlText w:val="%8."/>
      <w:lvlJc w:val="left"/>
      <w:pPr>
        <w:tabs>
          <w:tab w:val="left" w:pos="6300"/>
        </w:tabs>
        <w:ind w:left="6300" w:hanging="360"/>
      </w:pPr>
    </w:lvl>
    <w:lvl w:ilvl="8" w:tentative="0">
      <w:start w:val="1"/>
      <w:numFmt w:val="lowerRoman"/>
      <w:lvlText w:val="%9."/>
      <w:lvlJc w:val="right"/>
      <w:pPr>
        <w:tabs>
          <w:tab w:val="left" w:pos="7020"/>
        </w:tabs>
        <w:ind w:left="7020" w:hanging="180"/>
      </w:pPr>
    </w:lvl>
  </w:abstractNum>
  <w:abstractNum w:abstractNumId="3">
    <w:nsid w:val="47E37507"/>
    <w:multiLevelType w:val="singleLevel"/>
    <w:tmpl w:val="47E37507"/>
    <w:lvl w:ilvl="0" w:tentative="0">
      <w:start w:val="1"/>
      <w:numFmt w:val="chineseCounting"/>
      <w:suff w:val="nothing"/>
      <w:lvlText w:val="%1、"/>
      <w:lvlJc w:val="left"/>
      <w:rPr>
        <w:rFonts w:hint="eastAsia"/>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0361C27"/>
    <w:rsid w:val="00002D24"/>
    <w:rsid w:val="00021ECE"/>
    <w:rsid w:val="00027D13"/>
    <w:rsid w:val="00034C4E"/>
    <w:rsid w:val="00067A57"/>
    <w:rsid w:val="0007535A"/>
    <w:rsid w:val="0008154B"/>
    <w:rsid w:val="00091B53"/>
    <w:rsid w:val="000A002F"/>
    <w:rsid w:val="000B2BE2"/>
    <w:rsid w:val="000C5756"/>
    <w:rsid w:val="000C650B"/>
    <w:rsid w:val="000D1655"/>
    <w:rsid w:val="000D41D6"/>
    <w:rsid w:val="000E76E1"/>
    <w:rsid w:val="000F29C9"/>
    <w:rsid w:val="000F405C"/>
    <w:rsid w:val="001148FE"/>
    <w:rsid w:val="0012520A"/>
    <w:rsid w:val="00133ABC"/>
    <w:rsid w:val="001437F0"/>
    <w:rsid w:val="00143A2F"/>
    <w:rsid w:val="00146E5E"/>
    <w:rsid w:val="00154B1E"/>
    <w:rsid w:val="00157EB0"/>
    <w:rsid w:val="00162EAA"/>
    <w:rsid w:val="001717CA"/>
    <w:rsid w:val="001718BB"/>
    <w:rsid w:val="00190509"/>
    <w:rsid w:val="00192943"/>
    <w:rsid w:val="001A5E1E"/>
    <w:rsid w:val="001A68BA"/>
    <w:rsid w:val="001C0AD6"/>
    <w:rsid w:val="001C7400"/>
    <w:rsid w:val="001E777D"/>
    <w:rsid w:val="001F1678"/>
    <w:rsid w:val="001F1E7D"/>
    <w:rsid w:val="001F4A33"/>
    <w:rsid w:val="001F592A"/>
    <w:rsid w:val="00212898"/>
    <w:rsid w:val="00212E94"/>
    <w:rsid w:val="00224A06"/>
    <w:rsid w:val="00231CE4"/>
    <w:rsid w:val="00234B2F"/>
    <w:rsid w:val="00240C76"/>
    <w:rsid w:val="00243952"/>
    <w:rsid w:val="0026242A"/>
    <w:rsid w:val="002755D2"/>
    <w:rsid w:val="00292189"/>
    <w:rsid w:val="00294FD7"/>
    <w:rsid w:val="002A0F77"/>
    <w:rsid w:val="002A36E7"/>
    <w:rsid w:val="002A3E79"/>
    <w:rsid w:val="002A5B7F"/>
    <w:rsid w:val="002D3024"/>
    <w:rsid w:val="00304867"/>
    <w:rsid w:val="003207DA"/>
    <w:rsid w:val="00325556"/>
    <w:rsid w:val="003369DF"/>
    <w:rsid w:val="00340451"/>
    <w:rsid w:val="00361C27"/>
    <w:rsid w:val="00363F76"/>
    <w:rsid w:val="0036448D"/>
    <w:rsid w:val="0038754F"/>
    <w:rsid w:val="00387BF7"/>
    <w:rsid w:val="0039576C"/>
    <w:rsid w:val="00395A67"/>
    <w:rsid w:val="003A4AF7"/>
    <w:rsid w:val="003A6562"/>
    <w:rsid w:val="003B7608"/>
    <w:rsid w:val="003D2C5E"/>
    <w:rsid w:val="003D435A"/>
    <w:rsid w:val="003E7925"/>
    <w:rsid w:val="003F06E2"/>
    <w:rsid w:val="003F4D19"/>
    <w:rsid w:val="004022EA"/>
    <w:rsid w:val="00421714"/>
    <w:rsid w:val="0044338D"/>
    <w:rsid w:val="0046322D"/>
    <w:rsid w:val="0047605B"/>
    <w:rsid w:val="00480FDC"/>
    <w:rsid w:val="004A08E4"/>
    <w:rsid w:val="004A363D"/>
    <w:rsid w:val="004B1FA3"/>
    <w:rsid w:val="004C670E"/>
    <w:rsid w:val="004C6851"/>
    <w:rsid w:val="004D0607"/>
    <w:rsid w:val="004D3650"/>
    <w:rsid w:val="004E6F6D"/>
    <w:rsid w:val="004F7348"/>
    <w:rsid w:val="00504642"/>
    <w:rsid w:val="005133E7"/>
    <w:rsid w:val="00513E68"/>
    <w:rsid w:val="00516838"/>
    <w:rsid w:val="00534810"/>
    <w:rsid w:val="00544782"/>
    <w:rsid w:val="00544ABD"/>
    <w:rsid w:val="0055765F"/>
    <w:rsid w:val="00562656"/>
    <w:rsid w:val="00565ACF"/>
    <w:rsid w:val="0057536C"/>
    <w:rsid w:val="005813E5"/>
    <w:rsid w:val="005A343E"/>
    <w:rsid w:val="005B6067"/>
    <w:rsid w:val="005C034B"/>
    <w:rsid w:val="005C076E"/>
    <w:rsid w:val="005C12E9"/>
    <w:rsid w:val="005C58E0"/>
    <w:rsid w:val="005D39CA"/>
    <w:rsid w:val="005F23C7"/>
    <w:rsid w:val="005F5CAF"/>
    <w:rsid w:val="006054EA"/>
    <w:rsid w:val="00627D22"/>
    <w:rsid w:val="00650FDF"/>
    <w:rsid w:val="006556E4"/>
    <w:rsid w:val="006718E4"/>
    <w:rsid w:val="00681FDE"/>
    <w:rsid w:val="00695402"/>
    <w:rsid w:val="006C6B87"/>
    <w:rsid w:val="006D3C87"/>
    <w:rsid w:val="006D753D"/>
    <w:rsid w:val="006E7D06"/>
    <w:rsid w:val="006F3132"/>
    <w:rsid w:val="006F71F3"/>
    <w:rsid w:val="00702511"/>
    <w:rsid w:val="00727FD2"/>
    <w:rsid w:val="00733DF9"/>
    <w:rsid w:val="00744E03"/>
    <w:rsid w:val="00745B74"/>
    <w:rsid w:val="00746073"/>
    <w:rsid w:val="00751E8A"/>
    <w:rsid w:val="0076572A"/>
    <w:rsid w:val="0077458A"/>
    <w:rsid w:val="00787E82"/>
    <w:rsid w:val="007977A1"/>
    <w:rsid w:val="00797843"/>
    <w:rsid w:val="007C202C"/>
    <w:rsid w:val="007C740B"/>
    <w:rsid w:val="007D3E67"/>
    <w:rsid w:val="007D63F5"/>
    <w:rsid w:val="007E50C3"/>
    <w:rsid w:val="007F2210"/>
    <w:rsid w:val="00824FB9"/>
    <w:rsid w:val="0084597D"/>
    <w:rsid w:val="008539CD"/>
    <w:rsid w:val="00856C88"/>
    <w:rsid w:val="00860767"/>
    <w:rsid w:val="00867438"/>
    <w:rsid w:val="00875BD8"/>
    <w:rsid w:val="00876471"/>
    <w:rsid w:val="0087661F"/>
    <w:rsid w:val="0089704F"/>
    <w:rsid w:val="008A512E"/>
    <w:rsid w:val="008B2FBD"/>
    <w:rsid w:val="008C285D"/>
    <w:rsid w:val="008D1DCD"/>
    <w:rsid w:val="008E15FD"/>
    <w:rsid w:val="008E4851"/>
    <w:rsid w:val="00910266"/>
    <w:rsid w:val="009115CD"/>
    <w:rsid w:val="009179EB"/>
    <w:rsid w:val="00917EE0"/>
    <w:rsid w:val="009208DC"/>
    <w:rsid w:val="00922F85"/>
    <w:rsid w:val="009279BB"/>
    <w:rsid w:val="00943281"/>
    <w:rsid w:val="00953280"/>
    <w:rsid w:val="00971270"/>
    <w:rsid w:val="009812C1"/>
    <w:rsid w:val="00981A92"/>
    <w:rsid w:val="00985904"/>
    <w:rsid w:val="00991FE5"/>
    <w:rsid w:val="00993A59"/>
    <w:rsid w:val="009B7AD5"/>
    <w:rsid w:val="009D0C8E"/>
    <w:rsid w:val="009F54EA"/>
    <w:rsid w:val="00A05E6E"/>
    <w:rsid w:val="00A201A3"/>
    <w:rsid w:val="00A3780E"/>
    <w:rsid w:val="00A50774"/>
    <w:rsid w:val="00A566FD"/>
    <w:rsid w:val="00A67EEF"/>
    <w:rsid w:val="00A877AA"/>
    <w:rsid w:val="00AD280C"/>
    <w:rsid w:val="00AE1283"/>
    <w:rsid w:val="00AE5F6A"/>
    <w:rsid w:val="00AE65DF"/>
    <w:rsid w:val="00AF5D00"/>
    <w:rsid w:val="00AF69B6"/>
    <w:rsid w:val="00B117C9"/>
    <w:rsid w:val="00B442F1"/>
    <w:rsid w:val="00B82681"/>
    <w:rsid w:val="00B94CA8"/>
    <w:rsid w:val="00BA7230"/>
    <w:rsid w:val="00BB21E4"/>
    <w:rsid w:val="00BC145A"/>
    <w:rsid w:val="00BC48C6"/>
    <w:rsid w:val="00BE5741"/>
    <w:rsid w:val="00BF012E"/>
    <w:rsid w:val="00BF42D0"/>
    <w:rsid w:val="00C25B5A"/>
    <w:rsid w:val="00C30396"/>
    <w:rsid w:val="00C3164E"/>
    <w:rsid w:val="00C50B6B"/>
    <w:rsid w:val="00C7292A"/>
    <w:rsid w:val="00C84615"/>
    <w:rsid w:val="00CA5DC5"/>
    <w:rsid w:val="00CC6596"/>
    <w:rsid w:val="00CD1DE2"/>
    <w:rsid w:val="00CD1FFF"/>
    <w:rsid w:val="00CD3AF1"/>
    <w:rsid w:val="00CD468B"/>
    <w:rsid w:val="00CD719C"/>
    <w:rsid w:val="00CE2108"/>
    <w:rsid w:val="00CE2509"/>
    <w:rsid w:val="00D01B77"/>
    <w:rsid w:val="00D02B7C"/>
    <w:rsid w:val="00D21AE9"/>
    <w:rsid w:val="00D25FC6"/>
    <w:rsid w:val="00D26B84"/>
    <w:rsid w:val="00D35EEC"/>
    <w:rsid w:val="00D45113"/>
    <w:rsid w:val="00D60822"/>
    <w:rsid w:val="00D61B33"/>
    <w:rsid w:val="00D63EAF"/>
    <w:rsid w:val="00D86FA3"/>
    <w:rsid w:val="00D872DB"/>
    <w:rsid w:val="00D919E8"/>
    <w:rsid w:val="00DA079B"/>
    <w:rsid w:val="00DA385A"/>
    <w:rsid w:val="00DC4F7D"/>
    <w:rsid w:val="00DD6004"/>
    <w:rsid w:val="00DD61BF"/>
    <w:rsid w:val="00DE1BE7"/>
    <w:rsid w:val="00DE7F00"/>
    <w:rsid w:val="00E4332F"/>
    <w:rsid w:val="00E47C65"/>
    <w:rsid w:val="00E51A62"/>
    <w:rsid w:val="00E633E4"/>
    <w:rsid w:val="00E64DF3"/>
    <w:rsid w:val="00E725FC"/>
    <w:rsid w:val="00E747A8"/>
    <w:rsid w:val="00E9286E"/>
    <w:rsid w:val="00EB611A"/>
    <w:rsid w:val="00EB68E2"/>
    <w:rsid w:val="00EC31E1"/>
    <w:rsid w:val="00ED5561"/>
    <w:rsid w:val="00F03096"/>
    <w:rsid w:val="00F04616"/>
    <w:rsid w:val="00F06B2B"/>
    <w:rsid w:val="00F248D4"/>
    <w:rsid w:val="00F64EB8"/>
    <w:rsid w:val="00F71E79"/>
    <w:rsid w:val="00F90DCE"/>
    <w:rsid w:val="00F91F14"/>
    <w:rsid w:val="00F921FB"/>
    <w:rsid w:val="00F96A21"/>
    <w:rsid w:val="00FA2E18"/>
    <w:rsid w:val="00FB3B95"/>
    <w:rsid w:val="00FD0A1A"/>
    <w:rsid w:val="01372215"/>
    <w:rsid w:val="01A624F4"/>
    <w:rsid w:val="01D470D9"/>
    <w:rsid w:val="01F51D32"/>
    <w:rsid w:val="020E2058"/>
    <w:rsid w:val="02632077"/>
    <w:rsid w:val="026B1259"/>
    <w:rsid w:val="02A974D3"/>
    <w:rsid w:val="02D74B40"/>
    <w:rsid w:val="02DE5ECF"/>
    <w:rsid w:val="02E806FA"/>
    <w:rsid w:val="02F15A46"/>
    <w:rsid w:val="031B2C7F"/>
    <w:rsid w:val="03246B1E"/>
    <w:rsid w:val="035006F1"/>
    <w:rsid w:val="0350496E"/>
    <w:rsid w:val="03667C72"/>
    <w:rsid w:val="03670C57"/>
    <w:rsid w:val="03937D91"/>
    <w:rsid w:val="03CD16B1"/>
    <w:rsid w:val="041A76C5"/>
    <w:rsid w:val="04581029"/>
    <w:rsid w:val="045A587C"/>
    <w:rsid w:val="046C750A"/>
    <w:rsid w:val="047A748A"/>
    <w:rsid w:val="04CB5FDF"/>
    <w:rsid w:val="04DC0CC3"/>
    <w:rsid w:val="04E92909"/>
    <w:rsid w:val="05040F0B"/>
    <w:rsid w:val="05154836"/>
    <w:rsid w:val="05171224"/>
    <w:rsid w:val="05244B6E"/>
    <w:rsid w:val="053F54D7"/>
    <w:rsid w:val="059A4101"/>
    <w:rsid w:val="0617096E"/>
    <w:rsid w:val="06A16DBF"/>
    <w:rsid w:val="06F046AA"/>
    <w:rsid w:val="079D6B68"/>
    <w:rsid w:val="07D85F5F"/>
    <w:rsid w:val="07F4660F"/>
    <w:rsid w:val="07FE5BFD"/>
    <w:rsid w:val="08517143"/>
    <w:rsid w:val="087A48E9"/>
    <w:rsid w:val="088F7924"/>
    <w:rsid w:val="08DF3E55"/>
    <w:rsid w:val="0969578F"/>
    <w:rsid w:val="09E76B80"/>
    <w:rsid w:val="09FF6A5C"/>
    <w:rsid w:val="0A1D1456"/>
    <w:rsid w:val="0A297281"/>
    <w:rsid w:val="0ABB2FF3"/>
    <w:rsid w:val="0ADD32F7"/>
    <w:rsid w:val="0B0D4766"/>
    <w:rsid w:val="0B656E1E"/>
    <w:rsid w:val="0B7911B3"/>
    <w:rsid w:val="0B7E2AA7"/>
    <w:rsid w:val="0B8C52CE"/>
    <w:rsid w:val="0BC81D9A"/>
    <w:rsid w:val="0C0A5403"/>
    <w:rsid w:val="0C145497"/>
    <w:rsid w:val="0C7C5885"/>
    <w:rsid w:val="0D005685"/>
    <w:rsid w:val="0D814026"/>
    <w:rsid w:val="0D8E229F"/>
    <w:rsid w:val="0D941D88"/>
    <w:rsid w:val="0DBF3613"/>
    <w:rsid w:val="0DC81C4F"/>
    <w:rsid w:val="0E332FB4"/>
    <w:rsid w:val="0E5536E0"/>
    <w:rsid w:val="0E9E654C"/>
    <w:rsid w:val="0EA24D69"/>
    <w:rsid w:val="0ED7095E"/>
    <w:rsid w:val="0F2E5AE8"/>
    <w:rsid w:val="0F5F2F14"/>
    <w:rsid w:val="0FB30C37"/>
    <w:rsid w:val="0FD20B69"/>
    <w:rsid w:val="0FD21EE4"/>
    <w:rsid w:val="0FF451BB"/>
    <w:rsid w:val="102551DF"/>
    <w:rsid w:val="104B2BA1"/>
    <w:rsid w:val="10D74B39"/>
    <w:rsid w:val="10DF458E"/>
    <w:rsid w:val="10E1375F"/>
    <w:rsid w:val="10E8616A"/>
    <w:rsid w:val="1125116C"/>
    <w:rsid w:val="113373E5"/>
    <w:rsid w:val="11511160"/>
    <w:rsid w:val="115630D4"/>
    <w:rsid w:val="1187380C"/>
    <w:rsid w:val="1194486F"/>
    <w:rsid w:val="11972D06"/>
    <w:rsid w:val="11BD2408"/>
    <w:rsid w:val="11C92BA2"/>
    <w:rsid w:val="11CB1987"/>
    <w:rsid w:val="12114284"/>
    <w:rsid w:val="123E43E9"/>
    <w:rsid w:val="12844F29"/>
    <w:rsid w:val="12C67FE1"/>
    <w:rsid w:val="12DE7825"/>
    <w:rsid w:val="12E01980"/>
    <w:rsid w:val="130E3DC3"/>
    <w:rsid w:val="13347F43"/>
    <w:rsid w:val="13543637"/>
    <w:rsid w:val="13741F37"/>
    <w:rsid w:val="139070DD"/>
    <w:rsid w:val="139338A7"/>
    <w:rsid w:val="139850E7"/>
    <w:rsid w:val="13A33E9F"/>
    <w:rsid w:val="13DA74F1"/>
    <w:rsid w:val="14102564"/>
    <w:rsid w:val="142B17DF"/>
    <w:rsid w:val="146B7026"/>
    <w:rsid w:val="14BA45BB"/>
    <w:rsid w:val="14DC1B42"/>
    <w:rsid w:val="151745AB"/>
    <w:rsid w:val="154655BD"/>
    <w:rsid w:val="15BD2B90"/>
    <w:rsid w:val="15C70948"/>
    <w:rsid w:val="15D77522"/>
    <w:rsid w:val="15FF01DE"/>
    <w:rsid w:val="16022C53"/>
    <w:rsid w:val="161D23BF"/>
    <w:rsid w:val="162709B2"/>
    <w:rsid w:val="16903A7A"/>
    <w:rsid w:val="16921052"/>
    <w:rsid w:val="16F969DB"/>
    <w:rsid w:val="1753022F"/>
    <w:rsid w:val="177D1728"/>
    <w:rsid w:val="177D28D5"/>
    <w:rsid w:val="1788408B"/>
    <w:rsid w:val="17F57F84"/>
    <w:rsid w:val="183910FF"/>
    <w:rsid w:val="18504D21"/>
    <w:rsid w:val="18887C44"/>
    <w:rsid w:val="188B1885"/>
    <w:rsid w:val="18A92683"/>
    <w:rsid w:val="18E14677"/>
    <w:rsid w:val="18ED07C2"/>
    <w:rsid w:val="191044B0"/>
    <w:rsid w:val="195C05B5"/>
    <w:rsid w:val="196579A2"/>
    <w:rsid w:val="19A5109C"/>
    <w:rsid w:val="1A6D6D72"/>
    <w:rsid w:val="1A73374A"/>
    <w:rsid w:val="1ABF25B6"/>
    <w:rsid w:val="1AC403B5"/>
    <w:rsid w:val="1B1F4E7E"/>
    <w:rsid w:val="1B2F36F2"/>
    <w:rsid w:val="1B4C386F"/>
    <w:rsid w:val="1B5C39DD"/>
    <w:rsid w:val="1B95631D"/>
    <w:rsid w:val="1B9C027D"/>
    <w:rsid w:val="1C113A23"/>
    <w:rsid w:val="1C1D13BE"/>
    <w:rsid w:val="1C2B264C"/>
    <w:rsid w:val="1C38291A"/>
    <w:rsid w:val="1C503A5A"/>
    <w:rsid w:val="1C542780"/>
    <w:rsid w:val="1C6D2B10"/>
    <w:rsid w:val="1C7C120B"/>
    <w:rsid w:val="1C890801"/>
    <w:rsid w:val="1C9D2311"/>
    <w:rsid w:val="1CFD0F69"/>
    <w:rsid w:val="1D0C3E45"/>
    <w:rsid w:val="1D1B7434"/>
    <w:rsid w:val="1D5A2E72"/>
    <w:rsid w:val="1D962FA8"/>
    <w:rsid w:val="1DC26C8C"/>
    <w:rsid w:val="1DC675CC"/>
    <w:rsid w:val="1DC834EA"/>
    <w:rsid w:val="1E0740D4"/>
    <w:rsid w:val="1E3319FB"/>
    <w:rsid w:val="1E4569AA"/>
    <w:rsid w:val="1E4824ED"/>
    <w:rsid w:val="1E4914A3"/>
    <w:rsid w:val="1E6848B0"/>
    <w:rsid w:val="1E6E680E"/>
    <w:rsid w:val="1EC97AD9"/>
    <w:rsid w:val="1EFF2D4C"/>
    <w:rsid w:val="1F1858FC"/>
    <w:rsid w:val="1F1E6A99"/>
    <w:rsid w:val="1F5E41C7"/>
    <w:rsid w:val="1F666BD8"/>
    <w:rsid w:val="1FF231B2"/>
    <w:rsid w:val="1FF631C1"/>
    <w:rsid w:val="2010322E"/>
    <w:rsid w:val="20152C0F"/>
    <w:rsid w:val="2090095A"/>
    <w:rsid w:val="20A603C6"/>
    <w:rsid w:val="20EC5803"/>
    <w:rsid w:val="213F1C3D"/>
    <w:rsid w:val="214F70D2"/>
    <w:rsid w:val="21644C81"/>
    <w:rsid w:val="21C857E4"/>
    <w:rsid w:val="21DC7625"/>
    <w:rsid w:val="21E1316F"/>
    <w:rsid w:val="22794E74"/>
    <w:rsid w:val="22B42A6A"/>
    <w:rsid w:val="22C81958"/>
    <w:rsid w:val="22DC5488"/>
    <w:rsid w:val="2311742A"/>
    <w:rsid w:val="23251A24"/>
    <w:rsid w:val="238E7993"/>
    <w:rsid w:val="23DF7159"/>
    <w:rsid w:val="24617CAD"/>
    <w:rsid w:val="24645B79"/>
    <w:rsid w:val="24880C9A"/>
    <w:rsid w:val="24C95406"/>
    <w:rsid w:val="24EE7D9B"/>
    <w:rsid w:val="24FA0878"/>
    <w:rsid w:val="24FF1C6C"/>
    <w:rsid w:val="24FF6C02"/>
    <w:rsid w:val="25030284"/>
    <w:rsid w:val="256D244F"/>
    <w:rsid w:val="25CD5AD7"/>
    <w:rsid w:val="26494DC5"/>
    <w:rsid w:val="266D6866"/>
    <w:rsid w:val="267159D3"/>
    <w:rsid w:val="267E65C1"/>
    <w:rsid w:val="26881050"/>
    <w:rsid w:val="26AA04BC"/>
    <w:rsid w:val="26BA5D64"/>
    <w:rsid w:val="26BC58A5"/>
    <w:rsid w:val="26FD3D8F"/>
    <w:rsid w:val="271355A6"/>
    <w:rsid w:val="272922EB"/>
    <w:rsid w:val="27392E24"/>
    <w:rsid w:val="27400126"/>
    <w:rsid w:val="27464BE9"/>
    <w:rsid w:val="2758774E"/>
    <w:rsid w:val="276F4634"/>
    <w:rsid w:val="279F66E3"/>
    <w:rsid w:val="27A52987"/>
    <w:rsid w:val="27D77D5F"/>
    <w:rsid w:val="28447105"/>
    <w:rsid w:val="2859006F"/>
    <w:rsid w:val="2860321B"/>
    <w:rsid w:val="289077B9"/>
    <w:rsid w:val="28B6263A"/>
    <w:rsid w:val="291F631C"/>
    <w:rsid w:val="293A3A09"/>
    <w:rsid w:val="29415831"/>
    <w:rsid w:val="294361DC"/>
    <w:rsid w:val="296800D0"/>
    <w:rsid w:val="29693E94"/>
    <w:rsid w:val="29C23F50"/>
    <w:rsid w:val="29D8769C"/>
    <w:rsid w:val="2A3A75DF"/>
    <w:rsid w:val="2A6C4441"/>
    <w:rsid w:val="2A8820F8"/>
    <w:rsid w:val="2A9B5BE2"/>
    <w:rsid w:val="2AB663E9"/>
    <w:rsid w:val="2AB90C12"/>
    <w:rsid w:val="2AE74A41"/>
    <w:rsid w:val="2B253DEB"/>
    <w:rsid w:val="2B852ADC"/>
    <w:rsid w:val="2BAB4636"/>
    <w:rsid w:val="2BEE5268"/>
    <w:rsid w:val="2BF57C61"/>
    <w:rsid w:val="2C195BCB"/>
    <w:rsid w:val="2C5E66B5"/>
    <w:rsid w:val="2C752B50"/>
    <w:rsid w:val="2C78619D"/>
    <w:rsid w:val="2CA30E6B"/>
    <w:rsid w:val="2CBF5B79"/>
    <w:rsid w:val="2CED0939"/>
    <w:rsid w:val="2CF73FB5"/>
    <w:rsid w:val="2D0932DF"/>
    <w:rsid w:val="2D29300D"/>
    <w:rsid w:val="2D7E5110"/>
    <w:rsid w:val="2DAC4EEC"/>
    <w:rsid w:val="2DED3D91"/>
    <w:rsid w:val="2E162111"/>
    <w:rsid w:val="2E620CC5"/>
    <w:rsid w:val="2E8E24A9"/>
    <w:rsid w:val="2E921785"/>
    <w:rsid w:val="2EB504F2"/>
    <w:rsid w:val="2EB76AF9"/>
    <w:rsid w:val="2ED93970"/>
    <w:rsid w:val="2F4A332F"/>
    <w:rsid w:val="2F5729E1"/>
    <w:rsid w:val="2F995907"/>
    <w:rsid w:val="2FC917E4"/>
    <w:rsid w:val="302C14D5"/>
    <w:rsid w:val="3030748C"/>
    <w:rsid w:val="306A5B0E"/>
    <w:rsid w:val="30BC19C5"/>
    <w:rsid w:val="30E12A45"/>
    <w:rsid w:val="311A5A74"/>
    <w:rsid w:val="311F752F"/>
    <w:rsid w:val="31312D61"/>
    <w:rsid w:val="31456D1C"/>
    <w:rsid w:val="31682C84"/>
    <w:rsid w:val="31693B1A"/>
    <w:rsid w:val="31DE6E0A"/>
    <w:rsid w:val="31F33C12"/>
    <w:rsid w:val="32142EBD"/>
    <w:rsid w:val="32361724"/>
    <w:rsid w:val="32A86C88"/>
    <w:rsid w:val="33000FC6"/>
    <w:rsid w:val="33686B58"/>
    <w:rsid w:val="33A721F2"/>
    <w:rsid w:val="33AE3B69"/>
    <w:rsid w:val="33B91743"/>
    <w:rsid w:val="33F14F1D"/>
    <w:rsid w:val="33F86541"/>
    <w:rsid w:val="340D0E15"/>
    <w:rsid w:val="34266DEB"/>
    <w:rsid w:val="34711E4F"/>
    <w:rsid w:val="34806536"/>
    <w:rsid w:val="348A3F25"/>
    <w:rsid w:val="34B9486E"/>
    <w:rsid w:val="34E026DF"/>
    <w:rsid w:val="35111533"/>
    <w:rsid w:val="35234768"/>
    <w:rsid w:val="35236581"/>
    <w:rsid w:val="35337105"/>
    <w:rsid w:val="35577297"/>
    <w:rsid w:val="358B393B"/>
    <w:rsid w:val="35935DF5"/>
    <w:rsid w:val="35AD02FE"/>
    <w:rsid w:val="35B23444"/>
    <w:rsid w:val="35C3060D"/>
    <w:rsid w:val="35C40737"/>
    <w:rsid w:val="35C74EAB"/>
    <w:rsid w:val="35CA2F0A"/>
    <w:rsid w:val="36323860"/>
    <w:rsid w:val="36A35BB0"/>
    <w:rsid w:val="36C10068"/>
    <w:rsid w:val="36D443E2"/>
    <w:rsid w:val="37645C9B"/>
    <w:rsid w:val="37772B57"/>
    <w:rsid w:val="380D6333"/>
    <w:rsid w:val="382A1CD8"/>
    <w:rsid w:val="38545D10"/>
    <w:rsid w:val="38575800"/>
    <w:rsid w:val="388C54AA"/>
    <w:rsid w:val="389E09C9"/>
    <w:rsid w:val="38B26D9C"/>
    <w:rsid w:val="38C869B0"/>
    <w:rsid w:val="38DD5D05"/>
    <w:rsid w:val="38E946AA"/>
    <w:rsid w:val="38FB3B56"/>
    <w:rsid w:val="3905525C"/>
    <w:rsid w:val="390B7A49"/>
    <w:rsid w:val="39254A49"/>
    <w:rsid w:val="39356855"/>
    <w:rsid w:val="398B39B3"/>
    <w:rsid w:val="39F2111A"/>
    <w:rsid w:val="39F66A32"/>
    <w:rsid w:val="3A155D47"/>
    <w:rsid w:val="3A2C2CB0"/>
    <w:rsid w:val="3A387C06"/>
    <w:rsid w:val="3A43428E"/>
    <w:rsid w:val="3A9A358A"/>
    <w:rsid w:val="3AB72586"/>
    <w:rsid w:val="3AC75726"/>
    <w:rsid w:val="3BF55114"/>
    <w:rsid w:val="3C2F0C5E"/>
    <w:rsid w:val="3C333B48"/>
    <w:rsid w:val="3C8D3860"/>
    <w:rsid w:val="3D04058B"/>
    <w:rsid w:val="3D104D56"/>
    <w:rsid w:val="3D670293"/>
    <w:rsid w:val="3DC96590"/>
    <w:rsid w:val="3E014B14"/>
    <w:rsid w:val="3E03620E"/>
    <w:rsid w:val="3E4C2C27"/>
    <w:rsid w:val="3E6F5651"/>
    <w:rsid w:val="3E8B02D7"/>
    <w:rsid w:val="3EC14DCA"/>
    <w:rsid w:val="3ED41958"/>
    <w:rsid w:val="3EDF7B5A"/>
    <w:rsid w:val="3EF757D7"/>
    <w:rsid w:val="3F2D1E50"/>
    <w:rsid w:val="3F440652"/>
    <w:rsid w:val="3F794BDA"/>
    <w:rsid w:val="3F7A4F0B"/>
    <w:rsid w:val="3F965F54"/>
    <w:rsid w:val="3FC0099F"/>
    <w:rsid w:val="400D263F"/>
    <w:rsid w:val="405E2277"/>
    <w:rsid w:val="407F4960"/>
    <w:rsid w:val="41230FA5"/>
    <w:rsid w:val="41431D95"/>
    <w:rsid w:val="41455C40"/>
    <w:rsid w:val="4158794C"/>
    <w:rsid w:val="41627B2C"/>
    <w:rsid w:val="41663E6F"/>
    <w:rsid w:val="416C5E78"/>
    <w:rsid w:val="417116E0"/>
    <w:rsid w:val="41717D14"/>
    <w:rsid w:val="4172430C"/>
    <w:rsid w:val="41727207"/>
    <w:rsid w:val="41D81760"/>
    <w:rsid w:val="41F15C61"/>
    <w:rsid w:val="42305EFC"/>
    <w:rsid w:val="42660F50"/>
    <w:rsid w:val="42C615B8"/>
    <w:rsid w:val="43494258"/>
    <w:rsid w:val="437E1E93"/>
    <w:rsid w:val="43B13AD6"/>
    <w:rsid w:val="43EF4389"/>
    <w:rsid w:val="43F43B7B"/>
    <w:rsid w:val="44147E9F"/>
    <w:rsid w:val="44297AA0"/>
    <w:rsid w:val="44373865"/>
    <w:rsid w:val="444D69AF"/>
    <w:rsid w:val="4464567D"/>
    <w:rsid w:val="44942BEF"/>
    <w:rsid w:val="449C6A74"/>
    <w:rsid w:val="44B03FAB"/>
    <w:rsid w:val="452B1BA6"/>
    <w:rsid w:val="454C2B49"/>
    <w:rsid w:val="45520F19"/>
    <w:rsid w:val="455677C8"/>
    <w:rsid w:val="456B4699"/>
    <w:rsid w:val="457E261E"/>
    <w:rsid w:val="45AB5750"/>
    <w:rsid w:val="45D636A5"/>
    <w:rsid w:val="45E5444B"/>
    <w:rsid w:val="45EF323D"/>
    <w:rsid w:val="46BB51AC"/>
    <w:rsid w:val="46E22750"/>
    <w:rsid w:val="47846BA6"/>
    <w:rsid w:val="47CF0F0F"/>
    <w:rsid w:val="47D51828"/>
    <w:rsid w:val="481767EB"/>
    <w:rsid w:val="48883FAF"/>
    <w:rsid w:val="488F0A4A"/>
    <w:rsid w:val="48945CC6"/>
    <w:rsid w:val="48A76385"/>
    <w:rsid w:val="48E7672C"/>
    <w:rsid w:val="49191E17"/>
    <w:rsid w:val="49575660"/>
    <w:rsid w:val="495E2059"/>
    <w:rsid w:val="49CF5B75"/>
    <w:rsid w:val="49DE5B2D"/>
    <w:rsid w:val="4A2E27D8"/>
    <w:rsid w:val="4A7E40B9"/>
    <w:rsid w:val="4AEA7D65"/>
    <w:rsid w:val="4B1E1BA1"/>
    <w:rsid w:val="4B49241A"/>
    <w:rsid w:val="4B4D185C"/>
    <w:rsid w:val="4B6319EC"/>
    <w:rsid w:val="4B7122DD"/>
    <w:rsid w:val="4BBE19C6"/>
    <w:rsid w:val="4BE930B0"/>
    <w:rsid w:val="4BEB6533"/>
    <w:rsid w:val="4BF47196"/>
    <w:rsid w:val="4C2B177F"/>
    <w:rsid w:val="4C2D1481"/>
    <w:rsid w:val="4C3B7B90"/>
    <w:rsid w:val="4CBF59F6"/>
    <w:rsid w:val="4D0072CE"/>
    <w:rsid w:val="4D5D520F"/>
    <w:rsid w:val="4D730311"/>
    <w:rsid w:val="4D7A7B6F"/>
    <w:rsid w:val="4DA66096"/>
    <w:rsid w:val="4DAE7A67"/>
    <w:rsid w:val="4DD12584"/>
    <w:rsid w:val="4DF267BC"/>
    <w:rsid w:val="4E1E0CF6"/>
    <w:rsid w:val="4E451EC7"/>
    <w:rsid w:val="4E59059B"/>
    <w:rsid w:val="4E8B3EC9"/>
    <w:rsid w:val="4F0B33B8"/>
    <w:rsid w:val="4F226EFA"/>
    <w:rsid w:val="4FC41575"/>
    <w:rsid w:val="4FEE5FA1"/>
    <w:rsid w:val="50193ABF"/>
    <w:rsid w:val="50510201"/>
    <w:rsid w:val="508825A3"/>
    <w:rsid w:val="50901C87"/>
    <w:rsid w:val="5099641F"/>
    <w:rsid w:val="50FB6207"/>
    <w:rsid w:val="51043273"/>
    <w:rsid w:val="511030CC"/>
    <w:rsid w:val="513B7615"/>
    <w:rsid w:val="51491D32"/>
    <w:rsid w:val="518D5DB3"/>
    <w:rsid w:val="52024C0D"/>
    <w:rsid w:val="52163191"/>
    <w:rsid w:val="52291CD0"/>
    <w:rsid w:val="526F3A1A"/>
    <w:rsid w:val="539011C5"/>
    <w:rsid w:val="53DA23BC"/>
    <w:rsid w:val="53E126F6"/>
    <w:rsid w:val="53E47AF0"/>
    <w:rsid w:val="53EA4849"/>
    <w:rsid w:val="54077FBB"/>
    <w:rsid w:val="541C5F97"/>
    <w:rsid w:val="54714A29"/>
    <w:rsid w:val="5471519A"/>
    <w:rsid w:val="547C2BFD"/>
    <w:rsid w:val="549E6845"/>
    <w:rsid w:val="54B36A7C"/>
    <w:rsid w:val="54D45FAA"/>
    <w:rsid w:val="54DA4BDE"/>
    <w:rsid w:val="5522237F"/>
    <w:rsid w:val="55401A79"/>
    <w:rsid w:val="55731FB9"/>
    <w:rsid w:val="557F387D"/>
    <w:rsid w:val="55A46E76"/>
    <w:rsid w:val="55B160F8"/>
    <w:rsid w:val="55C7438A"/>
    <w:rsid w:val="55D56177"/>
    <w:rsid w:val="55D87E1A"/>
    <w:rsid w:val="56113965"/>
    <w:rsid w:val="56151782"/>
    <w:rsid w:val="56A428C2"/>
    <w:rsid w:val="56B440F1"/>
    <w:rsid w:val="56B676A3"/>
    <w:rsid w:val="56B73A2E"/>
    <w:rsid w:val="56EF79E4"/>
    <w:rsid w:val="5708799A"/>
    <w:rsid w:val="5741332F"/>
    <w:rsid w:val="5745560C"/>
    <w:rsid w:val="5755554B"/>
    <w:rsid w:val="57671164"/>
    <w:rsid w:val="57672F12"/>
    <w:rsid w:val="57835872"/>
    <w:rsid w:val="57BB14B0"/>
    <w:rsid w:val="57C4203E"/>
    <w:rsid w:val="57DA6BCA"/>
    <w:rsid w:val="57FA41E6"/>
    <w:rsid w:val="587A07F0"/>
    <w:rsid w:val="58B629CB"/>
    <w:rsid w:val="58D320AE"/>
    <w:rsid w:val="58EA047D"/>
    <w:rsid w:val="592F4D5F"/>
    <w:rsid w:val="59401951"/>
    <w:rsid w:val="59480DA1"/>
    <w:rsid w:val="59733AB5"/>
    <w:rsid w:val="59DB7BE7"/>
    <w:rsid w:val="5A77311A"/>
    <w:rsid w:val="5A7A7400"/>
    <w:rsid w:val="5A8F4244"/>
    <w:rsid w:val="5AF7029F"/>
    <w:rsid w:val="5B2D3245"/>
    <w:rsid w:val="5B71396D"/>
    <w:rsid w:val="5C7900C1"/>
    <w:rsid w:val="5C81097C"/>
    <w:rsid w:val="5CA00C74"/>
    <w:rsid w:val="5CF31EC3"/>
    <w:rsid w:val="5D3F5F0C"/>
    <w:rsid w:val="5D7F2EDC"/>
    <w:rsid w:val="5DFB7A90"/>
    <w:rsid w:val="5E2F405E"/>
    <w:rsid w:val="5E9F14BD"/>
    <w:rsid w:val="5EDC4F8F"/>
    <w:rsid w:val="5EF977BF"/>
    <w:rsid w:val="5F2F64F9"/>
    <w:rsid w:val="5F364BDB"/>
    <w:rsid w:val="5F443AD7"/>
    <w:rsid w:val="5F477B6F"/>
    <w:rsid w:val="5F4F45A2"/>
    <w:rsid w:val="60010D30"/>
    <w:rsid w:val="60474DFD"/>
    <w:rsid w:val="60536776"/>
    <w:rsid w:val="60884935"/>
    <w:rsid w:val="60B462BD"/>
    <w:rsid w:val="60DD4F0B"/>
    <w:rsid w:val="60F25ABA"/>
    <w:rsid w:val="61AB0A72"/>
    <w:rsid w:val="61C36FD5"/>
    <w:rsid w:val="61F52ED8"/>
    <w:rsid w:val="620A1E35"/>
    <w:rsid w:val="6213192F"/>
    <w:rsid w:val="6219585B"/>
    <w:rsid w:val="624C1682"/>
    <w:rsid w:val="625C2438"/>
    <w:rsid w:val="629C7DFC"/>
    <w:rsid w:val="62A15DCF"/>
    <w:rsid w:val="63267838"/>
    <w:rsid w:val="63957059"/>
    <w:rsid w:val="643F0D73"/>
    <w:rsid w:val="644222A4"/>
    <w:rsid w:val="64C33752"/>
    <w:rsid w:val="64C61FC9"/>
    <w:rsid w:val="64FF6ADE"/>
    <w:rsid w:val="652345F2"/>
    <w:rsid w:val="652F2B95"/>
    <w:rsid w:val="65301DE2"/>
    <w:rsid w:val="65577601"/>
    <w:rsid w:val="65F07FB2"/>
    <w:rsid w:val="6603185C"/>
    <w:rsid w:val="667523D3"/>
    <w:rsid w:val="66DE69DC"/>
    <w:rsid w:val="66F31915"/>
    <w:rsid w:val="670A59BA"/>
    <w:rsid w:val="67303132"/>
    <w:rsid w:val="67335085"/>
    <w:rsid w:val="674A2C89"/>
    <w:rsid w:val="676D4252"/>
    <w:rsid w:val="68304FEE"/>
    <w:rsid w:val="686B0388"/>
    <w:rsid w:val="68BA4E6C"/>
    <w:rsid w:val="6901784A"/>
    <w:rsid w:val="690507DD"/>
    <w:rsid w:val="69183607"/>
    <w:rsid w:val="69AB56A9"/>
    <w:rsid w:val="69C60B52"/>
    <w:rsid w:val="69F37718"/>
    <w:rsid w:val="69F61ED3"/>
    <w:rsid w:val="6A0A3D2C"/>
    <w:rsid w:val="6A2D62D3"/>
    <w:rsid w:val="6A380729"/>
    <w:rsid w:val="6A5C1C9E"/>
    <w:rsid w:val="6A7A6FA8"/>
    <w:rsid w:val="6AAC4779"/>
    <w:rsid w:val="6ABA5991"/>
    <w:rsid w:val="6AC63F9C"/>
    <w:rsid w:val="6AE65E85"/>
    <w:rsid w:val="6B126460"/>
    <w:rsid w:val="6B2C59DC"/>
    <w:rsid w:val="6B2C7671"/>
    <w:rsid w:val="6B311A3F"/>
    <w:rsid w:val="6B4F21E3"/>
    <w:rsid w:val="6B84180A"/>
    <w:rsid w:val="6BCE135A"/>
    <w:rsid w:val="6BE16838"/>
    <w:rsid w:val="6C1903D8"/>
    <w:rsid w:val="6CBC34EB"/>
    <w:rsid w:val="6DBC48D5"/>
    <w:rsid w:val="6DF31972"/>
    <w:rsid w:val="6E562C0C"/>
    <w:rsid w:val="6E584F24"/>
    <w:rsid w:val="6E8B3D8C"/>
    <w:rsid w:val="6E9A3183"/>
    <w:rsid w:val="6EF736ED"/>
    <w:rsid w:val="6F002F61"/>
    <w:rsid w:val="6F15104E"/>
    <w:rsid w:val="6F2240AE"/>
    <w:rsid w:val="6F661837"/>
    <w:rsid w:val="6F781DDD"/>
    <w:rsid w:val="6F8D5088"/>
    <w:rsid w:val="6FD04699"/>
    <w:rsid w:val="7030084F"/>
    <w:rsid w:val="703B4AE4"/>
    <w:rsid w:val="70422316"/>
    <w:rsid w:val="705360AF"/>
    <w:rsid w:val="70A629C6"/>
    <w:rsid w:val="70ED2282"/>
    <w:rsid w:val="713F23B2"/>
    <w:rsid w:val="71596F70"/>
    <w:rsid w:val="716E0241"/>
    <w:rsid w:val="718A5132"/>
    <w:rsid w:val="71931439"/>
    <w:rsid w:val="71A92322"/>
    <w:rsid w:val="71BD7A27"/>
    <w:rsid w:val="71C45AEE"/>
    <w:rsid w:val="71C86016"/>
    <w:rsid w:val="71CD28BF"/>
    <w:rsid w:val="71E01592"/>
    <w:rsid w:val="7258197D"/>
    <w:rsid w:val="726C367A"/>
    <w:rsid w:val="72763141"/>
    <w:rsid w:val="72796DF2"/>
    <w:rsid w:val="7280413D"/>
    <w:rsid w:val="72844B72"/>
    <w:rsid w:val="732B5B1E"/>
    <w:rsid w:val="732C6966"/>
    <w:rsid w:val="733358DA"/>
    <w:rsid w:val="73D73024"/>
    <w:rsid w:val="73ED2AB0"/>
    <w:rsid w:val="73F25E01"/>
    <w:rsid w:val="73F767F1"/>
    <w:rsid w:val="742C1037"/>
    <w:rsid w:val="743A6279"/>
    <w:rsid w:val="745C607B"/>
    <w:rsid w:val="74602789"/>
    <w:rsid w:val="746C5BB4"/>
    <w:rsid w:val="74974BA2"/>
    <w:rsid w:val="74D774D1"/>
    <w:rsid w:val="75045486"/>
    <w:rsid w:val="75925C60"/>
    <w:rsid w:val="75CC2D87"/>
    <w:rsid w:val="75DF65E3"/>
    <w:rsid w:val="769F401E"/>
    <w:rsid w:val="76EA516E"/>
    <w:rsid w:val="770248CF"/>
    <w:rsid w:val="77602701"/>
    <w:rsid w:val="77DC0063"/>
    <w:rsid w:val="77F64F8C"/>
    <w:rsid w:val="784309DA"/>
    <w:rsid w:val="7877401B"/>
    <w:rsid w:val="78BD69DE"/>
    <w:rsid w:val="78CC1807"/>
    <w:rsid w:val="792579EC"/>
    <w:rsid w:val="793B3B86"/>
    <w:rsid w:val="799139C7"/>
    <w:rsid w:val="7A19098A"/>
    <w:rsid w:val="7AA33F4E"/>
    <w:rsid w:val="7AAD6DF1"/>
    <w:rsid w:val="7AEB24C7"/>
    <w:rsid w:val="7B1F73F5"/>
    <w:rsid w:val="7B253D77"/>
    <w:rsid w:val="7B430CF1"/>
    <w:rsid w:val="7B580C40"/>
    <w:rsid w:val="7B5E6224"/>
    <w:rsid w:val="7BAA2038"/>
    <w:rsid w:val="7C1867F4"/>
    <w:rsid w:val="7C4223E5"/>
    <w:rsid w:val="7C812D3F"/>
    <w:rsid w:val="7C814B0C"/>
    <w:rsid w:val="7C966D8E"/>
    <w:rsid w:val="7CB41EA6"/>
    <w:rsid w:val="7CB73744"/>
    <w:rsid w:val="7D1A5C1D"/>
    <w:rsid w:val="7D3C10E7"/>
    <w:rsid w:val="7D4E5E48"/>
    <w:rsid w:val="7D9D65DA"/>
    <w:rsid w:val="7DA21751"/>
    <w:rsid w:val="7DB051E5"/>
    <w:rsid w:val="7DBF4FA6"/>
    <w:rsid w:val="7E413C0D"/>
    <w:rsid w:val="7E916D01"/>
    <w:rsid w:val="7E93587C"/>
    <w:rsid w:val="7EBE0089"/>
    <w:rsid w:val="7EE36A72"/>
    <w:rsid w:val="7EF976A3"/>
    <w:rsid w:val="7EFF5D5B"/>
    <w:rsid w:val="7F340F47"/>
    <w:rsid w:val="7F4219EB"/>
    <w:rsid w:val="7F54171E"/>
    <w:rsid w:val="7F742B5C"/>
    <w:rsid w:val="7F9C129C"/>
    <w:rsid w:val="7FC44A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iPriority="99" w:name="Date"/>
    <w:lsdException w:qFormat="1" w:unhideWhenUsed="0" w:uiPriority="0" w:semiHidden="0" w:name="Body Text First Indent"/>
    <w:lsdException w:qFormat="1"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4"/>
    <w:basedOn w:val="1"/>
    <w:next w:val="1"/>
    <w:link w:val="29"/>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26"/>
    <w:unhideWhenUsed/>
    <w:qFormat/>
    <w:uiPriority w:val="0"/>
    <w:pPr>
      <w:tabs>
        <w:tab w:val="center" w:pos="4153"/>
        <w:tab w:val="right" w:pos="8306"/>
      </w:tabs>
      <w:snapToGrid w:val="0"/>
      <w:jc w:val="left"/>
    </w:pPr>
    <w:rPr>
      <w:rFonts w:ascii="Calibri" w:hAnsi="Calibri" w:eastAsia="宋体" w:cs="Times New Roman"/>
      <w:sz w:val="18"/>
      <w:szCs w:val="18"/>
    </w:rPr>
  </w:style>
  <w:style w:type="paragraph" w:styleId="4">
    <w:name w:val="Normal Indent"/>
    <w:basedOn w:val="1"/>
    <w:qFormat/>
    <w:uiPriority w:val="0"/>
    <w:pPr>
      <w:ind w:firstLine="420"/>
    </w:pPr>
    <w:rPr>
      <w:szCs w:val="20"/>
    </w:rPr>
  </w:style>
  <w:style w:type="paragraph" w:styleId="5">
    <w:name w:val="annotation text"/>
    <w:basedOn w:val="1"/>
    <w:link w:val="27"/>
    <w:qFormat/>
    <w:uiPriority w:val="0"/>
    <w:pPr>
      <w:jc w:val="left"/>
    </w:pPr>
    <w:rPr>
      <w:rFonts w:ascii="Calibri" w:hAnsi="Calibri" w:eastAsia="宋体" w:cs="Times New Roman"/>
    </w:rPr>
  </w:style>
  <w:style w:type="paragraph" w:styleId="6">
    <w:name w:val="Body Text"/>
    <w:basedOn w:val="1"/>
    <w:next w:val="1"/>
    <w:link w:val="23"/>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7">
    <w:name w:val="Body Text Indent"/>
    <w:basedOn w:val="1"/>
    <w:next w:val="8"/>
    <w:link w:val="32"/>
    <w:semiHidden/>
    <w:unhideWhenUsed/>
    <w:qFormat/>
    <w:uiPriority w:val="99"/>
    <w:pPr>
      <w:spacing w:after="120"/>
      <w:ind w:left="420" w:leftChars="200"/>
    </w:pPr>
  </w:style>
  <w:style w:type="paragraph" w:styleId="8">
    <w:name w:val="envelope return"/>
    <w:basedOn w:val="1"/>
    <w:qFormat/>
    <w:uiPriority w:val="0"/>
    <w:pPr>
      <w:snapToGrid w:val="0"/>
    </w:pPr>
    <w:rPr>
      <w:rFonts w:ascii="Arial" w:hAnsi="Arial" w:eastAsia="宋体" w:cs="Times New Roman"/>
    </w:rPr>
  </w:style>
  <w:style w:type="paragraph" w:styleId="9">
    <w:name w:val="Plain Text"/>
    <w:basedOn w:val="1"/>
    <w:next w:val="3"/>
    <w:link w:val="25"/>
    <w:unhideWhenUsed/>
    <w:qFormat/>
    <w:uiPriority w:val="0"/>
    <w:rPr>
      <w:rFonts w:ascii="宋体" w:hAnsi="Courier New" w:eastAsia="宋体" w:cs="Times New Roman"/>
      <w:szCs w:val="20"/>
    </w:rPr>
  </w:style>
  <w:style w:type="paragraph" w:styleId="10">
    <w:name w:val="Date"/>
    <w:basedOn w:val="1"/>
    <w:next w:val="1"/>
    <w:link w:val="34"/>
    <w:semiHidden/>
    <w:unhideWhenUsed/>
    <w:qFormat/>
    <w:uiPriority w:val="99"/>
    <w:pPr>
      <w:ind w:left="100" w:leftChars="2500"/>
    </w:pPr>
  </w:style>
  <w:style w:type="paragraph" w:styleId="11">
    <w:name w:val="Balloon Text"/>
    <w:basedOn w:val="1"/>
    <w:link w:val="28"/>
    <w:semiHidden/>
    <w:unhideWhenUsed/>
    <w:qFormat/>
    <w:uiPriority w:val="99"/>
    <w:rPr>
      <w:sz w:val="18"/>
      <w:szCs w:val="18"/>
    </w:rPr>
  </w:style>
  <w:style w:type="paragraph" w:styleId="12">
    <w:name w:val="header"/>
    <w:basedOn w:val="1"/>
    <w:link w:val="37"/>
    <w:unhideWhenUsed/>
    <w:qFormat/>
    <w:uiPriority w:val="99"/>
    <w:pPr>
      <w:pBdr>
        <w:bottom w:val="single" w:color="auto" w:sz="6" w:space="1"/>
      </w:pBdr>
      <w:tabs>
        <w:tab w:val="center" w:pos="4153"/>
        <w:tab w:val="right" w:pos="8306"/>
      </w:tabs>
      <w:snapToGrid w:val="0"/>
      <w:jc w:val="center"/>
    </w:pPr>
    <w:rPr>
      <w:sz w:val="18"/>
      <w:szCs w:val="18"/>
    </w:rPr>
  </w:style>
  <w:style w:type="paragraph" w:styleId="13">
    <w:name w:val="Subtitle"/>
    <w:basedOn w:val="1"/>
    <w:next w:val="1"/>
    <w:qFormat/>
    <w:uiPriority w:val="0"/>
    <w:pPr>
      <w:spacing w:before="240" w:after="60"/>
      <w:jc w:val="center"/>
      <w:outlineLvl w:val="1"/>
    </w:pPr>
    <w:rPr>
      <w:rFonts w:ascii="Arial" w:hAnsi="Arial" w:eastAsia="微软雅黑"/>
      <w:kern w:val="28"/>
      <w:sz w:val="36"/>
    </w:rPr>
  </w:style>
  <w:style w:type="paragraph" w:styleId="14">
    <w:name w:val="Normal (Web)"/>
    <w:basedOn w:val="1"/>
    <w:qFormat/>
    <w:uiPriority w:val="0"/>
    <w:pPr>
      <w:widowControl/>
      <w:spacing w:before="100" w:beforeAutospacing="1" w:after="100" w:afterAutospacing="1"/>
      <w:jc w:val="left"/>
    </w:pPr>
    <w:rPr>
      <w:rFonts w:hAnsi="宋体" w:cs="宋体"/>
      <w:szCs w:val="24"/>
    </w:rPr>
  </w:style>
  <w:style w:type="paragraph" w:styleId="15">
    <w:name w:val="Body Text First Indent"/>
    <w:basedOn w:val="6"/>
    <w:link w:val="35"/>
    <w:qFormat/>
    <w:uiPriority w:val="0"/>
    <w:pPr>
      <w:widowControl w:val="0"/>
      <w:spacing w:before="0" w:beforeAutospacing="0" w:after="120" w:afterAutospacing="0"/>
      <w:ind w:firstLine="420" w:firstLineChars="100"/>
      <w:jc w:val="both"/>
    </w:pPr>
    <w:rPr>
      <w:rFonts w:ascii="Times New Roman" w:hAnsi="Times New Roman" w:eastAsiaTheme="minorEastAsia" w:cstheme="minorBidi"/>
      <w:kern w:val="2"/>
      <w:sz w:val="21"/>
    </w:rPr>
  </w:style>
  <w:style w:type="paragraph" w:styleId="16">
    <w:name w:val="Body Text First Indent 2"/>
    <w:basedOn w:val="7"/>
    <w:link w:val="33"/>
    <w:semiHidden/>
    <w:unhideWhenUsed/>
    <w:qFormat/>
    <w:uiPriority w:val="99"/>
    <w:pPr>
      <w:ind w:firstLine="420" w:firstLineChars="200"/>
    </w:p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basedOn w:val="19"/>
    <w:qFormat/>
    <w:uiPriority w:val="22"/>
    <w:rPr>
      <w:b/>
      <w:bCs/>
    </w:rPr>
  </w:style>
  <w:style w:type="character" w:styleId="21">
    <w:name w:val="Hyperlink"/>
    <w:basedOn w:val="19"/>
    <w:qFormat/>
    <w:uiPriority w:val="0"/>
    <w:rPr>
      <w:color w:val="0000FF" w:themeColor="hyperlink"/>
      <w:u w:val="single"/>
      <w14:textFill>
        <w14:solidFill>
          <w14:schemeClr w14:val="hlink"/>
        </w14:solidFill>
      </w14:textFill>
    </w:rPr>
  </w:style>
  <w:style w:type="character" w:styleId="22">
    <w:name w:val="annotation reference"/>
    <w:basedOn w:val="19"/>
    <w:qFormat/>
    <w:uiPriority w:val="0"/>
    <w:rPr>
      <w:sz w:val="21"/>
      <w:szCs w:val="21"/>
    </w:rPr>
  </w:style>
  <w:style w:type="character" w:customStyle="1" w:styleId="23">
    <w:name w:val="正文文本 Char"/>
    <w:basedOn w:val="19"/>
    <w:link w:val="6"/>
    <w:semiHidden/>
    <w:qFormat/>
    <w:uiPriority w:val="99"/>
    <w:rPr>
      <w:rFonts w:ascii="宋体" w:hAnsi="宋体" w:eastAsia="宋体" w:cs="宋体"/>
      <w:kern w:val="0"/>
      <w:sz w:val="24"/>
      <w:szCs w:val="24"/>
    </w:rPr>
  </w:style>
  <w:style w:type="paragraph" w:styleId="24">
    <w:name w:val="List Paragraph"/>
    <w:basedOn w:val="1"/>
    <w:qFormat/>
    <w:uiPriority w:val="34"/>
    <w:pPr>
      <w:ind w:firstLine="420" w:firstLineChars="200"/>
    </w:pPr>
  </w:style>
  <w:style w:type="character" w:customStyle="1" w:styleId="25">
    <w:name w:val="纯文本 Char"/>
    <w:basedOn w:val="19"/>
    <w:link w:val="9"/>
    <w:qFormat/>
    <w:uiPriority w:val="99"/>
    <w:rPr>
      <w:rFonts w:ascii="宋体" w:hAnsi="Courier New" w:eastAsia="宋体" w:cs="Times New Roman"/>
      <w:szCs w:val="20"/>
    </w:rPr>
  </w:style>
  <w:style w:type="character" w:customStyle="1" w:styleId="26">
    <w:name w:val="页脚 Char"/>
    <w:basedOn w:val="19"/>
    <w:link w:val="2"/>
    <w:qFormat/>
    <w:uiPriority w:val="0"/>
    <w:rPr>
      <w:rFonts w:ascii="Calibri" w:hAnsi="Calibri" w:eastAsia="宋体" w:cs="Times New Roman"/>
      <w:sz w:val="18"/>
      <w:szCs w:val="18"/>
    </w:rPr>
  </w:style>
  <w:style w:type="character" w:customStyle="1" w:styleId="27">
    <w:name w:val="批注文字 Char"/>
    <w:basedOn w:val="19"/>
    <w:link w:val="5"/>
    <w:qFormat/>
    <w:uiPriority w:val="0"/>
    <w:rPr>
      <w:rFonts w:ascii="Calibri" w:hAnsi="Calibri" w:eastAsia="宋体" w:cs="Times New Roman"/>
    </w:rPr>
  </w:style>
  <w:style w:type="character" w:customStyle="1" w:styleId="28">
    <w:name w:val="批注框文本 Char"/>
    <w:basedOn w:val="19"/>
    <w:link w:val="11"/>
    <w:semiHidden/>
    <w:qFormat/>
    <w:uiPriority w:val="99"/>
    <w:rPr>
      <w:sz w:val="18"/>
      <w:szCs w:val="18"/>
    </w:rPr>
  </w:style>
  <w:style w:type="character" w:customStyle="1" w:styleId="29">
    <w:name w:val="标题 4 Char"/>
    <w:basedOn w:val="19"/>
    <w:link w:val="3"/>
    <w:qFormat/>
    <w:uiPriority w:val="0"/>
    <w:rPr>
      <w:rFonts w:ascii="Arial" w:eastAsia="黑体"/>
      <w:kern w:val="0"/>
      <w:sz w:val="28"/>
      <w:szCs w:val="20"/>
    </w:rPr>
  </w:style>
  <w:style w:type="character" w:customStyle="1" w:styleId="30">
    <w:name w:val="font171"/>
    <w:basedOn w:val="19"/>
    <w:qFormat/>
    <w:uiPriority w:val="0"/>
    <w:rPr>
      <w:rFonts w:ascii="Arial" w:hAnsi="Arial" w:cs="Arial"/>
      <w:color w:val="000000"/>
      <w:sz w:val="16"/>
      <w:szCs w:val="16"/>
      <w:u w:val="none"/>
    </w:rPr>
  </w:style>
  <w:style w:type="character" w:customStyle="1" w:styleId="31">
    <w:name w:val="font191"/>
    <w:basedOn w:val="19"/>
    <w:qFormat/>
    <w:uiPriority w:val="0"/>
    <w:rPr>
      <w:rFonts w:hint="eastAsia" w:ascii="微软雅黑" w:hAnsi="微软雅黑" w:eastAsia="微软雅黑" w:cs="微软雅黑"/>
      <w:color w:val="000000"/>
      <w:sz w:val="16"/>
      <w:szCs w:val="16"/>
      <w:u w:val="none"/>
    </w:rPr>
  </w:style>
  <w:style w:type="character" w:customStyle="1" w:styleId="32">
    <w:name w:val="正文文本缩进 Char"/>
    <w:basedOn w:val="19"/>
    <w:link w:val="7"/>
    <w:semiHidden/>
    <w:qFormat/>
    <w:uiPriority w:val="99"/>
  </w:style>
  <w:style w:type="character" w:customStyle="1" w:styleId="33">
    <w:name w:val="正文首行缩进 2 Char"/>
    <w:basedOn w:val="32"/>
    <w:link w:val="16"/>
    <w:semiHidden/>
    <w:qFormat/>
    <w:uiPriority w:val="99"/>
  </w:style>
  <w:style w:type="character" w:customStyle="1" w:styleId="34">
    <w:name w:val="日期 Char"/>
    <w:basedOn w:val="19"/>
    <w:link w:val="10"/>
    <w:semiHidden/>
    <w:qFormat/>
    <w:uiPriority w:val="99"/>
  </w:style>
  <w:style w:type="character" w:customStyle="1" w:styleId="35">
    <w:name w:val="正文首行缩进 Char"/>
    <w:basedOn w:val="23"/>
    <w:link w:val="15"/>
    <w:qFormat/>
    <w:uiPriority w:val="0"/>
    <w:rPr>
      <w:rFonts w:ascii="Times New Roman" w:hAnsi="Times New Roman" w:eastAsia="宋体" w:cs="宋体"/>
      <w:kern w:val="0"/>
      <w:sz w:val="24"/>
      <w:szCs w:val="24"/>
    </w:rPr>
  </w:style>
  <w:style w:type="paragraph" w:customStyle="1" w:styleId="36">
    <w:name w:val="Table Paragraph"/>
    <w:basedOn w:val="1"/>
    <w:unhideWhenUsed/>
    <w:qFormat/>
    <w:uiPriority w:val="1"/>
    <w:rPr>
      <w:rFonts w:hint="eastAsia"/>
      <w:sz w:val="24"/>
      <w:szCs w:val="24"/>
    </w:rPr>
  </w:style>
  <w:style w:type="character" w:customStyle="1" w:styleId="37">
    <w:name w:val="页眉 Char"/>
    <w:basedOn w:val="19"/>
    <w:link w:val="12"/>
    <w:qFormat/>
    <w:uiPriority w:val="99"/>
    <w:rPr>
      <w:kern w:val="2"/>
      <w:sz w:val="18"/>
      <w:szCs w:val="18"/>
    </w:rPr>
  </w:style>
  <w:style w:type="paragraph" w:customStyle="1" w:styleId="38">
    <w:name w:val="BodyTextIndent"/>
    <w:basedOn w:val="1"/>
    <w:qFormat/>
    <w:uiPriority w:val="0"/>
    <w:pPr>
      <w:spacing w:after="120"/>
      <w:ind w:left="420" w:leftChars="200"/>
      <w:jc w:val="both"/>
      <w:textAlignment w:val="baseline"/>
    </w:pPr>
    <w:rPr>
      <w:rFonts w:ascii="Times New Roman" w:hAnsi="Times New Roman" w:eastAsia="宋体" w:cs="Times New Roman"/>
    </w:rPr>
  </w:style>
  <w:style w:type="paragraph" w:customStyle="1" w:styleId="39">
    <w:name w:val="表格文字"/>
    <w:basedOn w:val="1"/>
    <w:qFormat/>
    <w:uiPriority w:val="99"/>
    <w:pPr>
      <w:spacing w:before="25" w:after="25"/>
      <w:jc w:val="left"/>
    </w:pPr>
    <w:rPr>
      <w:bCs/>
      <w:spacing w:val="10"/>
      <w:kern w:val="0"/>
      <w:sz w:val="24"/>
      <w:szCs w:val="22"/>
    </w:rPr>
  </w:style>
  <w:style w:type="character" w:customStyle="1" w:styleId="40">
    <w:name w:val="NormalCharacter"/>
    <w:semiHidden/>
    <w:qFormat/>
    <w:uiPriority w:val="0"/>
  </w:style>
  <w:style w:type="paragraph" w:customStyle="1" w:styleId="41">
    <w:name w:val="Default"/>
    <w:next w:val="7"/>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42">
    <w:name w:val="font31"/>
    <w:basedOn w:val="19"/>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dell</Company>
  <Pages>26</Pages>
  <Words>10777</Words>
  <Characters>11200</Characters>
  <Lines>39</Lines>
  <Paragraphs>11</Paragraphs>
  <TotalTime>0</TotalTime>
  <ScaleCrop>false</ScaleCrop>
  <LinksUpToDate>false</LinksUpToDate>
  <CharactersWithSpaces>12496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2022-03-04T08:36:00Z</dcterms:created>
  <dc:creator>dell</dc:creator>
  <cp:lastModifiedBy>许</cp:lastModifiedBy>
  <dcterms:modified xsi:type="dcterms:W3CDTF">2026-08-18T07:25:01Z</dcterms:modified>
  <cp:revision>247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DBAAD00E7FFC4A1DA3C59792FBC1CCF8_13</vt:lpwstr>
  </property>
  <property fmtid="{D5CDD505-2E9C-101B-9397-08002B2CF9AE}" pid="4" name="KSOTemplateDocerSaveRecord">
    <vt:lpwstr>eyJoZGlkIjoiMTEzZWI4NDMyYWM1NTVmYTViNTkyNDAxYTQ4NmE5OGEiLCJ1c2VySWQiOiIyMjY4OTY5MDYifQ==</vt:lpwstr>
  </property>
</Properties>
</file>